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3908" w:rsidR="00E0394C" w:rsidP="00E0394C" w:rsidRDefault="00E0394C" w14:paraId="44ED5FAF" w14:textId="22289BAF">
      <w:pPr>
        <w:pStyle w:val="Heading1"/>
        <w:rPr>
          <w:rFonts w:ascii="Arial" w:hAnsi="Arial" w:cs="Arial"/>
          <w:b/>
          <w:bCs/>
          <w:lang w:val="es-ES_tradnl"/>
        </w:rPr>
      </w:pPr>
      <w:r w:rsidRPr="00333908">
        <w:rPr>
          <w:rFonts w:ascii="Arial" w:hAnsi="Arial" w:cs="Arial"/>
          <w:b/>
          <w:bCs/>
          <w:lang w:val="es-ES_tradnl"/>
        </w:rPr>
        <w:t xml:space="preserve">Boletín en materia de derechos humanos edición marzo – abril 2026 </w:t>
      </w:r>
    </w:p>
    <w:p w:rsidRPr="00333908" w:rsidR="00E0394C" w:rsidP="00E0394C" w:rsidRDefault="00E0394C" w14:paraId="617CA134" w14:textId="77777777">
      <w:pPr>
        <w:rPr>
          <w:rFonts w:ascii="Arial" w:hAnsi="Arial" w:cs="Arial"/>
          <w:lang w:val="es-ES_tradnl"/>
        </w:rPr>
      </w:pPr>
      <w:r w:rsidRPr="00333908">
        <w:rPr>
          <w:rFonts w:ascii="Arial" w:hAnsi="Arial" w:cs="Arial"/>
          <w:lang w:val="es-ES_tradnl"/>
        </w:rPr>
        <w:t xml:space="preserve">Criterios internacionales en materia de derechos humanos. </w:t>
      </w:r>
    </w:p>
    <w:p w:rsidRPr="00333908" w:rsidR="00E0394C" w:rsidP="00E0394C" w:rsidRDefault="00E0394C" w14:paraId="05411F90" w14:textId="6EE0FFF0">
      <w:pPr>
        <w:spacing w:before="240" w:line="276" w:lineRule="auto"/>
        <w:rPr>
          <w:rFonts w:ascii="Arial" w:hAnsi="Arial" w:cs="Arial"/>
          <w:lang w:val="es-ES_tradnl"/>
        </w:rPr>
      </w:pPr>
      <w:r w:rsidRPr="00333908">
        <w:rPr>
          <w:rFonts w:ascii="Arial" w:hAnsi="Arial" w:eastAsia="Arial" w:cs="Arial"/>
          <w:kern w:val="0"/>
          <w:lang w:val="es-ES_tradnl"/>
          <w14:ligatures w14:val="none"/>
        </w:rPr>
        <w:t>Nota editorial. La Dirección General de Derechos Humanos y Justicia Pluricultural (DGDHJP) de la Suprema Corte de Justicia de la Nación (SCJN) presenta la decimocuarta edición del Boletín en Materia de Derechos Humanos. En este nuevo formato de periodicidad bimestral, el Boletín agrupa los criterios y noticias más relevantes en el ámbito del derecho internacional a partir de temáticas concretas y las relaciona con los últimos precedentes emitidos por la Suprema Corte. El objetivo de esta nueva edición es informar, tanto al público en general como a una audiencia especializada, sobre los últimos acontecimientos en la materia, así como contribuir con el despliegue de las funciones asociadas a la impartición de justicia en nuestro país.</w:t>
      </w:r>
    </w:p>
    <w:p w:rsidRPr="00333908" w:rsidR="00E0394C" w:rsidP="00E0394C" w:rsidRDefault="00E0394C" w14:paraId="2E64785B" w14:textId="089E3BEF">
      <w:pPr>
        <w:spacing w:before="240" w:after="240" w:line="276" w:lineRule="auto"/>
        <w:rPr>
          <w:rFonts w:ascii="Arial" w:hAnsi="Arial" w:eastAsia="Arial" w:cs="Arial"/>
          <w:lang w:val="es-ES_tradnl"/>
        </w:rPr>
      </w:pPr>
      <w:r w:rsidRPr="00333908">
        <w:rPr>
          <w:rFonts w:ascii="Arial" w:hAnsi="Arial" w:eastAsia="Arial" w:cs="Arial"/>
          <w:lang w:val="es-ES_tradnl"/>
        </w:rPr>
        <w:t xml:space="preserve">El tema central de esta edición versa sobre la justicia ambiental y desechos peligrosos. En la primera página, se exploran algunas noticias y sentencias de la Suprema Corte relevantes sobre el tema. En la segunda, se exponen datos relevantes sobre formas de resolver disputas ambientales, criterios para establecer </w:t>
      </w:r>
      <w:r w:rsidRPr="00333908" w:rsidR="00DB0DA8">
        <w:rPr>
          <w:rFonts w:ascii="Arial" w:hAnsi="Arial" w:eastAsia="Arial" w:cs="Arial"/>
          <w:lang w:val="es-ES_tradnl"/>
        </w:rPr>
        <w:t>t</w:t>
      </w:r>
      <w:r w:rsidRPr="00333908">
        <w:rPr>
          <w:rFonts w:ascii="Arial" w:hAnsi="Arial" w:eastAsia="Arial" w:cs="Arial"/>
          <w:lang w:val="es-ES_tradnl"/>
        </w:rPr>
        <w:t xml:space="preserve">ribunales ambientales, así como principios internacionales del derecho ambiental. En la tercera, se muestra información del panorama internacional sobre </w:t>
      </w:r>
      <w:r w:rsidRPr="00333908" w:rsidR="000C5FD8">
        <w:rPr>
          <w:rFonts w:ascii="Arial" w:hAnsi="Arial" w:eastAsia="Arial" w:cs="Arial"/>
          <w:lang w:val="es-ES_tradnl"/>
        </w:rPr>
        <w:t xml:space="preserve">sustancias toxicas y </w:t>
      </w:r>
      <w:r w:rsidRPr="00333908">
        <w:rPr>
          <w:rFonts w:ascii="Arial" w:hAnsi="Arial" w:eastAsia="Arial" w:cs="Arial"/>
          <w:lang w:val="es-ES_tradnl"/>
        </w:rPr>
        <w:t>derechos humanos</w:t>
      </w:r>
      <w:r w:rsidRPr="00333908" w:rsidR="000C5FD8">
        <w:rPr>
          <w:rFonts w:ascii="Arial" w:hAnsi="Arial" w:eastAsia="Arial" w:cs="Arial"/>
          <w:lang w:val="es-ES_tradnl"/>
        </w:rPr>
        <w:t>. Finalmente,</w:t>
      </w:r>
      <w:r w:rsidRPr="00333908">
        <w:rPr>
          <w:rFonts w:ascii="Arial" w:hAnsi="Arial" w:eastAsia="Arial" w:cs="Arial"/>
          <w:lang w:val="es-ES_tradnl"/>
        </w:rPr>
        <w:t xml:space="preserve"> en la cuarta, el estado de México ante los Sistemas de Justicia Internacional. </w:t>
      </w:r>
    </w:p>
    <w:p w:rsidRPr="00333908" w:rsidR="00E0394C" w:rsidP="00E0394C" w:rsidRDefault="00E0394C" w14:paraId="5F6A18DE" w14:textId="77777777">
      <w:pPr>
        <w:spacing w:before="240" w:line="276" w:lineRule="auto"/>
        <w:rPr>
          <w:rFonts w:ascii="Arial" w:hAnsi="Arial" w:eastAsia="Arial" w:cs="Arial"/>
          <w:kern w:val="0"/>
          <w:lang w:val="es-ES_tradnl"/>
          <w14:ligatures w14:val="none"/>
        </w:rPr>
      </w:pPr>
      <w:r w:rsidRPr="00333908">
        <w:rPr>
          <w:rFonts w:ascii="Arial" w:hAnsi="Arial" w:eastAsia="Arial" w:cs="Arial"/>
          <w:kern w:val="0"/>
          <w:lang w:val="es-ES_tradnl"/>
          <w14:ligatures w14:val="none"/>
        </w:rPr>
        <w:t>Es importante señalar que, aunque el boletín está diseñado en formato accesible, algunos de los enlaces proporcionados no cumplen con este estándar. Por ello, se recomienda consultar el texto alternativo y los enlaces de cada sección que lo contenga.</w:t>
      </w:r>
    </w:p>
    <w:p w:rsidRPr="00333908" w:rsidR="00E0394C" w:rsidP="00E0394C" w:rsidRDefault="00E0394C" w14:paraId="0448E660" w14:textId="77777777">
      <w:pPr>
        <w:rPr>
          <w:rFonts w:ascii="Arial" w:hAnsi="Arial" w:cs="Arial"/>
          <w:b/>
          <w:bCs/>
          <w:lang w:val="es-ES_tradnl"/>
        </w:rPr>
      </w:pPr>
      <w:r w:rsidRPr="00333908">
        <w:rPr>
          <w:rFonts w:ascii="Arial" w:hAnsi="Arial" w:cs="Arial"/>
          <w:b/>
          <w:bCs/>
          <w:lang w:val="es-ES_tradnl"/>
        </w:rPr>
        <w:t xml:space="preserve">Redes sociales </w:t>
      </w:r>
    </w:p>
    <w:p w:rsidRPr="00333908" w:rsidR="00E0394C" w:rsidP="401C695D" w:rsidRDefault="00E0394C" w14:paraId="7BBAAFA9" w14:textId="77777777">
      <w:pPr>
        <w:pStyle w:val="ListParagraph"/>
        <w:numPr>
          <w:ilvl w:val="0"/>
          <w:numId w:val="1"/>
        </w:numPr>
        <w:rPr>
          <w:rFonts w:ascii="Arial" w:hAnsi="Arial" w:cs="Arial"/>
          <w:lang w:val="es-ES"/>
        </w:rPr>
      </w:pPr>
      <w:r w:rsidRPr="401C695D" w:rsidR="00E0394C">
        <w:rPr>
          <w:rFonts w:ascii="Arial" w:hAnsi="Arial" w:cs="Arial"/>
          <w:b w:val="1"/>
          <w:bCs w:val="1"/>
          <w:lang w:val="es-ES"/>
        </w:rPr>
        <w:t>Facebook:</w:t>
      </w:r>
      <w:r w:rsidRPr="401C695D" w:rsidR="00E0394C">
        <w:rPr>
          <w:rFonts w:ascii="Arial" w:hAnsi="Arial" w:cs="Arial"/>
          <w:lang w:val="es-ES"/>
        </w:rPr>
        <w:t xml:space="preserve"> @</w:t>
      </w:r>
      <w:r w:rsidRPr="401C695D" w:rsidR="00E0394C">
        <w:rPr>
          <w:rFonts w:ascii="Arial" w:hAnsi="Arial" w:cs="Arial"/>
          <w:lang w:val="es-ES"/>
        </w:rPr>
        <w:t>derechoshumanos.scjn</w:t>
      </w:r>
    </w:p>
    <w:p w:rsidRPr="00333908" w:rsidR="00E0394C" w:rsidP="00E0394C" w:rsidRDefault="00E0394C" w14:paraId="43F1EED7" w14:textId="77777777">
      <w:pPr>
        <w:ind w:left="708" w:firstLine="12"/>
        <w:rPr>
          <w:rFonts w:ascii="Arial" w:hAnsi="Arial" w:cs="Arial"/>
          <w:lang w:val="es-ES_tradnl"/>
        </w:rPr>
      </w:pPr>
      <w:r w:rsidRPr="00333908">
        <w:rPr>
          <w:rFonts w:ascii="Arial" w:hAnsi="Arial" w:cs="Arial"/>
          <w:lang w:val="es-ES_tradnl"/>
        </w:rPr>
        <w:t xml:space="preserve">(Para acceder a nuestro Facebook, consulta el siguiente enlace </w:t>
      </w:r>
      <w:hyperlink w:history="1" r:id="rId7">
        <w:r w:rsidRPr="00333908">
          <w:rPr>
            <w:rStyle w:val="Hyperlink"/>
            <w:rFonts w:ascii="Arial" w:hAnsi="Arial" w:cs="Arial"/>
            <w:lang w:val="es-ES_tradnl"/>
          </w:rPr>
          <w:t>https://www.facebook.com/derechoshumanos.scjn</w:t>
        </w:r>
      </w:hyperlink>
      <w:r w:rsidRPr="00333908">
        <w:rPr>
          <w:rFonts w:ascii="Arial" w:hAnsi="Arial" w:cs="Arial"/>
          <w:lang w:val="es-ES_tradnl"/>
        </w:rPr>
        <w:t xml:space="preserve">). </w:t>
      </w:r>
    </w:p>
    <w:p w:rsidRPr="00333908" w:rsidR="00E0394C" w:rsidP="401C695D" w:rsidRDefault="00E0394C" w14:paraId="33647F1B" w14:textId="77777777">
      <w:pPr>
        <w:pStyle w:val="ListParagraph"/>
        <w:numPr>
          <w:ilvl w:val="0"/>
          <w:numId w:val="1"/>
        </w:numPr>
        <w:rPr>
          <w:rFonts w:ascii="Arial" w:hAnsi="Arial" w:cs="Arial"/>
          <w:lang w:val="es-ES"/>
        </w:rPr>
      </w:pPr>
      <w:r w:rsidRPr="401C695D" w:rsidR="00E0394C">
        <w:rPr>
          <w:rFonts w:ascii="Arial" w:hAnsi="Arial" w:cs="Arial"/>
          <w:b w:val="1"/>
          <w:bCs w:val="1"/>
          <w:lang w:val="es-ES"/>
        </w:rPr>
        <w:t>Instagram:</w:t>
      </w:r>
      <w:r w:rsidRPr="401C695D" w:rsidR="00E0394C">
        <w:rPr>
          <w:rFonts w:ascii="Arial" w:hAnsi="Arial" w:cs="Arial"/>
          <w:lang w:val="es-ES"/>
        </w:rPr>
        <w:t xml:space="preserve"> @</w:t>
      </w:r>
      <w:r w:rsidRPr="401C695D" w:rsidR="00E0394C">
        <w:rPr>
          <w:rFonts w:ascii="Arial" w:hAnsi="Arial" w:cs="Arial"/>
          <w:lang w:val="es-ES"/>
        </w:rPr>
        <w:t>derechoshumanos.scjn</w:t>
      </w:r>
    </w:p>
    <w:p w:rsidRPr="00333908" w:rsidR="00E0394C" w:rsidP="00E0394C" w:rsidRDefault="00E0394C" w14:paraId="316CEFD9" w14:textId="77777777">
      <w:pPr>
        <w:ind w:left="708" w:firstLine="12"/>
        <w:rPr>
          <w:rFonts w:ascii="Arial" w:hAnsi="Arial" w:cs="Arial"/>
          <w:b/>
          <w:bCs/>
          <w:lang w:val="es-ES_tradnl"/>
        </w:rPr>
      </w:pPr>
      <w:r w:rsidRPr="00333908">
        <w:rPr>
          <w:rFonts w:ascii="Arial" w:hAnsi="Arial" w:cs="Arial"/>
          <w:lang w:val="es-ES_tradnl"/>
        </w:rPr>
        <w:t xml:space="preserve">(Para acceder a nuestro Instagram, consulta el siguiente enlace </w:t>
      </w:r>
      <w:hyperlink w:history="1" r:id="rId8">
        <w:r w:rsidRPr="00333908">
          <w:rPr>
            <w:rStyle w:val="Hyperlink"/>
            <w:rFonts w:ascii="Arial" w:hAnsi="Arial" w:cs="Arial"/>
            <w:lang w:val="es-ES_tradnl"/>
          </w:rPr>
          <w:t>https://www.instagram.com/derechoshumanos.scjn?igsh=N2d5cDdmM2ZnbXgz</w:t>
        </w:r>
      </w:hyperlink>
      <w:r w:rsidRPr="00333908">
        <w:rPr>
          <w:rFonts w:ascii="Arial" w:hAnsi="Arial" w:cs="Arial"/>
          <w:lang w:val="es-ES_tradnl"/>
        </w:rPr>
        <w:t xml:space="preserve">). </w:t>
      </w:r>
    </w:p>
    <w:p w:rsidRPr="00333908" w:rsidR="00E0394C" w:rsidP="00E0394C" w:rsidRDefault="00E0394C" w14:paraId="3B3A24C9" w14:textId="77777777">
      <w:pPr>
        <w:pStyle w:val="ListParagraph"/>
        <w:numPr>
          <w:ilvl w:val="0"/>
          <w:numId w:val="1"/>
        </w:numPr>
        <w:rPr>
          <w:rFonts w:ascii="Arial" w:hAnsi="Arial" w:cs="Arial"/>
          <w:lang w:val="es-ES_tradnl"/>
        </w:rPr>
      </w:pPr>
      <w:r w:rsidRPr="00333908">
        <w:rPr>
          <w:rFonts w:ascii="Arial" w:hAnsi="Arial" w:cs="Arial"/>
          <w:b/>
          <w:bCs/>
          <w:lang w:val="es-ES_tradnl"/>
        </w:rPr>
        <w:t xml:space="preserve">“X” (antes Twitter): </w:t>
      </w:r>
      <w:r w:rsidRPr="00333908">
        <w:rPr>
          <w:rFonts w:ascii="Arial" w:hAnsi="Arial" w:cs="Arial"/>
          <w:lang w:val="es-ES_tradnl"/>
        </w:rPr>
        <w:t xml:space="preserve"> @ddhh_scjn</w:t>
      </w:r>
    </w:p>
    <w:p w:rsidRPr="00333908" w:rsidR="00E0394C" w:rsidP="00E0394C" w:rsidRDefault="00E0394C" w14:paraId="40A1FB67" w14:textId="77777777">
      <w:pPr>
        <w:ind w:left="708" w:firstLine="12"/>
        <w:rPr>
          <w:rFonts w:ascii="Arial" w:hAnsi="Arial" w:cs="Arial"/>
          <w:lang w:val="es-ES_tradnl"/>
        </w:rPr>
      </w:pPr>
      <w:r w:rsidRPr="00333908">
        <w:rPr>
          <w:rFonts w:ascii="Arial" w:hAnsi="Arial" w:cs="Arial"/>
          <w:lang w:val="es-ES_tradnl"/>
        </w:rPr>
        <w:t xml:space="preserve">(Para acceder a nuestro “X”, consulta el siguiente enlace </w:t>
      </w:r>
      <w:hyperlink w:history="1" r:id="rId9">
        <w:r w:rsidRPr="00333908">
          <w:rPr>
            <w:rStyle w:val="Hyperlink"/>
            <w:rFonts w:ascii="Arial" w:hAnsi="Arial" w:cs="Arial"/>
            <w:lang w:val="es-ES_tradnl"/>
          </w:rPr>
          <w:t>https://x.com/ddhh_scjn?s=21</w:t>
        </w:r>
      </w:hyperlink>
      <w:r w:rsidRPr="00333908">
        <w:rPr>
          <w:rFonts w:ascii="Arial" w:hAnsi="Arial" w:cs="Arial"/>
          <w:lang w:val="es-ES_tradnl"/>
        </w:rPr>
        <w:t xml:space="preserve">). </w:t>
      </w:r>
    </w:p>
    <w:p w:rsidRPr="00333908" w:rsidR="000C5FD8" w:rsidP="00DB0DA8" w:rsidRDefault="000C5FD8" w14:paraId="53F3BC3A" w14:textId="77777777">
      <w:pPr>
        <w:pStyle w:val="Heading1"/>
        <w:rPr>
          <w:b/>
          <w:bCs/>
          <w:lang w:val="es-ES_tradnl"/>
        </w:rPr>
      </w:pPr>
      <w:r w:rsidRPr="00333908">
        <w:rPr>
          <w:b/>
          <w:bCs/>
          <w:lang w:val="es-ES_tradnl"/>
        </w:rPr>
        <w:t xml:space="preserve">Justicia </w:t>
      </w:r>
      <w:r w:rsidRPr="00333908">
        <w:rPr>
          <w:rFonts w:ascii="Arial" w:hAnsi="Arial" w:cs="Arial"/>
          <w:b/>
          <w:bCs/>
          <w:lang w:val="es-ES_tradnl"/>
        </w:rPr>
        <w:t>ambiental</w:t>
      </w:r>
      <w:r w:rsidRPr="00333908">
        <w:rPr>
          <w:b/>
          <w:bCs/>
          <w:lang w:val="es-ES_tradnl"/>
        </w:rPr>
        <w:t xml:space="preserve"> y desechos peligrosos </w:t>
      </w:r>
    </w:p>
    <w:p w:rsidRPr="00333908" w:rsidR="000C5FD8" w:rsidRDefault="000C5FD8" w14:paraId="50DD90AD" w14:textId="2CB7796D">
      <w:pPr>
        <w:rPr>
          <w:lang w:val="es-ES_tradnl"/>
        </w:rPr>
      </w:pPr>
      <w:r w:rsidRPr="00333908">
        <w:rPr>
          <w:lang w:val="es-ES_tradnl"/>
        </w:rPr>
        <w:t xml:space="preserve">En esta primera hoja se da cuenta del cierre de la misión del Relator Especial sobre Sustancias Toxicas y de Derechos Humanos en el marco de su visita </w:t>
      </w:r>
      <w:r w:rsidRPr="00333908" w:rsidR="002D4DC1">
        <w:rPr>
          <w:lang w:val="es-ES_tradnl"/>
        </w:rPr>
        <w:t>oficial</w:t>
      </w:r>
      <w:r w:rsidRPr="00333908">
        <w:rPr>
          <w:lang w:val="es-ES_tradnl"/>
        </w:rPr>
        <w:t xml:space="preserve"> a México, las directrices sobre el acceso a la justicia y a recursos efectivos en el contexto de las sustancias toxicas, la audiencia regional sobre extracción de combustibles fósiles, </w:t>
      </w:r>
      <w:r w:rsidRPr="00333908" w:rsidR="00110FEF">
        <w:rPr>
          <w:lang w:val="es-ES_tradnl"/>
        </w:rPr>
        <w:t xml:space="preserve">así como las sentencias relevantes relacionadas con desechos peligrosos y sustancias tóxicas de la Suprema Corte. </w:t>
      </w:r>
    </w:p>
    <w:p w:rsidRPr="00333908" w:rsidR="00FC2B82" w:rsidP="00110FEF" w:rsidRDefault="00FC2B82" w14:paraId="61FFDC21" w14:textId="77777777">
      <w:pPr>
        <w:pStyle w:val="ListParagraph"/>
        <w:numPr>
          <w:ilvl w:val="0"/>
          <w:numId w:val="2"/>
        </w:numPr>
        <w:rPr>
          <w:b/>
          <w:bCs/>
          <w:lang w:val="es-ES_tradnl"/>
        </w:rPr>
      </w:pPr>
      <w:r w:rsidRPr="00333908">
        <w:rPr>
          <w:b/>
          <w:bCs/>
          <w:lang w:val="es-ES_tradnl"/>
        </w:rPr>
        <w:t xml:space="preserve">Fechas relevantes </w:t>
      </w:r>
    </w:p>
    <w:p w:rsidRPr="00333908" w:rsidR="00FC2B82" w:rsidP="00FC2B82" w:rsidRDefault="00FC2B82" w14:paraId="0946DC1F" w14:textId="4A6CC4BC">
      <w:pPr>
        <w:rPr>
          <w:b/>
          <w:bCs/>
          <w:lang w:val="es-ES_tradnl"/>
        </w:rPr>
      </w:pPr>
      <w:r w:rsidRPr="00333908">
        <w:rPr>
          <w:b/>
          <w:bCs/>
          <w:lang w:val="es-ES_tradnl"/>
        </w:rPr>
        <w:t xml:space="preserve">22 de marzo: Día Mundial del Agua. </w:t>
      </w:r>
    </w:p>
    <w:p w:rsidRPr="00333908" w:rsidR="78930BE2" w:rsidP="26FDFA84" w:rsidRDefault="78930BE2" w14:paraId="46251712" w14:textId="7B46EF1E">
      <w:pPr>
        <w:rPr>
          <w:lang w:val="es-ES_tradnl"/>
        </w:rPr>
      </w:pPr>
      <w:r w:rsidRPr="00333908">
        <w:rPr>
          <w:lang w:val="es-ES_tradnl"/>
        </w:rPr>
        <w:t xml:space="preserve">(Para conocer más sobre dicha fecha, consulta el siguiente enlace </w:t>
      </w:r>
      <w:hyperlink w:history="1" r:id="rId10">
        <w:r w:rsidRPr="00333908">
          <w:rPr>
            <w:rStyle w:val="Hyperlink"/>
            <w:lang w:val="es-ES_tradnl"/>
          </w:rPr>
          <w:t>https://www.un.org/es/observances/water-day/)</w:t>
        </w:r>
      </w:hyperlink>
    </w:p>
    <w:p w:rsidRPr="00333908" w:rsidR="00FC2B82" w:rsidP="00FC2B82" w:rsidRDefault="00FC2B82" w14:paraId="218CB887" w14:textId="060B9881">
      <w:pPr>
        <w:rPr>
          <w:b/>
          <w:bCs/>
          <w:lang w:val="es-ES_tradnl"/>
        </w:rPr>
      </w:pPr>
      <w:r w:rsidRPr="00333908">
        <w:rPr>
          <w:b/>
          <w:bCs/>
          <w:lang w:val="es-ES_tradnl"/>
        </w:rPr>
        <w:t xml:space="preserve">22 de abril: Día Internacional de la Madre Tierra. </w:t>
      </w:r>
    </w:p>
    <w:p w:rsidRPr="00333908" w:rsidR="00C6264D" w:rsidP="00FC2B82" w:rsidRDefault="5A7B8623" w14:paraId="18E6E4AF" w14:textId="30DA8183">
      <w:pPr>
        <w:rPr>
          <w:rFonts w:ascii="Aptos" w:hAnsi="Aptos" w:eastAsia="Aptos"/>
          <w:color w:val="000000" w:themeColor="text1"/>
          <w:lang w:val="es-ES_tradnl"/>
        </w:rPr>
      </w:pPr>
      <w:r w:rsidRPr="00333908">
        <w:rPr>
          <w:rFonts w:ascii="Aptos" w:hAnsi="Aptos" w:eastAsia="Aptos"/>
          <w:color w:val="000000" w:themeColor="text1"/>
          <w:lang w:val="es-ES_tradnl"/>
        </w:rPr>
        <w:t>(Para conocer más sobre dicha fecha, consulta el siguiente enlace</w:t>
      </w:r>
      <w:r w:rsidRPr="00333908" w:rsidR="0695E9DC">
        <w:rPr>
          <w:rFonts w:ascii="Aptos" w:hAnsi="Aptos" w:eastAsia="Aptos"/>
          <w:color w:val="000000" w:themeColor="text1"/>
          <w:lang w:val="es-ES_tradnl"/>
        </w:rPr>
        <w:t xml:space="preserve"> </w:t>
      </w:r>
      <w:hyperlink w:history="1" r:id="rId11">
        <w:r w:rsidRPr="00333908" w:rsidR="0695E9DC">
          <w:rPr>
            <w:rStyle w:val="Hyperlink"/>
            <w:rFonts w:ascii="Aptos" w:hAnsi="Aptos" w:eastAsia="Aptos"/>
            <w:lang w:val="es-ES_tradnl"/>
          </w:rPr>
          <w:t>https://www.un.org/es/observances/earth-day</w:t>
        </w:r>
      </w:hyperlink>
      <w:r w:rsidRPr="00333908" w:rsidR="0695E9DC">
        <w:rPr>
          <w:rFonts w:ascii="Aptos" w:hAnsi="Aptos" w:eastAsia="Aptos"/>
          <w:color w:val="000000" w:themeColor="text1"/>
          <w:lang w:val="es-ES_tradnl"/>
        </w:rPr>
        <w:t>)</w:t>
      </w:r>
      <w:r w:rsidRPr="00333908" w:rsidR="00001C78">
        <w:rPr>
          <w:rFonts w:ascii="Aptos" w:hAnsi="Aptos" w:eastAsia="Aptos"/>
          <w:color w:val="000000" w:themeColor="text1"/>
          <w:lang w:val="es-ES_tradnl"/>
        </w:rPr>
        <w:t xml:space="preserve"> </w:t>
      </w:r>
    </w:p>
    <w:p w:rsidRPr="00333908" w:rsidR="000C5FD8" w:rsidP="00110FEF" w:rsidRDefault="000C5FD8" w14:paraId="2EDCC09A" w14:textId="1A2F3EE6">
      <w:pPr>
        <w:pStyle w:val="ListParagraph"/>
        <w:numPr>
          <w:ilvl w:val="0"/>
          <w:numId w:val="2"/>
        </w:numPr>
        <w:rPr>
          <w:b/>
          <w:bCs/>
          <w:lang w:val="es-ES_tradnl"/>
        </w:rPr>
      </w:pPr>
      <w:r w:rsidRPr="00333908">
        <w:rPr>
          <w:b/>
          <w:bCs/>
          <w:lang w:val="es-ES_tradnl"/>
        </w:rPr>
        <w:t>Declaración de cierre de misión del Relator Especial sobre Sustancias Tóxicas y Derechos Humanos en el marco de su visita oficial a México</w:t>
      </w:r>
      <w:r w:rsidRPr="00333908" w:rsidR="00E067B6">
        <w:rPr>
          <w:b/>
          <w:bCs/>
          <w:lang w:val="es-ES_tradnl"/>
        </w:rPr>
        <w:t xml:space="preserve">. </w:t>
      </w:r>
      <w:r w:rsidRPr="00333908">
        <w:rPr>
          <w:b/>
          <w:bCs/>
          <w:lang w:val="es-ES_tradnl"/>
        </w:rPr>
        <w:t xml:space="preserve">Marzo, 2026 </w:t>
      </w:r>
    </w:p>
    <w:p w:rsidR="00040AFC" w:rsidRDefault="00040AFC" w14:paraId="55674B7B" w14:textId="497D0226">
      <w:pPr>
        <w:rPr>
          <w:lang w:val="es-ES_tradnl"/>
        </w:rPr>
      </w:pPr>
      <w:r w:rsidRPr="00040AFC">
        <w:rPr>
          <w:lang w:val="es-ES_tradnl"/>
        </w:rPr>
        <w:t>El Relator reconoció que el Poder Judicial de la Federación (PJF) ha tenido un rol importante para ga</w:t>
      </w:r>
      <w:r>
        <w:rPr>
          <w:lang w:val="es-ES_tradnl"/>
        </w:rPr>
        <w:t>r</w:t>
      </w:r>
      <w:r w:rsidRPr="00040AFC">
        <w:rPr>
          <w:lang w:val="es-ES_tradnl"/>
        </w:rPr>
        <w:t>antizar el acceso a la justicia de las comunidades afectadas por sustancias tóxicas, en especial, en relación con la contaminación del agua. Destacó los criterios de la Corte sobre legitimación activa para acceder al juicio de amparo, carga dinámica de la prueba y aplicación del Acuerdo de Escazú, alentando a su fortalecimiento. Asimismo, valoró positivamente que en la actividad judicial se reconozcan otros saberes, como los de pueblos indígenas y la ciencia ciudadana.</w:t>
      </w:r>
    </w:p>
    <w:p w:rsidRPr="00333908" w:rsidR="00C6264D" w:rsidRDefault="57E45A17" w14:paraId="5E62A860" w14:textId="0913BDDC">
      <w:pPr>
        <w:rPr>
          <w:lang w:val="es-ES_tradnl"/>
        </w:rPr>
      </w:pPr>
      <w:r w:rsidRPr="00333908">
        <w:rPr>
          <w:lang w:val="es-ES_tradnl"/>
        </w:rPr>
        <w:t xml:space="preserve">(Para conocer más sobre esta declaración, consulta el siguiente enlace </w:t>
      </w:r>
      <w:hyperlink w:history="1" r:id="rId12">
        <w:r w:rsidRPr="00333908" w:rsidR="00E96869">
          <w:rPr>
            <w:rStyle w:val="Hyperlink"/>
            <w:lang w:val="es-ES_tradnl"/>
          </w:rPr>
          <w:t>https://mexico.un.org/es/312236-declaraci%C3%B3n-de-cierre-de-misi%C3%B3n-del-relator-especial-marcos-orellana-m%C3%A9xico</w:t>
        </w:r>
      </w:hyperlink>
      <w:r w:rsidRPr="00333908">
        <w:rPr>
          <w:lang w:val="es-ES_tradnl"/>
        </w:rPr>
        <w:t>)</w:t>
      </w:r>
      <w:r w:rsidRPr="00333908" w:rsidR="00E96869">
        <w:rPr>
          <w:lang w:val="es-ES_tradnl"/>
        </w:rPr>
        <w:t xml:space="preserve"> </w:t>
      </w:r>
    </w:p>
    <w:p w:rsidRPr="0067130A" w:rsidR="00FC2B82" w:rsidP="0067130A" w:rsidRDefault="00FC2B82" w14:paraId="426D9F75" w14:textId="4EBD0626">
      <w:pPr>
        <w:pStyle w:val="ListParagraph"/>
        <w:numPr>
          <w:ilvl w:val="0"/>
          <w:numId w:val="2"/>
        </w:numPr>
        <w:rPr>
          <w:b/>
          <w:bCs/>
          <w:lang w:val="es-ES_tradnl"/>
        </w:rPr>
      </w:pPr>
      <w:r w:rsidRPr="00333908">
        <w:rPr>
          <w:b/>
          <w:bCs/>
          <w:lang w:val="es-ES_tradnl"/>
        </w:rPr>
        <w:t>Directrices sobre el acceso a la justicia y a recursos efectivos en el contexto de las sustancias tóxicas.</w:t>
      </w:r>
      <w:r w:rsidR="0067130A">
        <w:rPr>
          <w:b/>
          <w:bCs/>
          <w:lang w:val="es-ES_tradnl"/>
        </w:rPr>
        <w:t xml:space="preserve"> </w:t>
      </w:r>
      <w:r w:rsidRPr="0067130A" w:rsidR="0067130A">
        <w:rPr>
          <w:b/>
          <w:bCs/>
          <w:lang w:val="es-ES_tradnl"/>
        </w:rPr>
        <w:t>Relator Especial sobre Sustancias Tóxicas y Derechos Humanos.</w:t>
      </w:r>
      <w:r w:rsidRPr="0067130A">
        <w:rPr>
          <w:b/>
          <w:bCs/>
          <w:lang w:val="es-ES_tradnl"/>
        </w:rPr>
        <w:t xml:space="preserve"> Agosto, 2025 </w:t>
      </w:r>
    </w:p>
    <w:p w:rsidRPr="00333908" w:rsidR="00FC2B82" w:rsidRDefault="00FC2B82" w14:paraId="6F4D239C" w14:textId="05272306">
      <w:pPr>
        <w:rPr>
          <w:lang w:val="es-ES_tradnl"/>
        </w:rPr>
      </w:pPr>
      <w:r w:rsidRPr="00333908">
        <w:rPr>
          <w:lang w:val="es-ES_tradnl"/>
        </w:rPr>
        <w:t>En su más reciente informe ante el Consejo de Derechos Humanos, el Relator Especial</w:t>
      </w:r>
      <w:r w:rsidRPr="00333908" w:rsidR="00DB731D">
        <w:rPr>
          <w:lang w:val="es-ES_tradnl"/>
        </w:rPr>
        <w:t xml:space="preserve"> sobre Sustancias Toxicas y Derechos Humanos</w:t>
      </w:r>
      <w:r w:rsidRPr="00333908">
        <w:rPr>
          <w:lang w:val="es-ES_tradnl"/>
        </w:rPr>
        <w:t>, Marcos Orellana, señaló que el alcance de los recursos jurídicos disponibles en casos relacionados con contaminación por sustancias tóxicas suele ser demasiado limitado para abordar la magnitud total del daño causado. En los ordenamientos jurídicos se suele dar prioridad a las indemnizaciones y se dejan de lado formas esenciales de reparación, como la rehabilitación, la remediación ambiental y las garantías de no repetición.</w:t>
      </w:r>
    </w:p>
    <w:p w:rsidRPr="00333908" w:rsidR="00C6264D" w:rsidRDefault="00E96869" w14:paraId="4CFC3DE7" w14:textId="6D722593">
      <w:pPr>
        <w:rPr>
          <w:lang w:val="es-ES_tradnl"/>
        </w:rPr>
      </w:pPr>
      <w:r w:rsidRPr="00333908">
        <w:rPr>
          <w:lang w:val="es-ES_tradnl"/>
        </w:rPr>
        <w:t>(</w:t>
      </w:r>
      <w:r w:rsidRPr="00333908" w:rsidR="48BBB3F0">
        <w:rPr>
          <w:lang w:val="es-ES_tradnl"/>
        </w:rPr>
        <w:t xml:space="preserve">Para conocer más sobre estas directrices, consulta el siguiente enlace </w:t>
      </w:r>
      <w:hyperlink w:history="1" r:id="rId13">
        <w:r w:rsidRPr="00333908">
          <w:rPr>
            <w:rStyle w:val="Hyperlink"/>
            <w:lang w:val="es-ES_tradnl"/>
          </w:rPr>
          <w:t>https://www.ohchr.org/es/documents/thematic-reports/ahrc6034-guidelines-access-justice-and-effective-remedies-context-toxics</w:t>
        </w:r>
      </w:hyperlink>
      <w:r w:rsidRPr="00333908" w:rsidR="48BBB3F0">
        <w:rPr>
          <w:lang w:val="es-ES_tradnl"/>
        </w:rPr>
        <w:t>)</w:t>
      </w:r>
      <w:r w:rsidRPr="00333908">
        <w:rPr>
          <w:lang w:val="es-ES_tradnl"/>
        </w:rPr>
        <w:t xml:space="preserve"> </w:t>
      </w:r>
    </w:p>
    <w:p w:rsidRPr="00333908" w:rsidR="00DB731D" w:rsidP="00DB731D" w:rsidRDefault="00DB731D" w14:paraId="72FEA857" w14:textId="7F3AFC05">
      <w:pPr>
        <w:pStyle w:val="ListParagraph"/>
        <w:numPr>
          <w:ilvl w:val="0"/>
          <w:numId w:val="2"/>
        </w:numPr>
        <w:rPr>
          <w:b/>
          <w:bCs/>
          <w:lang w:val="es-ES_tradnl"/>
        </w:rPr>
      </w:pPr>
      <w:r w:rsidRPr="00333908">
        <w:rPr>
          <w:b/>
          <w:bCs/>
          <w:lang w:val="es-ES_tradnl"/>
        </w:rPr>
        <w:t xml:space="preserve">Audiencia regional </w:t>
      </w:r>
      <w:r w:rsidR="00590E5B">
        <w:rPr>
          <w:b/>
          <w:bCs/>
          <w:lang w:val="es-ES_tradnl"/>
        </w:rPr>
        <w:t xml:space="preserve">sobre la </w:t>
      </w:r>
      <w:r w:rsidRPr="00333908">
        <w:rPr>
          <w:b/>
          <w:bCs/>
          <w:lang w:val="es-ES_tradnl"/>
        </w:rPr>
        <w:t>extracción de combustibles fósiles. Comisión Interamericana de Derechos Humanos. Marzo</w:t>
      </w:r>
      <w:r w:rsidRPr="00333908" w:rsidR="001A7C4B">
        <w:rPr>
          <w:b/>
          <w:bCs/>
          <w:lang w:val="es-ES_tradnl"/>
        </w:rPr>
        <w:t>,</w:t>
      </w:r>
      <w:r w:rsidRPr="00333908">
        <w:rPr>
          <w:b/>
          <w:bCs/>
          <w:lang w:val="es-ES_tradnl"/>
        </w:rPr>
        <w:t xml:space="preserve"> 2026 </w:t>
      </w:r>
    </w:p>
    <w:p w:rsidRPr="00333908" w:rsidR="00DB731D" w:rsidP="00DB731D" w:rsidRDefault="00DB731D" w14:paraId="1472EB20" w14:textId="6A705876">
      <w:pPr>
        <w:rPr>
          <w:lang w:val="es-ES_tradnl"/>
        </w:rPr>
      </w:pPr>
      <w:r w:rsidRPr="00333908">
        <w:rPr>
          <w:lang w:val="es-ES_tradnl"/>
        </w:rPr>
        <w:t>La comisionada Rosa María Payá refirió que la Comisión Interamericana ha observado, en distintos contextos de la región, que los procesos de extracción de combustibles fósiles, así como los procesos de cierre y transición energética, pueden generar impactos significativos en los derechos humanos cuando no se cuenta con marcos regulatorios claros, mecanismos de supervisión adecuados y, especialmente, espacios efectivos de participación para las comunidades afectadas.</w:t>
      </w:r>
    </w:p>
    <w:p w:rsidRPr="00333908" w:rsidR="00C6264D" w:rsidP="00DB731D" w:rsidRDefault="00E96869" w14:paraId="388B1D18" w14:textId="221FE948">
      <w:pPr>
        <w:rPr>
          <w:lang w:val="es-ES_tradnl"/>
        </w:rPr>
      </w:pPr>
      <w:r w:rsidRPr="00333908">
        <w:rPr>
          <w:lang w:val="es-ES_tradnl"/>
        </w:rPr>
        <w:t>(</w:t>
      </w:r>
      <w:r w:rsidRPr="00333908" w:rsidR="54A33A74">
        <w:rPr>
          <w:lang w:val="es-ES_tradnl"/>
        </w:rPr>
        <w:t xml:space="preserve">Para conocer más sobre la audiencia regional, consulta el siguiente enlace </w:t>
      </w:r>
      <w:hyperlink w:history="1" r:id="rId14">
        <w:r w:rsidRPr="00333908" w:rsidR="00E92AC3">
          <w:rPr>
            <w:rStyle w:val="Hyperlink"/>
            <w:lang w:val="es-ES_tradnl"/>
          </w:rPr>
          <w:t>https://www.oas.org/es/cidh/sesiones/audiencia.asp?Hearing=3876</w:t>
        </w:r>
      </w:hyperlink>
      <w:r w:rsidRPr="00333908" w:rsidR="54A33A74">
        <w:rPr>
          <w:lang w:val="es-ES_tradnl"/>
        </w:rPr>
        <w:t>)</w:t>
      </w:r>
      <w:r w:rsidRPr="00333908" w:rsidR="00E92AC3">
        <w:rPr>
          <w:lang w:val="es-ES_tradnl"/>
        </w:rPr>
        <w:t xml:space="preserve"> </w:t>
      </w:r>
    </w:p>
    <w:p w:rsidRPr="00333908" w:rsidR="00DB731D" w:rsidP="00DB731D" w:rsidRDefault="00DB731D" w14:paraId="44BFFFF4" w14:textId="168C0054">
      <w:pPr>
        <w:pStyle w:val="ListParagraph"/>
        <w:numPr>
          <w:ilvl w:val="0"/>
          <w:numId w:val="2"/>
        </w:numPr>
        <w:rPr>
          <w:b/>
          <w:bCs/>
          <w:lang w:val="es-ES_tradnl"/>
        </w:rPr>
      </w:pPr>
      <w:r w:rsidRPr="00333908">
        <w:rPr>
          <w:b/>
          <w:bCs/>
          <w:lang w:val="es-ES_tradnl"/>
        </w:rPr>
        <w:t>La SCJN</w:t>
      </w:r>
      <w:r w:rsidR="0029464E">
        <w:rPr>
          <w:b/>
          <w:bCs/>
          <w:lang w:val="es-ES_tradnl"/>
        </w:rPr>
        <w:t xml:space="preserve">: </w:t>
      </w:r>
      <w:r w:rsidRPr="00333908">
        <w:rPr>
          <w:b/>
          <w:bCs/>
          <w:lang w:val="es-ES_tradnl"/>
        </w:rPr>
        <w:t>las sustancias tóxicas y desechos peligrosos</w:t>
      </w:r>
    </w:p>
    <w:p w:rsidRPr="00333908" w:rsidR="00DB731D" w:rsidP="00DB731D" w:rsidRDefault="00DB731D" w14:paraId="2F666E9E" w14:textId="3D202543">
      <w:pPr>
        <w:rPr>
          <w:lang w:val="es-ES_tradnl"/>
        </w:rPr>
      </w:pPr>
      <w:r w:rsidRPr="00333908">
        <w:rPr>
          <w:lang w:val="es-ES_tradnl"/>
        </w:rPr>
        <w:t xml:space="preserve">En el </w:t>
      </w:r>
      <w:r w:rsidRPr="00333908">
        <w:rPr>
          <w:b/>
          <w:lang w:val="es-ES_tradnl"/>
        </w:rPr>
        <w:t xml:space="preserve">Amparo Directo 20/2020, </w:t>
      </w:r>
      <w:r w:rsidRPr="00333908">
        <w:rPr>
          <w:lang w:val="es-ES_tradnl"/>
        </w:rPr>
        <w:t>la Suprema Corte enfatizó que</w:t>
      </w:r>
      <w:r w:rsidR="00E60771">
        <w:rPr>
          <w:lang w:val="es-ES_tradnl"/>
        </w:rPr>
        <w:t xml:space="preserve"> la</w:t>
      </w:r>
      <w:r w:rsidRPr="00E60771" w:rsidR="00E60771">
        <w:rPr>
          <w:lang w:val="es-ES_tradnl"/>
        </w:rPr>
        <w:t xml:space="preserve"> responsabilidad ambiental objetiva tiene tres elementos: a) una acción u omisión vinculada con materiales o residuos peligrosos; b) un daño ambiental y, c) un nexo causal entre ambos. En cambio, la responsabilidad ambiental subjetiva se acredita con: a) un hecho ilícito que viole normas ambientales; b) un daño ambiental y, c) un nexo causal entre ambos.</w:t>
      </w:r>
    </w:p>
    <w:p w:rsidRPr="00333908" w:rsidR="00DB731D" w:rsidP="00567CB0" w:rsidRDefault="55CDAF70" w14:paraId="09E708AE" w14:textId="47CA8D8D">
      <w:pPr>
        <w:ind w:left="708"/>
        <w:rPr>
          <w:rFonts w:ascii="Aptos" w:hAnsi="Aptos" w:eastAsia="Aptos"/>
          <w:color w:val="000000" w:themeColor="text1"/>
          <w:lang w:val="es-ES_tradnl"/>
        </w:rPr>
      </w:pPr>
      <w:r w:rsidRPr="00333908">
        <w:rPr>
          <w:rFonts w:ascii="Aptos" w:hAnsi="Aptos" w:eastAsia="Aptos"/>
          <w:color w:val="000000" w:themeColor="text1"/>
          <w:lang w:val="es-ES_tradnl"/>
        </w:rPr>
        <w:t xml:space="preserve">(Para consultar el buscador de sentencias y datos de expedientes de la SCJN en el que se encuentra este Amparo Directo 20/2020, consulta el siguiente enlace </w:t>
      </w:r>
      <w:hyperlink w:history="1" r:id="rId15">
        <w:r w:rsidRPr="00333908" w:rsidR="00E92AC3">
          <w:rPr>
            <w:rStyle w:val="Hyperlink"/>
            <w:rFonts w:ascii="Aptos" w:hAnsi="Aptos" w:eastAsia="Aptos"/>
            <w:lang w:val="es-ES_tradnl"/>
          </w:rPr>
          <w:t>https://www2.scjn.gob.mx/ConsultasTematica/Detalle/272461</w:t>
        </w:r>
      </w:hyperlink>
      <w:r w:rsidRPr="00333908">
        <w:rPr>
          <w:rFonts w:ascii="Aptos" w:hAnsi="Aptos" w:eastAsia="Aptos"/>
          <w:color w:val="000000" w:themeColor="text1"/>
          <w:lang w:val="es-ES_tradnl"/>
        </w:rPr>
        <w:t>)</w:t>
      </w:r>
      <w:r w:rsidRPr="00333908" w:rsidR="00E92AC3">
        <w:rPr>
          <w:rFonts w:ascii="Aptos" w:hAnsi="Aptos" w:eastAsia="Aptos"/>
          <w:color w:val="000000" w:themeColor="text1"/>
          <w:lang w:val="es-ES_tradnl"/>
        </w:rPr>
        <w:t xml:space="preserve"> </w:t>
      </w:r>
    </w:p>
    <w:p w:rsidRPr="00333908" w:rsidR="00DB731D" w:rsidP="00DB731D" w:rsidRDefault="00DB731D" w14:paraId="2D39714A" w14:textId="743F368A">
      <w:pPr>
        <w:rPr>
          <w:lang w:val="es-ES_tradnl"/>
        </w:rPr>
      </w:pPr>
      <w:r w:rsidRPr="00333908">
        <w:rPr>
          <w:lang w:val="es-ES_tradnl"/>
        </w:rPr>
        <w:t>A través del</w:t>
      </w:r>
      <w:r w:rsidRPr="00333908">
        <w:rPr>
          <w:b/>
          <w:lang w:val="es-ES_tradnl"/>
        </w:rPr>
        <w:t xml:space="preserve"> Amparo en Revisión 510/2024, </w:t>
      </w:r>
      <w:r w:rsidR="00EE1F45">
        <w:rPr>
          <w:bCs/>
          <w:lang w:val="es-ES_tradnl"/>
        </w:rPr>
        <w:t>en</w:t>
      </w:r>
      <w:r w:rsidRPr="00EE1F45" w:rsidR="00EE1F45">
        <w:rPr>
          <w:bCs/>
          <w:lang w:val="es-ES_tradnl"/>
        </w:rPr>
        <w:t xml:space="preserve"> el mismo sentido que en el Amparo en Revisión 544/2022, la Corte determinó que, tratándose de proyectos con impacto ambiental, las autoridades deben garantizar la generación y difusión de información ambiental a fin de que la ciudadanía tenga la posibilidad de ejercer otros derechos interdependientes como la participación ciudadana.</w:t>
      </w:r>
    </w:p>
    <w:p w:rsidRPr="00333908" w:rsidR="00DB731D" w:rsidP="00567CB0" w:rsidRDefault="67CDD36A" w14:paraId="0CA74F34" w14:textId="537C8BCE">
      <w:pPr>
        <w:ind w:left="708"/>
        <w:rPr>
          <w:rFonts w:ascii="Aptos" w:hAnsi="Aptos" w:eastAsia="Aptos"/>
          <w:color w:val="000000" w:themeColor="text1"/>
          <w:lang w:val="es-ES_tradnl"/>
        </w:rPr>
      </w:pPr>
      <w:r w:rsidRPr="00333908">
        <w:rPr>
          <w:rFonts w:ascii="Aptos" w:hAnsi="Aptos" w:eastAsia="Aptos"/>
          <w:color w:val="000000" w:themeColor="text1"/>
          <w:lang w:val="es-ES_tradnl"/>
        </w:rPr>
        <w:t xml:space="preserve">(Para consultar el buscador de sentencias y datos de expedientes de la SCJN en el que se encuentra este Amparo en Revisión 510/2024, consulta el siguiente enlace </w:t>
      </w:r>
      <w:hyperlink w:history="1" r:id="rId16">
        <w:r w:rsidRPr="00333908" w:rsidR="00E96869">
          <w:rPr>
            <w:rStyle w:val="Hyperlink"/>
            <w:rFonts w:ascii="Aptos" w:hAnsi="Aptos" w:eastAsia="Aptos"/>
            <w:lang w:val="es-ES_tradnl"/>
          </w:rPr>
          <w:t>https://www2.scjn.gob.mx/ConsultasTematica/Resultados/-0-0-2-510-2024</w:t>
        </w:r>
      </w:hyperlink>
      <w:r w:rsidRPr="00333908">
        <w:rPr>
          <w:rFonts w:ascii="Aptos" w:hAnsi="Aptos" w:eastAsia="Aptos"/>
          <w:color w:val="000000" w:themeColor="text1"/>
          <w:lang w:val="es-ES_tradnl"/>
        </w:rPr>
        <w:t>)</w:t>
      </w:r>
      <w:r w:rsidRPr="00333908" w:rsidR="00E96869">
        <w:rPr>
          <w:rFonts w:ascii="Aptos" w:hAnsi="Aptos" w:eastAsia="Aptos"/>
          <w:color w:val="000000" w:themeColor="text1"/>
          <w:lang w:val="es-ES_tradnl"/>
        </w:rPr>
        <w:t xml:space="preserve"> </w:t>
      </w:r>
    </w:p>
    <w:p w:rsidRPr="001B0C39" w:rsidR="001B0C39" w:rsidP="001B0C39" w:rsidRDefault="00DB731D" w14:paraId="64C31BB8" w14:textId="65007F30">
      <w:pPr>
        <w:rPr>
          <w:bCs/>
          <w:lang w:val="es-ES_tradnl"/>
        </w:rPr>
      </w:pPr>
      <w:r w:rsidRPr="00333908">
        <w:rPr>
          <w:lang w:val="es-ES_tradnl"/>
        </w:rPr>
        <w:t>En el</w:t>
      </w:r>
      <w:r w:rsidRPr="00333908">
        <w:rPr>
          <w:b/>
          <w:lang w:val="es-ES_tradnl"/>
        </w:rPr>
        <w:t xml:space="preserve"> Amparo en Revisión 128/2022, </w:t>
      </w:r>
      <w:r w:rsidRPr="00333908">
        <w:rPr>
          <w:lang w:val="es-ES_tradnl"/>
        </w:rPr>
        <w:t xml:space="preserve">la Suprema Corte mencionó </w:t>
      </w:r>
      <w:r w:rsidRPr="00333908" w:rsidR="00E96869">
        <w:rPr>
          <w:lang w:val="es-ES_tradnl"/>
        </w:rPr>
        <w:t>que,</w:t>
      </w:r>
      <w:r w:rsidRPr="00333908">
        <w:rPr>
          <w:b/>
          <w:lang w:val="es-ES_tradnl"/>
        </w:rPr>
        <w:t xml:space="preserve"> </w:t>
      </w:r>
      <w:r w:rsidR="001B0C39">
        <w:rPr>
          <w:bCs/>
          <w:lang w:val="es-ES_tradnl"/>
        </w:rPr>
        <w:t>a</w:t>
      </w:r>
      <w:r w:rsidRPr="001B0C39" w:rsidR="001B0C39">
        <w:rPr>
          <w:bCs/>
          <w:lang w:val="es-ES_tradnl"/>
        </w:rPr>
        <w:t xml:space="preserve"> la luz del principio de precaución en materia ambiental, la prohibición del uso de bolsas de plástico puro es una medida necesaria para proteger el medio ambiente.</w:t>
      </w:r>
    </w:p>
    <w:p w:rsidRPr="00333908" w:rsidR="00E96869" w:rsidP="001B0C39" w:rsidRDefault="6922E250" w14:paraId="115FE889" w14:textId="38E282DD">
      <w:pPr>
        <w:ind w:left="708"/>
        <w:rPr>
          <w:rFonts w:ascii="Aptos" w:hAnsi="Aptos" w:eastAsia="Aptos"/>
          <w:color w:val="000000" w:themeColor="text1"/>
          <w:lang w:val="es-ES_tradnl"/>
        </w:rPr>
      </w:pPr>
      <w:r w:rsidRPr="00333908">
        <w:rPr>
          <w:rFonts w:ascii="Aptos" w:hAnsi="Aptos" w:eastAsia="Aptos"/>
          <w:color w:val="000000" w:themeColor="text1"/>
          <w:lang w:val="es-ES_tradnl"/>
        </w:rPr>
        <w:t xml:space="preserve">(Para consultar el buscador de sentencias y datos de expedientes de la SCJN en el que se encuentra este Amparo en Revisión 128/2022, consulta el siguiente enlace </w:t>
      </w:r>
      <w:hyperlink w:history="1" r:id="rId17">
        <w:r w:rsidRPr="00333908" w:rsidR="00E96869">
          <w:rPr>
            <w:rStyle w:val="Hyperlink"/>
            <w:rFonts w:ascii="Aptos" w:hAnsi="Aptos" w:eastAsia="Aptos"/>
            <w:lang w:val="es-ES_tradnl"/>
          </w:rPr>
          <w:t>https://www2.scjn.gob.mx/ConsultasTematica/Detalle/295051</w:t>
        </w:r>
      </w:hyperlink>
      <w:r w:rsidRPr="00333908" w:rsidR="79D37CA0">
        <w:rPr>
          <w:rFonts w:ascii="Aptos" w:hAnsi="Aptos" w:eastAsia="Aptos"/>
          <w:color w:val="000000" w:themeColor="text1"/>
          <w:lang w:val="es-ES_tradnl"/>
        </w:rPr>
        <w:t>)</w:t>
      </w:r>
    </w:p>
    <w:p w:rsidRPr="00333908" w:rsidR="00DB731D" w:rsidP="00DB731D" w:rsidRDefault="00DB0DA8" w14:paraId="1FB24BB3" w14:textId="120C3C93">
      <w:pPr>
        <w:rPr>
          <w:lang w:val="es-ES_tradnl"/>
        </w:rPr>
      </w:pPr>
      <w:r w:rsidRPr="00333908">
        <w:rPr>
          <w:lang w:val="es-ES_tradnl"/>
        </w:rPr>
        <w:t>Por medio del</w:t>
      </w:r>
      <w:r w:rsidRPr="00333908" w:rsidR="00DB731D">
        <w:rPr>
          <w:lang w:val="es-ES_tradnl"/>
        </w:rPr>
        <w:t xml:space="preserve"> </w:t>
      </w:r>
      <w:r w:rsidRPr="00333908" w:rsidR="00DB731D">
        <w:rPr>
          <w:b/>
          <w:lang w:val="es-ES_tradnl"/>
        </w:rPr>
        <w:t>Amparo en Revisión 610/2019</w:t>
      </w:r>
      <w:r w:rsidRPr="00333908" w:rsidR="00DB731D">
        <w:rPr>
          <w:lang w:val="es-ES_tradnl"/>
        </w:rPr>
        <w:t xml:space="preserve">, el Tribunal </w:t>
      </w:r>
      <w:r w:rsidRPr="00333908" w:rsidR="006C7D1C">
        <w:rPr>
          <w:lang w:val="es-ES_tradnl"/>
        </w:rPr>
        <w:t>Constitucional</w:t>
      </w:r>
      <w:r w:rsidRPr="00333908" w:rsidR="00DB731D">
        <w:rPr>
          <w:lang w:val="es-ES_tradnl"/>
        </w:rPr>
        <w:t xml:space="preserve"> mencionó que</w:t>
      </w:r>
      <w:r w:rsidR="00425FA1">
        <w:rPr>
          <w:lang w:val="es-ES_tradnl"/>
        </w:rPr>
        <w:t xml:space="preserve"> los</w:t>
      </w:r>
      <w:r w:rsidRPr="00425FA1" w:rsidR="00425FA1">
        <w:rPr>
          <w:lang w:val="es-ES_tradnl"/>
        </w:rPr>
        <w:t xml:space="preserve"> beneficios económicos que, en su caso, pueda generar el incremento del porcentaje de etanol en las gasolinas, deben ponderarse con los potenciales riesgos para el medio ambiente, así como con las obligaciones estatales de reducir las emisiones de gases de efecto invernadero que contribuyen al cambio climático.</w:t>
      </w:r>
      <w:r w:rsidRPr="00333908" w:rsidR="00DB731D">
        <w:rPr>
          <w:lang w:val="es-ES_tradnl"/>
        </w:rPr>
        <w:t xml:space="preserve"> </w:t>
      </w:r>
    </w:p>
    <w:p w:rsidRPr="00333908" w:rsidR="00DB0DA8" w:rsidP="00567CB0" w:rsidRDefault="437D04C2" w14:paraId="7BBD0760" w14:textId="7F239514">
      <w:pPr>
        <w:ind w:left="708"/>
        <w:rPr>
          <w:rFonts w:ascii="Aptos" w:hAnsi="Aptos" w:eastAsia="Aptos"/>
          <w:color w:val="000000" w:themeColor="text1"/>
          <w:lang w:val="es-ES_tradnl"/>
        </w:rPr>
      </w:pPr>
      <w:r w:rsidRPr="00333908">
        <w:rPr>
          <w:rFonts w:ascii="Aptos" w:hAnsi="Aptos" w:eastAsia="Aptos"/>
          <w:color w:val="000000" w:themeColor="text1"/>
          <w:lang w:val="es-ES_tradnl"/>
        </w:rPr>
        <w:t>(</w:t>
      </w:r>
      <w:r w:rsidRPr="00333908" w:rsidR="30E006A0">
        <w:rPr>
          <w:rFonts w:ascii="Aptos" w:hAnsi="Aptos" w:eastAsia="Aptos"/>
          <w:color w:val="000000" w:themeColor="text1"/>
          <w:lang w:val="es-ES_tradnl"/>
        </w:rPr>
        <w:t>P</w:t>
      </w:r>
      <w:r w:rsidRPr="00333908" w:rsidR="052A4A84">
        <w:rPr>
          <w:rFonts w:ascii="Aptos" w:hAnsi="Aptos" w:eastAsia="Aptos"/>
          <w:color w:val="000000" w:themeColor="text1"/>
          <w:lang w:val="es-ES_tradnl"/>
        </w:rPr>
        <w:t xml:space="preserve">ara consultar el buscador de sentencias y datos de expedientes de la SCJN en el que se encuentra este Amparo en Revisión </w:t>
      </w:r>
      <w:r w:rsidRPr="00333908" w:rsidR="40615180">
        <w:rPr>
          <w:rFonts w:ascii="Aptos" w:hAnsi="Aptos" w:eastAsia="Aptos"/>
          <w:color w:val="000000" w:themeColor="text1"/>
          <w:lang w:val="es-ES_tradnl"/>
        </w:rPr>
        <w:t>610/2019</w:t>
      </w:r>
      <w:r w:rsidRPr="00333908" w:rsidR="052A4A84">
        <w:rPr>
          <w:rFonts w:ascii="Aptos" w:hAnsi="Aptos" w:eastAsia="Aptos"/>
          <w:color w:val="000000" w:themeColor="text1"/>
          <w:lang w:val="es-ES_tradnl"/>
        </w:rPr>
        <w:t xml:space="preserve">, consulta el siguiente enlace </w:t>
      </w:r>
      <w:hyperlink w:history="1" r:id="rId18">
        <w:r w:rsidRPr="00333908" w:rsidR="008D0DD2">
          <w:rPr>
            <w:rStyle w:val="Hyperlink"/>
            <w:rFonts w:ascii="Aptos" w:hAnsi="Aptos" w:eastAsia="Aptos"/>
            <w:lang w:val="es-ES_tradnl"/>
          </w:rPr>
          <w:t>https://www2.scjn.gob.mx/ConsultasTematica/Detalle/259765</w:t>
        </w:r>
      </w:hyperlink>
      <w:r w:rsidRPr="00333908" w:rsidR="6B538296">
        <w:rPr>
          <w:rFonts w:ascii="Aptos" w:hAnsi="Aptos" w:eastAsia="Aptos"/>
          <w:color w:val="000000" w:themeColor="text1"/>
          <w:lang w:val="es-ES_tradnl"/>
        </w:rPr>
        <w:t>)</w:t>
      </w:r>
      <w:r w:rsidRPr="00333908" w:rsidR="008D0DD2">
        <w:rPr>
          <w:rFonts w:ascii="Aptos" w:hAnsi="Aptos" w:eastAsia="Aptos"/>
          <w:color w:val="000000" w:themeColor="text1"/>
          <w:lang w:val="es-ES_tradnl"/>
        </w:rPr>
        <w:t xml:space="preserve"> </w:t>
      </w:r>
    </w:p>
    <w:p w:rsidRPr="00FB43A6" w:rsidR="00DB731D" w:rsidP="00DB731D" w:rsidRDefault="00DB731D" w14:paraId="1743E1AF" w14:textId="02A29614">
      <w:pPr>
        <w:rPr>
          <w:b/>
          <w:bCs/>
        </w:rPr>
      </w:pPr>
      <w:r w:rsidRPr="00333908">
        <w:rPr>
          <w:lang w:val="es-ES_tradnl"/>
        </w:rPr>
        <w:t>A través del</w:t>
      </w:r>
      <w:r w:rsidRPr="00333908" w:rsidR="00DB0DA8">
        <w:rPr>
          <w:b/>
          <w:bCs/>
          <w:lang w:val="es-ES_tradnl"/>
        </w:rPr>
        <w:t xml:space="preserve"> Amparo en Revisión 641/2017, </w:t>
      </w:r>
      <w:r w:rsidR="00FB43A6">
        <w:rPr>
          <w:lang w:val="es-ES_tradnl"/>
        </w:rPr>
        <w:t>l</w:t>
      </w:r>
      <w:r w:rsidRPr="00FB43A6" w:rsidR="00FB43A6">
        <w:t>a</w:t>
      </w:r>
      <w:r w:rsidRPr="00FB43A6" w:rsidR="00FB43A6">
        <w:rPr>
          <w:lang w:val="es-ES_tradnl"/>
        </w:rPr>
        <w:t xml:space="preserve"> Corte ordenó a las autoridades federales y locales adoptar y acreditar medidas concretas para restaurar ecológicamente y sanear los canales del pueblo de San Andrés Mixquic.</w:t>
      </w:r>
    </w:p>
    <w:p w:rsidRPr="00333908" w:rsidR="00DB0DA8" w:rsidP="00567CB0" w:rsidRDefault="68807CA3" w14:paraId="0036C17C" w14:textId="196731F2">
      <w:pPr>
        <w:ind w:left="708"/>
        <w:rPr>
          <w:b/>
          <w:bCs/>
          <w:lang w:val="es-ES_tradnl"/>
        </w:rPr>
      </w:pPr>
      <w:r w:rsidRPr="00333908">
        <w:rPr>
          <w:rFonts w:ascii="Aptos" w:hAnsi="Aptos" w:eastAsia="Aptos"/>
          <w:color w:val="000000" w:themeColor="text1"/>
          <w:lang w:val="es-ES_tradnl"/>
        </w:rPr>
        <w:t>(</w:t>
      </w:r>
      <w:r w:rsidRPr="00333908" w:rsidR="4883EC4A">
        <w:rPr>
          <w:rFonts w:ascii="Aptos" w:hAnsi="Aptos" w:eastAsia="Aptos"/>
          <w:color w:val="000000" w:themeColor="text1"/>
          <w:lang w:val="es-ES_tradnl"/>
        </w:rPr>
        <w:t>P</w:t>
      </w:r>
      <w:r w:rsidRPr="00333908" w:rsidR="705690FD">
        <w:rPr>
          <w:rFonts w:ascii="Aptos" w:hAnsi="Aptos" w:eastAsia="Aptos"/>
          <w:color w:val="000000" w:themeColor="text1"/>
          <w:lang w:val="es-ES_tradnl"/>
        </w:rPr>
        <w:t xml:space="preserve">ara consultar el buscador de sentencias y datos de expedientes de la SCJN en el que se encuentra este Amparo en Revisión </w:t>
      </w:r>
      <w:r w:rsidRPr="00333908" w:rsidR="62ECFE62">
        <w:rPr>
          <w:rFonts w:ascii="Aptos" w:hAnsi="Aptos" w:eastAsia="Aptos"/>
          <w:color w:val="000000" w:themeColor="text1"/>
          <w:lang w:val="es-ES_tradnl"/>
        </w:rPr>
        <w:t>641/2017</w:t>
      </w:r>
      <w:r w:rsidRPr="00333908" w:rsidR="705690FD">
        <w:rPr>
          <w:rFonts w:ascii="Aptos" w:hAnsi="Aptos" w:eastAsia="Aptos"/>
          <w:color w:val="000000" w:themeColor="text1"/>
          <w:lang w:val="es-ES_tradnl"/>
        </w:rPr>
        <w:t xml:space="preserve">, consulta el siguiente enlace </w:t>
      </w:r>
      <w:hyperlink w:history="1" r:id="rId19">
        <w:r w:rsidRPr="00333908" w:rsidR="008D0DD2">
          <w:rPr>
            <w:rStyle w:val="Hyperlink"/>
            <w:rFonts w:ascii="Aptos" w:hAnsi="Aptos" w:eastAsia="Aptos"/>
            <w:lang w:val="es-ES_tradnl"/>
          </w:rPr>
          <w:t>https://www2.scjn.gob.mx/ConsultasTematica/Detalle/218790</w:t>
        </w:r>
      </w:hyperlink>
      <w:r w:rsidRPr="00333908" w:rsidR="7801DA37">
        <w:rPr>
          <w:rFonts w:ascii="Aptos" w:hAnsi="Aptos" w:eastAsia="Aptos"/>
          <w:color w:val="000000" w:themeColor="text1"/>
          <w:lang w:val="es-ES_tradnl"/>
        </w:rPr>
        <w:t>)</w:t>
      </w:r>
      <w:r w:rsidRPr="00333908" w:rsidR="008D0DD2">
        <w:rPr>
          <w:rFonts w:ascii="Aptos" w:hAnsi="Aptos" w:eastAsia="Aptos"/>
          <w:color w:val="000000" w:themeColor="text1"/>
          <w:lang w:val="es-ES_tradnl"/>
        </w:rPr>
        <w:t xml:space="preserve"> </w:t>
      </w:r>
      <w:r w:rsidRPr="00333908" w:rsidR="00DB0DA8">
        <w:rPr>
          <w:b/>
          <w:bCs/>
          <w:lang w:val="es-ES_tradnl"/>
        </w:rPr>
        <w:br w:type="page"/>
      </w:r>
    </w:p>
    <w:p w:rsidRPr="00333908" w:rsidR="00DB731D" w:rsidP="00DB0DA8" w:rsidRDefault="00DB0DA8" w14:paraId="6C5C3C79" w14:textId="6C12719F">
      <w:pPr>
        <w:pStyle w:val="Heading1"/>
        <w:rPr>
          <w:b/>
          <w:bCs/>
          <w:lang w:val="es-ES_tradnl"/>
        </w:rPr>
      </w:pPr>
      <w:r w:rsidRPr="00333908">
        <w:rPr>
          <w:b/>
          <w:bCs/>
          <w:lang w:val="es-ES_tradnl"/>
        </w:rPr>
        <w:t xml:space="preserve">Sabías que </w:t>
      </w:r>
    </w:p>
    <w:p w:rsidRPr="00333908" w:rsidR="00DB0DA8" w:rsidP="00DB731D" w:rsidRDefault="00DB0DA8" w14:paraId="34C3C160" w14:textId="34E625F5">
      <w:pPr>
        <w:rPr>
          <w:lang w:val="es-ES_tradnl"/>
        </w:rPr>
      </w:pPr>
      <w:r w:rsidRPr="00333908">
        <w:rPr>
          <w:lang w:val="es-ES_tradnl"/>
        </w:rPr>
        <w:t>En este apartado se muestran datos interesantes sobre las formas de resolver disputas ambientales,</w:t>
      </w:r>
      <w:r w:rsidR="00913EC0">
        <w:rPr>
          <w:lang w:val="es-ES_tradnl"/>
        </w:rPr>
        <w:t xml:space="preserve"> </w:t>
      </w:r>
      <w:r w:rsidRPr="00333908">
        <w:rPr>
          <w:lang w:val="es-ES_tradnl"/>
        </w:rPr>
        <w:t xml:space="preserve">así como 16 principios internacionales del derecho ambiental. </w:t>
      </w:r>
    </w:p>
    <w:p w:rsidR="00C108CA" w:rsidP="00DB0DA8" w:rsidRDefault="00C108CA" w14:paraId="5693AE64" w14:textId="6A68F343">
      <w:pPr>
        <w:pStyle w:val="ListParagraph"/>
        <w:numPr>
          <w:ilvl w:val="0"/>
          <w:numId w:val="3"/>
        </w:numPr>
        <w:rPr>
          <w:b/>
          <w:bCs/>
          <w:lang w:val="es-ES_tradnl"/>
        </w:rPr>
      </w:pPr>
      <w:r>
        <w:rPr>
          <w:b/>
          <w:bCs/>
          <w:lang w:val="es-ES_tradnl"/>
        </w:rPr>
        <w:t xml:space="preserve">El programa de las Naciones Unidas para el Medio Ambiente (PNUMA) propone seis diferentes formas de resolver disputas ambientales </w:t>
      </w:r>
    </w:p>
    <w:p w:rsidRPr="00333908" w:rsidR="00911B94" w:rsidP="401C695D" w:rsidRDefault="00C6264D" w14:paraId="60A19105" w14:textId="751C0B6A">
      <w:pPr>
        <w:rPr>
          <w:lang w:val="es-ES"/>
        </w:rPr>
      </w:pPr>
      <w:r w:rsidRPr="401C695D" w:rsidR="00C6264D">
        <w:rPr>
          <w:lang w:val="es-ES"/>
        </w:rPr>
        <w:t xml:space="preserve">(1) </w:t>
      </w:r>
      <w:r w:rsidRPr="401C695D" w:rsidR="00DB0DA8">
        <w:rPr>
          <w:lang w:val="es-ES"/>
        </w:rPr>
        <w:t xml:space="preserve">Tribunales ambientales, </w:t>
      </w:r>
      <w:r w:rsidRPr="401C695D" w:rsidR="00911B94">
        <w:rPr>
          <w:lang w:val="es-ES"/>
        </w:rPr>
        <w:t>(2) Arbitraje especializado en materia ambiental (Tailandia e India)</w:t>
      </w:r>
      <w:r w:rsidRPr="401C695D" w:rsidR="00DB0DA8">
        <w:rPr>
          <w:lang w:val="es-ES"/>
        </w:rPr>
        <w:t xml:space="preserve">, </w:t>
      </w:r>
      <w:r w:rsidRPr="401C695D" w:rsidR="00911B94">
        <w:rPr>
          <w:lang w:val="es-ES"/>
        </w:rPr>
        <w:t xml:space="preserve">(3) </w:t>
      </w:r>
      <w:r w:rsidRPr="401C695D" w:rsidR="00DB0DA8">
        <w:rPr>
          <w:lang w:val="es-ES"/>
        </w:rPr>
        <w:t xml:space="preserve">Jueces </w:t>
      </w:r>
      <w:r w:rsidRPr="401C695D" w:rsidR="00911B94">
        <w:rPr>
          <w:lang w:val="es-ES"/>
        </w:rPr>
        <w:t>medioambientales</w:t>
      </w:r>
      <w:r w:rsidRPr="401C695D" w:rsidR="00DB0DA8">
        <w:rPr>
          <w:lang w:val="es-ES"/>
        </w:rPr>
        <w:t xml:space="preserve"> designados en un tribunal general, </w:t>
      </w:r>
      <w:r w:rsidRPr="401C695D" w:rsidR="00911B94">
        <w:rPr>
          <w:lang w:val="es-ES"/>
        </w:rPr>
        <w:t xml:space="preserve">(4) </w:t>
      </w:r>
      <w:r w:rsidRPr="401C695D" w:rsidR="00DB0DA8">
        <w:rPr>
          <w:lang w:val="es-ES"/>
        </w:rPr>
        <w:t>Tribunales independientes,</w:t>
      </w:r>
      <w:r w:rsidRPr="401C695D" w:rsidR="00911B94">
        <w:rPr>
          <w:lang w:val="es-ES"/>
        </w:rPr>
        <w:t xml:space="preserve"> (5)</w:t>
      </w:r>
      <w:r w:rsidRPr="401C695D" w:rsidR="00DB0DA8">
        <w:rPr>
          <w:lang w:val="es-ES"/>
        </w:rPr>
        <w:t xml:space="preserve"> Tribunales ambientales </w:t>
      </w:r>
      <w:r w:rsidRPr="401C695D" w:rsidR="00911B94">
        <w:rPr>
          <w:lang w:val="es-ES"/>
        </w:rPr>
        <w:t>cuasi-</w:t>
      </w:r>
      <w:r w:rsidRPr="401C695D" w:rsidR="00DB0DA8">
        <w:rPr>
          <w:lang w:val="es-ES"/>
        </w:rPr>
        <w:t xml:space="preserve">independientes, </w:t>
      </w:r>
      <w:r w:rsidRPr="401C695D" w:rsidR="00911B94">
        <w:rPr>
          <w:lang w:val="es-ES"/>
        </w:rPr>
        <w:t xml:space="preserve">(6) </w:t>
      </w:r>
      <w:r w:rsidRPr="401C695D" w:rsidR="00DB0DA8">
        <w:rPr>
          <w:lang w:val="es-ES"/>
        </w:rPr>
        <w:t xml:space="preserve">Tribunales </w:t>
      </w:r>
      <w:r w:rsidRPr="401C695D" w:rsidR="00911B94">
        <w:rPr>
          <w:lang w:val="es-ES"/>
        </w:rPr>
        <w:t>dependientes de la Junta de Apelaciones Medioambientales (Estados Unidos)</w:t>
      </w:r>
      <w:r w:rsidRPr="401C695D" w:rsidR="00DB0DA8">
        <w:rPr>
          <w:lang w:val="es-ES"/>
        </w:rPr>
        <w:t>.</w:t>
      </w:r>
    </w:p>
    <w:p w:rsidRPr="00333908" w:rsidR="00C6264D" w:rsidP="00C6264D" w:rsidRDefault="3AB78DD8" w14:paraId="1B0F8CA1" w14:textId="5B9EC2C9">
      <w:pPr>
        <w:rPr>
          <w:lang w:val="es-ES_tradnl"/>
        </w:rPr>
      </w:pPr>
      <w:r w:rsidRPr="00333908">
        <w:rPr>
          <w:lang w:val="es-ES_tradnl"/>
        </w:rPr>
        <w:t>(Para conocer más sobre las formas de resolver disputas ambientales en el mundo</w:t>
      </w:r>
      <w:r w:rsidRPr="00333908" w:rsidR="15BD8312">
        <w:rPr>
          <w:lang w:val="es-ES_tradnl"/>
        </w:rPr>
        <w:t>,</w:t>
      </w:r>
      <w:r w:rsidRPr="00333908">
        <w:rPr>
          <w:lang w:val="es-ES_tradnl"/>
        </w:rPr>
        <w:t xml:space="preserve"> consulta el siguiente enlace </w:t>
      </w:r>
      <w:hyperlink w:history="1" r:id="rId20">
        <w:r w:rsidRPr="00333908" w:rsidR="00567CB0">
          <w:rPr>
            <w:rStyle w:val="Hyperlink"/>
            <w:lang w:val="es-ES_tradnl"/>
          </w:rPr>
          <w:t>https://wedocs.unep.org/items/e729bdc2-3d74-421d-b82b-063b408a4265</w:t>
        </w:r>
      </w:hyperlink>
      <w:r w:rsidRPr="00333908">
        <w:rPr>
          <w:lang w:val="es-ES_tradnl"/>
        </w:rPr>
        <w:t>)</w:t>
      </w:r>
      <w:r w:rsidRPr="00333908" w:rsidR="00567CB0">
        <w:rPr>
          <w:lang w:val="es-ES_tradnl"/>
        </w:rPr>
        <w:t xml:space="preserve"> </w:t>
      </w:r>
    </w:p>
    <w:p w:rsidRPr="00333908" w:rsidR="00C56850" w:rsidP="00C56850" w:rsidRDefault="001D1BFA" w14:paraId="2C916E8F" w14:textId="2FC58F44">
      <w:pPr>
        <w:pStyle w:val="ListParagraph"/>
        <w:numPr>
          <w:ilvl w:val="0"/>
          <w:numId w:val="3"/>
        </w:numPr>
        <w:rPr>
          <w:b/>
          <w:bCs/>
          <w:lang w:val="es-ES_tradnl"/>
        </w:rPr>
      </w:pPr>
      <w:r w:rsidRPr="001D1BFA">
        <w:rPr>
          <w:b/>
          <w:bCs/>
          <w:lang w:val="es-ES_tradnl"/>
        </w:rPr>
        <w:t>El PNUMA propone 16 principios internacionales del derecho ambiental</w:t>
      </w:r>
    </w:p>
    <w:p w:rsidRPr="00333908" w:rsidR="00C56850" w:rsidP="401C695D" w:rsidRDefault="009531DB" w14:paraId="675C42CE" w14:textId="07D6AA18">
      <w:pPr>
        <w:rPr>
          <w:lang w:val="es-ES"/>
        </w:rPr>
      </w:pPr>
      <w:r w:rsidRPr="401C695D" w:rsidR="009531DB">
        <w:rPr>
          <w:lang w:val="es-ES"/>
        </w:rPr>
        <w:t xml:space="preserve">(1) Desarrollo sostenible, integración e interdependencia (2) Equidad intergeneracional e </w:t>
      </w:r>
      <w:r w:rsidRPr="401C695D" w:rsidR="009531DB">
        <w:rPr>
          <w:lang w:val="es-ES"/>
        </w:rPr>
        <w:t>intrageneracional</w:t>
      </w:r>
      <w:r w:rsidRPr="401C695D" w:rsidR="009531DB">
        <w:rPr>
          <w:lang w:val="es-ES"/>
        </w:rPr>
        <w:t xml:space="preserve"> (3) Responsabilidad por daños fronterizos (4) Transparencia, participación pública, acceso a la información y recursos (5) Cooperación y responsabilidades comunes pero diferenciadas (6) Precaución (7) Prevención (8) </w:t>
      </w:r>
      <w:r w:rsidRPr="401C695D" w:rsidR="00432CBF">
        <w:rPr>
          <w:lang w:val="es-ES"/>
        </w:rPr>
        <w:t>No</w:t>
      </w:r>
      <w:r w:rsidRPr="401C695D" w:rsidR="009531DB">
        <w:rPr>
          <w:lang w:val="es-ES"/>
        </w:rPr>
        <w:t xml:space="preserve"> discriminación (9) </w:t>
      </w:r>
      <w:r w:rsidRPr="401C695D" w:rsidR="00432CBF">
        <w:rPr>
          <w:lang w:val="es-ES"/>
        </w:rPr>
        <w:t>Q</w:t>
      </w:r>
      <w:r w:rsidRPr="401C695D" w:rsidR="009531DB">
        <w:rPr>
          <w:lang w:val="es-ES"/>
        </w:rPr>
        <w:t>uien contamina pag</w:t>
      </w:r>
      <w:r w:rsidRPr="401C695D" w:rsidR="00627ABC">
        <w:rPr>
          <w:lang w:val="es-ES"/>
        </w:rPr>
        <w:t>a</w:t>
      </w:r>
      <w:r w:rsidRPr="401C695D" w:rsidR="009531DB">
        <w:rPr>
          <w:lang w:val="es-ES"/>
        </w:rPr>
        <w:t xml:space="preserve"> (10) Acceso y participación en los beneficios relacionados con los derechos naturales (11) Patrimonio común y preocupación común de la humanidad (12) Buen gobierno (13) </w:t>
      </w:r>
      <w:r w:rsidRPr="401C695D" w:rsidR="009531DB">
        <w:rPr>
          <w:i w:val="1"/>
          <w:iCs w:val="1"/>
          <w:lang w:val="es-ES"/>
        </w:rPr>
        <w:t>In dubio pro natura</w:t>
      </w:r>
      <w:r w:rsidRPr="401C695D" w:rsidR="009531DB">
        <w:rPr>
          <w:lang w:val="es-ES"/>
        </w:rPr>
        <w:t xml:space="preserve">, (14) </w:t>
      </w:r>
      <w:r w:rsidRPr="401C695D" w:rsidR="009531DB">
        <w:rPr>
          <w:i w:val="1"/>
          <w:iCs w:val="1"/>
          <w:lang w:val="es-ES"/>
        </w:rPr>
        <w:t xml:space="preserve">In dubio pro </w:t>
      </w:r>
      <w:r w:rsidRPr="401C695D" w:rsidR="009531DB">
        <w:rPr>
          <w:i w:val="1"/>
          <w:iCs w:val="1"/>
          <w:lang w:val="es-ES"/>
        </w:rPr>
        <w:t>aqua</w:t>
      </w:r>
      <w:r w:rsidRPr="401C695D" w:rsidR="009531DB">
        <w:rPr>
          <w:lang w:val="es-ES"/>
        </w:rPr>
        <w:t xml:space="preserve">, (15) Derecho a un medio ambiente sano y sostenible, y (16) Responsabilidad de las empresas (de respetar los derechos humanos). </w:t>
      </w:r>
    </w:p>
    <w:p w:rsidRPr="00333908" w:rsidR="00C6264D" w:rsidP="00DB731D" w:rsidRDefault="32F62A9B" w14:paraId="58BCFD2E" w14:textId="783CBAD4">
      <w:pPr>
        <w:rPr>
          <w:lang w:val="es-ES_tradnl"/>
        </w:rPr>
      </w:pPr>
      <w:r w:rsidRPr="00333908">
        <w:rPr>
          <w:lang w:val="es-ES_tradnl"/>
        </w:rPr>
        <w:t>(Para conocer más sobre los principios internaciones de derecho ambiental</w:t>
      </w:r>
      <w:r w:rsidRPr="00333908" w:rsidR="02C0E8A6">
        <w:rPr>
          <w:lang w:val="es-ES_tradnl"/>
        </w:rPr>
        <w:t>,</w:t>
      </w:r>
      <w:r w:rsidRPr="00333908">
        <w:rPr>
          <w:lang w:val="es-ES_tradnl"/>
        </w:rPr>
        <w:t xml:space="preserve"> consulta el siguiente enlace </w:t>
      </w:r>
      <w:hyperlink w:history="1" r:id="rId21">
        <w:r w:rsidRPr="00333908" w:rsidR="00567CB0">
          <w:rPr>
            <w:rStyle w:val="Hyperlink"/>
            <w:lang w:val="es-ES_tradnl"/>
          </w:rPr>
          <w:t>https://wedocs.unep.org/items/e729bdc2-3d74-421d-b82b-063b408a4265</w:t>
        </w:r>
      </w:hyperlink>
      <w:r w:rsidRPr="00333908">
        <w:rPr>
          <w:lang w:val="es-ES_tradnl"/>
        </w:rPr>
        <w:t>)</w:t>
      </w:r>
      <w:r w:rsidRPr="00333908" w:rsidR="00567CB0">
        <w:rPr>
          <w:lang w:val="es-ES_tradnl"/>
        </w:rPr>
        <w:t xml:space="preserve"> </w:t>
      </w:r>
    </w:p>
    <w:p w:rsidRPr="00333908" w:rsidR="00685876" w:rsidRDefault="00685876" w14:paraId="7CF6E58F" w14:textId="77777777">
      <w:pPr>
        <w:rPr>
          <w:rFonts w:asciiTheme="majorHAnsi" w:hAnsiTheme="majorHAnsi" w:eastAsiaTheme="majorEastAsia" w:cstheme="majorBidi"/>
          <w:b/>
          <w:bCs/>
          <w:color w:val="0F4761" w:themeColor="accent1" w:themeShade="BF"/>
          <w:sz w:val="40"/>
          <w:szCs w:val="40"/>
          <w:lang w:val="es-ES_tradnl"/>
        </w:rPr>
      </w:pPr>
      <w:r w:rsidRPr="00333908">
        <w:rPr>
          <w:b/>
          <w:bCs/>
          <w:lang w:val="es-ES_tradnl"/>
        </w:rPr>
        <w:br w:type="page"/>
      </w:r>
    </w:p>
    <w:p w:rsidRPr="00333908" w:rsidR="00911B94" w:rsidP="009456D5" w:rsidRDefault="00685876" w14:paraId="14D9754E" w14:textId="145297B5">
      <w:pPr>
        <w:pStyle w:val="Heading1"/>
        <w:rPr>
          <w:b/>
          <w:bCs/>
          <w:lang w:val="es-ES_tradnl"/>
        </w:rPr>
      </w:pPr>
      <w:r w:rsidRPr="00333908">
        <w:rPr>
          <w:b/>
          <w:bCs/>
          <w:lang w:val="es-ES_tradnl"/>
        </w:rPr>
        <w:t xml:space="preserve">Panorama internacional </w:t>
      </w:r>
      <w:r w:rsidR="00A95153">
        <w:rPr>
          <w:b/>
          <w:bCs/>
          <w:lang w:val="es-ES_tradnl"/>
        </w:rPr>
        <w:t xml:space="preserve">sobre </w:t>
      </w:r>
      <w:r w:rsidRPr="00333908">
        <w:rPr>
          <w:b/>
          <w:bCs/>
          <w:lang w:val="es-ES_tradnl"/>
        </w:rPr>
        <w:t>Sustancias Tóxicas y Derechos Humanos</w:t>
      </w:r>
    </w:p>
    <w:p w:rsidR="00877FA7" w:rsidP="00877FA7" w:rsidRDefault="00877FA7" w14:paraId="7F0FB359" w14:textId="7E127B23">
      <w:pPr>
        <w:pStyle w:val="ListParagraph"/>
        <w:numPr>
          <w:ilvl w:val="0"/>
          <w:numId w:val="4"/>
        </w:numPr>
        <w:rPr>
          <w:b/>
          <w:bCs/>
          <w:lang w:val="es-ES_tradnl"/>
        </w:rPr>
      </w:pPr>
      <w:r w:rsidRPr="00877FA7">
        <w:rPr>
          <w:b/>
          <w:bCs/>
          <w:lang w:val="es-ES_tradnl"/>
        </w:rPr>
        <w:t>Audiencia regional sobre minería ilegal y derechos económicos, sociales, culturales y ambientales. Comisión Interamericana de Derechos Humanos. Marzo, 2026</w:t>
      </w:r>
    </w:p>
    <w:p w:rsidR="00910521" w:rsidP="00DB731D" w:rsidRDefault="00910521" w14:paraId="1D1F1A03" w14:textId="4264745D">
      <w:pPr>
        <w:rPr>
          <w:lang w:val="es-ES_tradnl"/>
        </w:rPr>
      </w:pPr>
      <w:r w:rsidRPr="00910521">
        <w:rPr>
          <w:lang w:val="es-ES_tradnl"/>
        </w:rPr>
        <w:t>Durante la audiencia de oficio se advirtió que, frente a problemas como la deforestación, la contaminación de fuentes hídricas y la destrucción de ecosistemas estratégicos en la región, los Estados deben reforzar sus obligaciones de prevención, fiscalización, protección y acceso a la justicia, así como fortalecer la cooperación regional e incorporar el enfoque de derechos humanos en sus políticas públicas.</w:t>
      </w:r>
    </w:p>
    <w:p w:rsidRPr="00333908" w:rsidR="00C6264D" w:rsidP="00DB731D" w:rsidRDefault="3E0DB454" w14:paraId="42B8071A" w14:textId="3501B23A">
      <w:pPr>
        <w:rPr>
          <w:lang w:val="es-ES_tradnl"/>
        </w:rPr>
      </w:pPr>
      <w:r w:rsidRPr="00333908">
        <w:rPr>
          <w:lang w:val="es-ES_tradnl"/>
        </w:rPr>
        <w:t xml:space="preserve">(Para conocer más sobre la audiencia regional, consulta el siguiente enlace </w:t>
      </w:r>
      <w:hyperlink w:history="1" r:id="rId22">
        <w:r w:rsidRPr="00333908" w:rsidR="001010F7">
          <w:rPr>
            <w:rStyle w:val="Hyperlink"/>
            <w:lang w:val="es-ES_tradnl"/>
          </w:rPr>
          <w:t>https://www.oas.org/es/cidh/sesiones/audiencia.asp?Hearing=3882</w:t>
        </w:r>
      </w:hyperlink>
      <w:r w:rsidRPr="00333908">
        <w:rPr>
          <w:lang w:val="es-ES_tradnl"/>
        </w:rPr>
        <w:t>)</w:t>
      </w:r>
      <w:r w:rsidRPr="00333908" w:rsidR="001010F7">
        <w:rPr>
          <w:lang w:val="es-ES_tradnl"/>
        </w:rPr>
        <w:t xml:space="preserve"> </w:t>
      </w:r>
    </w:p>
    <w:p w:rsidRPr="00333908" w:rsidR="009456D5" w:rsidP="009456D5" w:rsidRDefault="00685876" w14:paraId="7CE66D8A" w14:textId="77777777">
      <w:pPr>
        <w:pStyle w:val="ListParagraph"/>
        <w:numPr>
          <w:ilvl w:val="0"/>
          <w:numId w:val="4"/>
        </w:numPr>
        <w:rPr>
          <w:b/>
          <w:bCs/>
          <w:lang w:val="es-ES_tradnl"/>
        </w:rPr>
      </w:pPr>
      <w:r w:rsidRPr="00333908">
        <w:rPr>
          <w:b/>
          <w:bCs/>
          <w:lang w:val="es-ES_tradnl"/>
        </w:rPr>
        <w:t xml:space="preserve">El género y las sustancias peligrosas. Relator Especial sobre Sustancias Tóxicas y Derechos Humanos. Julio, 2024 </w:t>
      </w:r>
    </w:p>
    <w:p w:rsidRPr="00333908" w:rsidR="00685876" w:rsidP="00DB731D" w:rsidRDefault="00685876" w14:paraId="076BCEF8" w14:textId="7E14BEBE">
      <w:pPr>
        <w:rPr>
          <w:lang w:val="es-ES_tradnl"/>
        </w:rPr>
      </w:pPr>
      <w:r w:rsidRPr="00333908">
        <w:rPr>
          <w:lang w:val="es-ES_tradnl"/>
        </w:rPr>
        <w:t xml:space="preserve">El Relator Especial advirtió que las mujeres se ven especialmente afectadas por la exposición a sustancias tóxicas debido a razones biológicas, pero también porque realizan más tareas de cuidados. Estas sustancias están vinculadas a cánceres de los órganos reproductores, fecundidad reducida o esterilidad, enfermedades maternas, nacimientos prematuros, bajo peso al nacer, abortos espontáneos, muerte prenatal y defectos congénitos. Frente a este panorama, indicó que prevenir la exposición brinda la oportunidad de mejorar la salud materna y neonatal, así como proteger la salud de futuras generaciones. </w:t>
      </w:r>
    </w:p>
    <w:p w:rsidRPr="00333908" w:rsidR="00C6264D" w:rsidP="00DB731D" w:rsidRDefault="3A0C2CBB" w14:paraId="67A807BD" w14:textId="774A9768">
      <w:pPr>
        <w:rPr>
          <w:lang w:val="es-ES_tradnl"/>
        </w:rPr>
      </w:pPr>
      <w:r w:rsidRPr="00333908">
        <w:rPr>
          <w:lang w:val="es-ES_tradnl"/>
        </w:rPr>
        <w:t xml:space="preserve">(Para conocer más sobre esta relatoría, consulta el siguiente enlace </w:t>
      </w:r>
      <w:hyperlink w:history="1" r:id="rId23">
        <w:r w:rsidRPr="00333908" w:rsidR="001010F7">
          <w:rPr>
            <w:rStyle w:val="Hyperlink"/>
            <w:lang w:val="es-ES_tradnl"/>
          </w:rPr>
          <w:t>https://www.ohchr.org/es/documents/thematic-reports/a79163-gender-and-hazardous-substances-report-special-rapporteur</w:t>
        </w:r>
      </w:hyperlink>
      <w:r w:rsidRPr="00333908">
        <w:rPr>
          <w:lang w:val="es-ES_tradnl"/>
        </w:rPr>
        <w:t>)</w:t>
      </w:r>
      <w:r w:rsidRPr="00333908" w:rsidR="001010F7">
        <w:rPr>
          <w:lang w:val="es-ES_tradnl"/>
        </w:rPr>
        <w:t xml:space="preserve"> </w:t>
      </w:r>
    </w:p>
    <w:p w:rsidRPr="00333908" w:rsidR="009456D5" w:rsidP="009456D5" w:rsidRDefault="00685876" w14:paraId="781B8529" w14:textId="77777777">
      <w:pPr>
        <w:pStyle w:val="ListParagraph"/>
        <w:numPr>
          <w:ilvl w:val="0"/>
          <w:numId w:val="4"/>
        </w:numPr>
        <w:rPr>
          <w:b/>
          <w:lang w:val="es-ES_tradnl"/>
        </w:rPr>
      </w:pPr>
      <w:r w:rsidRPr="00333908">
        <w:rPr>
          <w:b/>
          <w:lang w:val="es-ES_tradnl"/>
        </w:rPr>
        <w:t xml:space="preserve">Caso Habitantes de la Oroya vs Perú. Corte Interamericana de Derechos Humanos. Noviembre, 2023 </w:t>
      </w:r>
    </w:p>
    <w:p w:rsidRPr="00333908" w:rsidR="004650CB" w:rsidP="00DB731D" w:rsidRDefault="004650CB" w14:paraId="6BBB1BEE" w14:textId="7FFA09C9">
      <w:pPr>
        <w:rPr>
          <w:lang w:val="es-ES_tradnl"/>
        </w:rPr>
      </w:pPr>
      <w:r w:rsidRPr="00333908">
        <w:rPr>
          <w:lang w:val="es-ES_tradnl"/>
        </w:rPr>
        <w:t xml:space="preserve">La Corte declaró la responsabilidad internacional del Estado de Perú por la violación de los derechos al ambiente sano, salud, vida e integridad personal de las </w:t>
      </w:r>
      <w:r w:rsidRPr="00333908" w:rsidR="003D0CEE">
        <w:rPr>
          <w:lang w:val="es-ES_tradnl"/>
        </w:rPr>
        <w:t>víctimas como</w:t>
      </w:r>
      <w:r w:rsidRPr="00333908">
        <w:rPr>
          <w:lang w:val="es-ES_tradnl"/>
        </w:rPr>
        <w:t xml:space="preserve"> consecuencia de la contaminación por sustancias tóxicas procedente de un complejo metalúrgico</w:t>
      </w:r>
      <w:r w:rsidR="00F6216E">
        <w:rPr>
          <w:lang w:val="es-ES_tradnl"/>
        </w:rPr>
        <w:t>. También</w:t>
      </w:r>
      <w:r w:rsidRPr="00333908">
        <w:rPr>
          <w:lang w:val="es-ES_tradnl"/>
        </w:rPr>
        <w:t xml:space="preserve"> advirtió que el Tribunal Constitucional había ordenado remediación ambiental, sin embargo, dichas medidas no se habían ejecutado.  </w:t>
      </w:r>
    </w:p>
    <w:p w:rsidRPr="00333908" w:rsidR="00C6264D" w:rsidP="00DB731D" w:rsidRDefault="44D36CF5" w14:paraId="40C0A3A3" w14:textId="650D4733">
      <w:pPr>
        <w:rPr>
          <w:lang w:val="es-ES_tradnl"/>
        </w:rPr>
      </w:pPr>
      <w:r w:rsidRPr="00333908">
        <w:rPr>
          <w:lang w:val="es-ES_tradnl"/>
        </w:rPr>
        <w:t xml:space="preserve">(Para conocer más sobre este caso, consulta el siguiente enlace </w:t>
      </w:r>
      <w:hyperlink w:history="1" r:id="rId24">
        <w:r w:rsidRPr="00333908" w:rsidR="001010F7">
          <w:rPr>
            <w:rStyle w:val="Hyperlink"/>
            <w:lang w:val="es-ES_tradnl"/>
          </w:rPr>
          <w:t>https://corteidh.or.cr/docs/casos/articulos/seriec_511_esp.pdf</w:t>
        </w:r>
      </w:hyperlink>
      <w:r w:rsidRPr="00333908">
        <w:rPr>
          <w:lang w:val="es-ES_tradnl"/>
        </w:rPr>
        <w:t>)</w:t>
      </w:r>
      <w:r w:rsidRPr="00333908" w:rsidR="001010F7">
        <w:rPr>
          <w:lang w:val="es-ES_tradnl"/>
        </w:rPr>
        <w:t xml:space="preserve"> </w:t>
      </w:r>
    </w:p>
    <w:p w:rsidRPr="00333908" w:rsidR="009456D5" w:rsidP="009456D5" w:rsidRDefault="00685876" w14:paraId="1F3EB210" w14:textId="77777777">
      <w:pPr>
        <w:pStyle w:val="ListParagraph"/>
        <w:numPr>
          <w:ilvl w:val="0"/>
          <w:numId w:val="4"/>
        </w:numPr>
        <w:rPr>
          <w:b/>
          <w:bCs/>
          <w:lang w:val="es-ES_tradnl"/>
        </w:rPr>
      </w:pPr>
      <w:r w:rsidRPr="00333908">
        <w:rPr>
          <w:b/>
          <w:bCs/>
          <w:lang w:val="es-ES_tradnl"/>
        </w:rPr>
        <w:t xml:space="preserve">Caso Portillo Cáceres y otros vs. Paraguay. Comité de Derechos Humanos. Septiembre, 2019 </w:t>
      </w:r>
    </w:p>
    <w:p w:rsidRPr="00333908" w:rsidR="003D2E6F" w:rsidP="401C695D" w:rsidRDefault="003D2E6F" w14:paraId="71E8CFE8" w14:textId="1E1FED83">
      <w:pPr>
        <w:rPr>
          <w:lang w:val="es-ES"/>
        </w:rPr>
      </w:pPr>
      <w:r w:rsidRPr="401C695D" w:rsidR="003D2E6F">
        <w:rPr>
          <w:lang w:val="es-ES"/>
        </w:rPr>
        <w:t xml:space="preserve">El Comité de Derechos Humanos determinó que el Estado de Paraguay vulneró los derechos a la vida y a la protección contra injerencias arbitrarias e ilegales en la vida privada, familia y domicilio, en el marco de fumigaciones masivas con agrotóxicos. </w:t>
      </w:r>
      <w:r w:rsidRPr="401C695D" w:rsidR="001179D8">
        <w:rPr>
          <w:lang w:val="es-ES"/>
        </w:rPr>
        <w:t>Asimismo</w:t>
      </w:r>
      <w:r w:rsidRPr="401C695D" w:rsidR="003D2E6F">
        <w:rPr>
          <w:lang w:val="es-ES"/>
        </w:rPr>
        <w:t xml:space="preserve"> sostuvo que el derecho a la vida comprende la protección frente a acciones u omisiones capaces de provocar una muerte prematura o no natural; en consecuencia, afirmó que los Estados deben adoptar medidas adecuadas para enfrentar amenazas que obstaculizan el disfrute digno de este derecho, incluida la contaminación ambiental.</w:t>
      </w:r>
    </w:p>
    <w:p w:rsidRPr="00333908" w:rsidR="00C6264D" w:rsidP="00DB731D" w:rsidRDefault="4CEF768E" w14:paraId="297ED601" w14:textId="15E0506C">
      <w:pPr>
        <w:rPr>
          <w:lang w:val="es-ES_tradnl"/>
        </w:rPr>
      </w:pPr>
      <w:r w:rsidRPr="00333908">
        <w:rPr>
          <w:lang w:val="es-ES_tradnl"/>
        </w:rPr>
        <w:t>(Para conocer más sobre este caso, consulta el siguiente enlace</w:t>
      </w:r>
      <w:r w:rsidRPr="00333908" w:rsidR="003D2E6F">
        <w:rPr>
          <w:lang w:val="es-ES_tradnl"/>
        </w:rPr>
        <w:t xml:space="preserve"> </w:t>
      </w:r>
      <w:hyperlink w:history="1" r:id="rId25">
        <w:r w:rsidRPr="00333908" w:rsidR="00551873">
          <w:rPr>
            <w:rStyle w:val="Hyperlink"/>
            <w:lang w:val="es-ES_tradnl"/>
          </w:rPr>
          <w:t>https://docs.un.org/es/CCPR/C/126/D/2751/2016</w:t>
        </w:r>
      </w:hyperlink>
      <w:r w:rsidRPr="00333908" w:rsidR="00551873">
        <w:rPr>
          <w:lang w:val="es-ES_tradnl"/>
        </w:rPr>
        <w:t xml:space="preserve">) </w:t>
      </w:r>
    </w:p>
    <w:p w:rsidRPr="00333908" w:rsidR="00D622E9" w:rsidP="008C7FCE" w:rsidRDefault="00A865B7" w14:paraId="59B01187" w14:textId="52A48F62">
      <w:pPr>
        <w:pStyle w:val="Heading1"/>
        <w:rPr>
          <w:b/>
          <w:bCs/>
          <w:lang w:val="es-ES_tradnl"/>
        </w:rPr>
      </w:pPr>
      <w:r w:rsidRPr="00333908">
        <w:rPr>
          <w:b/>
          <w:bCs/>
          <w:lang w:val="es-ES_tradnl"/>
        </w:rPr>
        <w:t xml:space="preserve">Lo más reciente </w:t>
      </w:r>
    </w:p>
    <w:p w:rsidRPr="00333908" w:rsidR="008C7FCE" w:rsidP="008C7FCE" w:rsidRDefault="00666E85" w14:paraId="44F4AB90" w14:textId="6B09F930">
      <w:pPr>
        <w:pStyle w:val="ListParagraph"/>
        <w:numPr>
          <w:ilvl w:val="0"/>
          <w:numId w:val="5"/>
        </w:numPr>
        <w:rPr>
          <w:b/>
          <w:bCs/>
          <w:lang w:val="es-ES_tradnl"/>
        </w:rPr>
      </w:pPr>
      <w:r w:rsidRPr="00333908">
        <w:rPr>
          <w:b/>
          <w:bCs/>
          <w:lang w:val="es-ES_tradnl"/>
        </w:rPr>
        <w:t>Acciones prioritarias para respirar aire limpio, proteger la salud pública y garantizar un medio ambiente saludable</w:t>
      </w:r>
      <w:r w:rsidRPr="00333908" w:rsidR="0037465C">
        <w:rPr>
          <w:b/>
          <w:bCs/>
          <w:lang w:val="es-ES_tradnl"/>
        </w:rPr>
        <w:t>.</w:t>
      </w:r>
      <w:r w:rsidRPr="00333908">
        <w:rPr>
          <w:b/>
          <w:bCs/>
          <w:lang w:val="es-ES_tradnl"/>
        </w:rPr>
        <w:t xml:space="preserve"> Relatora Especial sobre el derecho humano a un medio ambiente limpio, saludable y sostenible. Enero, 2026 </w:t>
      </w:r>
    </w:p>
    <w:p w:rsidRPr="00333908" w:rsidR="00666E85" w:rsidP="00DB731D" w:rsidRDefault="00666E85" w14:paraId="6E073861" w14:textId="67C9D4C6">
      <w:pPr>
        <w:rPr>
          <w:lang w:val="es-ES_tradnl"/>
        </w:rPr>
      </w:pPr>
      <w:r w:rsidRPr="00333908">
        <w:rPr>
          <w:lang w:val="es-ES_tradnl"/>
        </w:rPr>
        <w:t xml:space="preserve">La Relatora indicó que cada etapa del ciclo de exploración y extracción de combustibles fósiles contribuye a la contaminación atmosférica y a sus efectos nocivos. Asimismo, destacó que las comunidades cercanas a los emplazamientos de extracción, particularmente pueblos indígenas, afrodescendientes y campesinos, sufren impactos adicionales en la salud, desplazamientos y desalojos con violencia e intimidación jurídica. </w:t>
      </w:r>
    </w:p>
    <w:p w:rsidRPr="00333908" w:rsidR="00AC65E4" w:rsidP="00DB731D" w:rsidRDefault="00634D2A" w14:paraId="484B237E" w14:textId="22430DC7">
      <w:pPr>
        <w:rPr>
          <w:lang w:val="es-ES_tradnl"/>
        </w:rPr>
      </w:pPr>
      <w:r w:rsidRPr="00333908">
        <w:rPr>
          <w:lang w:val="es-ES_tradnl"/>
        </w:rPr>
        <w:t xml:space="preserve">(Para conocer el informe temático consulta el siguiente enlace </w:t>
      </w:r>
      <w:hyperlink w:history="1" r:id="rId26">
        <w:r w:rsidRPr="00333908">
          <w:rPr>
            <w:rStyle w:val="Hyperlink"/>
            <w:lang w:val="es-ES_tradnl"/>
          </w:rPr>
          <w:t>https://www.ohchr.org/es/documents/thematic-reports/ahrc6147-priority-actions-towards-breathing-clean-air-protecting-public</w:t>
        </w:r>
      </w:hyperlink>
      <w:r w:rsidRPr="00333908">
        <w:rPr>
          <w:lang w:val="es-ES_tradnl"/>
        </w:rPr>
        <w:t xml:space="preserve">) </w:t>
      </w:r>
    </w:p>
    <w:p w:rsidRPr="00333908" w:rsidR="008C7FCE" w:rsidP="008C7FCE" w:rsidRDefault="00666E85" w14:paraId="0A4A8480" w14:textId="0709E110">
      <w:pPr>
        <w:pStyle w:val="ListParagraph"/>
        <w:numPr>
          <w:ilvl w:val="0"/>
          <w:numId w:val="5"/>
        </w:numPr>
        <w:rPr>
          <w:b/>
          <w:bCs/>
          <w:lang w:val="es-ES_tradnl"/>
        </w:rPr>
      </w:pPr>
      <w:r w:rsidRPr="00333908">
        <w:rPr>
          <w:b/>
          <w:bCs/>
          <w:lang w:val="es-ES_tradnl"/>
        </w:rPr>
        <w:t>Guía práctica para políticas y acciones climáticas</w:t>
      </w:r>
      <w:r w:rsidRPr="00333908" w:rsidR="006661A2">
        <w:rPr>
          <w:b/>
          <w:bCs/>
          <w:lang w:val="es-ES_tradnl"/>
        </w:rPr>
        <w:t>.</w:t>
      </w:r>
      <w:r w:rsidRPr="00333908">
        <w:rPr>
          <w:b/>
          <w:bCs/>
          <w:lang w:val="es-ES_tradnl"/>
        </w:rPr>
        <w:t xml:space="preserve"> Comisión Interamericana de Derechos Humanos. Enero, 2026 </w:t>
      </w:r>
    </w:p>
    <w:p w:rsidRPr="00333908" w:rsidR="00692A2C" w:rsidP="00DB731D" w:rsidRDefault="00692A2C" w14:paraId="218A5E30" w14:textId="46EC4B24">
      <w:pPr>
        <w:rPr>
          <w:lang w:val="es-ES_tradnl"/>
        </w:rPr>
      </w:pPr>
      <w:r w:rsidRPr="00333908">
        <w:rPr>
          <w:lang w:val="es-ES_tradnl"/>
        </w:rPr>
        <w:t xml:space="preserve">En esta Guía, la CIDH reconoció que el cambio climático no es neutro en términos de género. Por ello, planteó como objetivo central visibilizar los impactos diferenciados que la crisis climática tiene sobre mujeres y niñas y, ofrecer orientaciones para integrar esa realidad en las políticas públicas. Asimismo, destacó el papel fundamental de mujeres y niñas en las estrategias de mitigación y adaptación, así como en los procesos de reparación por daños asociados a impactos del cambio climático.  </w:t>
      </w:r>
    </w:p>
    <w:p w:rsidRPr="00333908" w:rsidR="006F20BB" w:rsidP="00DB731D" w:rsidRDefault="0073194C" w14:paraId="1FCD27AA" w14:textId="29EC1408">
      <w:pPr>
        <w:rPr>
          <w:lang w:val="es-ES_tradnl"/>
        </w:rPr>
      </w:pPr>
      <w:r w:rsidRPr="00333908">
        <w:rPr>
          <w:lang w:val="es-ES_tradnl"/>
        </w:rPr>
        <w:t xml:space="preserve">(Para conocer la guía práctica de la Comisión Interamericana consulta el siguiente enlace </w:t>
      </w:r>
      <w:hyperlink w:history="1" r:id="rId27">
        <w:r w:rsidRPr="00333908">
          <w:rPr>
            <w:rStyle w:val="Hyperlink"/>
            <w:lang w:val="es-ES_tradnl"/>
          </w:rPr>
          <w:t>https://www.oas.org/es/cidh/informes/pdfs/2026/es_guia_redesca_final_3_mar_2026.pdf</w:t>
        </w:r>
      </w:hyperlink>
      <w:r w:rsidRPr="00333908">
        <w:rPr>
          <w:lang w:val="es-ES_tradnl"/>
        </w:rPr>
        <w:t xml:space="preserve">) </w:t>
      </w:r>
    </w:p>
    <w:p w:rsidRPr="00B47EFE" w:rsidR="008C7FCE" w:rsidP="008C7FCE" w:rsidRDefault="00666E85" w14:paraId="093C6D5B" w14:textId="3D209483">
      <w:pPr>
        <w:pStyle w:val="ListParagraph"/>
        <w:numPr>
          <w:ilvl w:val="0"/>
          <w:numId w:val="5"/>
        </w:numPr>
        <w:rPr>
          <w:b/>
          <w:bCs/>
          <w:lang w:val="es-ES_tradnl"/>
        </w:rPr>
      </w:pPr>
      <w:r w:rsidRPr="00B47EFE">
        <w:rPr>
          <w:b/>
          <w:bCs/>
          <w:lang w:val="es-ES_tradnl"/>
        </w:rPr>
        <w:t>Resolución 1/26 sobre Crimen Organizado y Derechos Humanos. Comisión Interamericana de Derechos Humanos</w:t>
      </w:r>
      <w:r w:rsidRPr="00B47EFE" w:rsidR="003D0C65">
        <w:rPr>
          <w:b/>
          <w:bCs/>
          <w:lang w:val="es-ES_tradnl"/>
        </w:rPr>
        <w:t>.</w:t>
      </w:r>
      <w:r w:rsidRPr="00B47EFE">
        <w:rPr>
          <w:b/>
          <w:bCs/>
          <w:lang w:val="es-ES_tradnl"/>
        </w:rPr>
        <w:t xml:space="preserve"> Febrero, 2026 </w:t>
      </w:r>
    </w:p>
    <w:p w:rsidRPr="00333908" w:rsidR="008C7FCE" w:rsidP="00DB731D" w:rsidRDefault="00666E85" w14:paraId="0431A5D9" w14:textId="50E3B506">
      <w:pPr>
        <w:rPr>
          <w:lang w:val="es-ES_tradnl"/>
        </w:rPr>
      </w:pPr>
      <w:r w:rsidRPr="00333908">
        <w:rPr>
          <w:lang w:val="es-ES_tradnl"/>
        </w:rPr>
        <w:t xml:space="preserve">En este documento, la Comisión reconoció la gravedad, complejidad y carácter multidimensional del fenómeno del crimen organizado, así como sus impactos significativos en la vigencia de los derechos humanos. Por ello, formuló cincuenta recomendaciones a los Estados a fin de orientar sobre una gestión eficaz de la seguridad pública. </w:t>
      </w:r>
    </w:p>
    <w:p w:rsidRPr="00333908" w:rsidR="00240AC2" w:rsidP="00DB731D" w:rsidRDefault="008C119E" w14:paraId="766963F2" w14:textId="7B2784D4">
      <w:pPr>
        <w:rPr>
          <w:lang w:val="es-ES_tradnl"/>
        </w:rPr>
      </w:pPr>
      <w:r w:rsidRPr="00333908">
        <w:rPr>
          <w:lang w:val="es-ES_tradnl"/>
        </w:rPr>
        <w:t xml:space="preserve">(Para conocer la resolución de la Comisión Interamericana consulta el siguiente enlace </w:t>
      </w:r>
      <w:hyperlink w:history="1" r:id="rId28">
        <w:r w:rsidRPr="00333908">
          <w:rPr>
            <w:rStyle w:val="Hyperlink"/>
            <w:lang w:val="es-ES_tradnl"/>
          </w:rPr>
          <w:t>https://www.oas.org/es/cidh/decisiones/pdf/2026/res-1-26.pdf</w:t>
        </w:r>
      </w:hyperlink>
      <w:r w:rsidRPr="00333908">
        <w:rPr>
          <w:lang w:val="es-ES_tradnl"/>
        </w:rPr>
        <w:t xml:space="preserve">) </w:t>
      </w:r>
    </w:p>
    <w:p w:rsidRPr="00333908" w:rsidR="008C7FCE" w:rsidP="008C7FCE" w:rsidRDefault="00666E85" w14:paraId="3D5F7059" w14:textId="05808210">
      <w:pPr>
        <w:pStyle w:val="ListParagraph"/>
        <w:numPr>
          <w:ilvl w:val="0"/>
          <w:numId w:val="5"/>
        </w:numPr>
        <w:rPr>
          <w:b/>
          <w:bCs/>
          <w:lang w:val="es-ES_tradnl"/>
        </w:rPr>
      </w:pPr>
      <w:r w:rsidRPr="00333908">
        <w:rPr>
          <w:b/>
          <w:bCs/>
          <w:lang w:val="es-ES_tradnl"/>
        </w:rPr>
        <w:t xml:space="preserve">Tortura y otros tratos o penas crueles, inhumanos o degradantes: Carta de los Derechos de las Víctimas y los Supervivientes. Relatora Especial </w:t>
      </w:r>
      <w:r w:rsidR="00F36DEC">
        <w:rPr>
          <w:b/>
          <w:bCs/>
          <w:lang w:val="es-ES_tradnl"/>
        </w:rPr>
        <w:t>de las Naciones Unidas</w:t>
      </w:r>
      <w:r w:rsidRPr="00333908">
        <w:rPr>
          <w:b/>
          <w:bCs/>
          <w:lang w:val="es-ES_tradnl"/>
        </w:rPr>
        <w:t xml:space="preserve">. Enero, 2026 </w:t>
      </w:r>
    </w:p>
    <w:p w:rsidRPr="00333908" w:rsidR="00666E85" w:rsidP="00DB731D" w:rsidRDefault="00666E85" w14:paraId="51FE89CC" w14:textId="70455159">
      <w:pPr>
        <w:rPr>
          <w:lang w:val="es-ES_tradnl"/>
        </w:rPr>
      </w:pPr>
      <w:r w:rsidRPr="00333908">
        <w:rPr>
          <w:lang w:val="es-ES_tradnl"/>
        </w:rPr>
        <w:t>En su informe, la Relatora analizó cómo se produce la tortura</w:t>
      </w:r>
      <w:r w:rsidR="007C4DE0">
        <w:rPr>
          <w:lang w:val="es-ES_tradnl"/>
        </w:rPr>
        <w:t>; los</w:t>
      </w:r>
      <w:r w:rsidRPr="00333908">
        <w:rPr>
          <w:lang w:val="es-ES_tradnl"/>
        </w:rPr>
        <w:t xml:space="preserve"> efectos</w:t>
      </w:r>
      <w:r w:rsidR="00836638">
        <w:rPr>
          <w:lang w:val="es-ES_tradnl"/>
        </w:rPr>
        <w:t xml:space="preserve"> que</w:t>
      </w:r>
      <w:r w:rsidRPr="00333908">
        <w:rPr>
          <w:lang w:val="es-ES_tradnl"/>
        </w:rPr>
        <w:t xml:space="preserve"> tiene en las personas, familias y sociedades, así como los obstáculos que enfrentan los supervivientes en la búsqueda de justicia y reparación. En este contexto, la Carta establece un marco de acción para que los Estados y otros actores refuercen la rendición de cuentas, la justicia, la reparación y la rehabilitación.</w:t>
      </w:r>
    </w:p>
    <w:p w:rsidRPr="00333908" w:rsidR="00240AC2" w:rsidP="00DB731D" w:rsidRDefault="00F84EF2" w14:paraId="6FA5827D" w14:textId="273108D1">
      <w:pPr>
        <w:rPr>
          <w:lang w:val="es-ES_tradnl"/>
        </w:rPr>
      </w:pPr>
      <w:r w:rsidRPr="00333908">
        <w:rPr>
          <w:lang w:val="es-ES_tradnl"/>
        </w:rPr>
        <w:t xml:space="preserve">(Para conocer el informe temático consulta el siguiente enlace </w:t>
      </w:r>
      <w:hyperlink w:history="1" r:id="rId29">
        <w:r w:rsidRPr="00333908">
          <w:rPr>
            <w:rStyle w:val="Hyperlink"/>
            <w:lang w:val="es-ES_tradnl"/>
          </w:rPr>
          <w:t>https://www.ohchr.org/es/documents/thematic-reports/ahrc6142-torture-and-other-cruel-inhuman-or-degrading-treatment-or</w:t>
        </w:r>
      </w:hyperlink>
      <w:r w:rsidRPr="00333908">
        <w:rPr>
          <w:lang w:val="es-ES_tradnl"/>
        </w:rPr>
        <w:t xml:space="preserve">) </w:t>
      </w:r>
    </w:p>
    <w:p w:rsidRPr="00333908" w:rsidR="009D630A" w:rsidRDefault="009D630A" w14:paraId="68F0FFDE" w14:textId="77777777">
      <w:pPr>
        <w:rPr>
          <w:lang w:val="es-ES_tradnl"/>
        </w:rPr>
      </w:pPr>
      <w:r w:rsidRPr="00333908">
        <w:rPr>
          <w:lang w:val="es-ES_tradnl"/>
        </w:rPr>
        <w:br w:type="page"/>
      </w:r>
    </w:p>
    <w:p w:rsidRPr="00333908" w:rsidR="009D630A" w:rsidP="006E2B36" w:rsidRDefault="009D630A" w14:paraId="52BF772B" w14:textId="164B7C6C">
      <w:pPr>
        <w:pStyle w:val="Heading1"/>
        <w:rPr>
          <w:lang w:val="es-ES_tradnl"/>
        </w:rPr>
      </w:pPr>
      <w:r w:rsidRPr="00333908">
        <w:rPr>
          <w:lang w:val="es-ES_tradnl"/>
        </w:rPr>
        <w:t xml:space="preserve">México en los Sistemas de Justicia Internacional </w:t>
      </w:r>
    </w:p>
    <w:p w:rsidRPr="00554479" w:rsidR="00554479" w:rsidP="00554479" w:rsidRDefault="00554479" w14:paraId="57AD9899" w14:textId="7033D798">
      <w:pPr>
        <w:pStyle w:val="ListParagraph"/>
        <w:numPr>
          <w:ilvl w:val="0"/>
          <w:numId w:val="7"/>
        </w:numPr>
        <w:rPr>
          <w:b/>
          <w:bCs/>
          <w:lang w:val="es-ES_tradnl"/>
        </w:rPr>
      </w:pPr>
      <w:r w:rsidRPr="00554479">
        <w:rPr>
          <w:b/>
          <w:bCs/>
          <w:lang w:val="es-ES_tradnl"/>
        </w:rPr>
        <w:t>Participación de la Suprema Corte de Justicia de la Nación en el Foro Permanente de las Naciones Unidas para las Cuestiones Indígenas. Naciones Unidas. Abril, 2026</w:t>
      </w:r>
    </w:p>
    <w:p w:rsidRPr="007A5C76" w:rsidR="00934B54" w:rsidP="00AB6CA4" w:rsidRDefault="00934B54" w14:paraId="319107CC" w14:textId="43542040">
      <w:pPr>
        <w:rPr>
          <w:lang w:val="es-ES_tradnl"/>
        </w:rPr>
      </w:pPr>
      <w:r w:rsidRPr="00934B54">
        <w:rPr>
          <w:lang w:val="es-ES_tradnl"/>
        </w:rPr>
        <w:t xml:space="preserve">El 23 </w:t>
      </w:r>
      <w:r w:rsidR="004C6950">
        <w:rPr>
          <w:lang w:val="es-ES_tradnl"/>
        </w:rPr>
        <w:t>d</w:t>
      </w:r>
      <w:r w:rsidRPr="00934B54">
        <w:rPr>
          <w:lang w:val="es-ES_tradnl"/>
        </w:rPr>
        <w:t xml:space="preserve">e abril, el titular de la </w:t>
      </w:r>
      <w:r w:rsidRPr="00A44093" w:rsidR="00A44093">
        <w:rPr>
          <w:lang w:val="es-ES_tradnl"/>
        </w:rPr>
        <w:t>Dirección General de Derechos Humanos y Justicia Pluricultural de la SCJN</w:t>
      </w:r>
      <w:r w:rsidR="00A44093">
        <w:rPr>
          <w:lang w:val="es-ES_tradnl"/>
        </w:rPr>
        <w:t xml:space="preserve"> </w:t>
      </w:r>
      <w:r w:rsidRPr="00934B54">
        <w:rPr>
          <w:lang w:val="es-ES_tradnl"/>
        </w:rPr>
        <w:t xml:space="preserve">de la Suprema Corte analizó frente al Foro Permanentes de las Naciones Unidas para las Cuestiones Indígenas, la integración de medicina tradicional indígena en los sistemas de salud y su protección en el marco jurídico; así como la partería tradicional como forma de medicina tradicional y su </w:t>
      </w:r>
      <w:r w:rsidRPr="007A5C76">
        <w:rPr>
          <w:lang w:val="es-ES_tradnl"/>
        </w:rPr>
        <w:t>protección jurisdiccional.</w:t>
      </w:r>
    </w:p>
    <w:p w:rsidRPr="00333908" w:rsidR="00AB6CA4" w:rsidP="00AB6CA4" w:rsidRDefault="006D0325" w14:paraId="33D31BDC" w14:textId="00C876D2">
      <w:pPr>
        <w:rPr>
          <w:lang w:val="es-ES_tradnl"/>
        </w:rPr>
      </w:pPr>
      <w:r w:rsidRPr="007F4A38">
        <w:rPr>
          <w:lang w:val="es-ES_tradnl"/>
        </w:rPr>
        <w:t>(</w:t>
      </w:r>
      <w:r w:rsidRPr="007F4A38" w:rsidR="00AB6CA4">
        <w:rPr>
          <w:lang w:val="es-ES_tradnl"/>
        </w:rPr>
        <w:t xml:space="preserve">Para conocer más sobre la participación </w:t>
      </w:r>
      <w:r w:rsidRPr="007F4A38">
        <w:rPr>
          <w:lang w:val="es-ES_tradnl"/>
        </w:rPr>
        <w:t>de México</w:t>
      </w:r>
      <w:r w:rsidRPr="007F4A38" w:rsidR="00AB6CA4">
        <w:rPr>
          <w:lang w:val="es-ES_tradnl"/>
        </w:rPr>
        <w:t xml:space="preserve"> </w:t>
      </w:r>
      <w:r w:rsidRPr="007F4A38">
        <w:rPr>
          <w:lang w:val="es-ES_tradnl"/>
        </w:rPr>
        <w:t xml:space="preserve">en </w:t>
      </w:r>
      <w:r w:rsidRPr="007F4A38" w:rsidR="00AB6CA4">
        <w:rPr>
          <w:lang w:val="es-ES_tradnl"/>
        </w:rPr>
        <w:t xml:space="preserve">el </w:t>
      </w:r>
      <w:r w:rsidRPr="007F4A38">
        <w:rPr>
          <w:lang w:val="es-ES_tradnl"/>
        </w:rPr>
        <w:t xml:space="preserve">foro consulta el siguiente enlace </w:t>
      </w:r>
      <w:hyperlink w:history="1" r:id="rId30">
        <w:r w:rsidRPr="007F4A38" w:rsidR="007A5C76">
          <w:rPr>
            <w:rStyle w:val="Hyperlink"/>
            <w:lang w:val="es-ES_tradnl"/>
          </w:rPr>
          <w:t>https://x.com/ddhh_scjn/status/2047731332734754922?s=46</w:t>
        </w:r>
      </w:hyperlink>
      <w:r w:rsidRPr="007F4A38">
        <w:rPr>
          <w:lang w:val="es-ES_tradnl"/>
        </w:rPr>
        <w:t>)</w:t>
      </w:r>
      <w:r w:rsidR="007A5C76">
        <w:rPr>
          <w:lang w:val="es-ES_tradnl"/>
        </w:rPr>
        <w:t xml:space="preserve"> </w:t>
      </w:r>
    </w:p>
    <w:p w:rsidRPr="0050428C" w:rsidR="0050428C" w:rsidP="0050428C" w:rsidRDefault="0050428C" w14:paraId="26771E52" w14:textId="10DE82A1">
      <w:pPr>
        <w:pStyle w:val="ListParagraph"/>
        <w:numPr>
          <w:ilvl w:val="0"/>
          <w:numId w:val="7"/>
        </w:numPr>
        <w:rPr>
          <w:b/>
          <w:bCs/>
          <w:lang w:val="es-ES_tradnl"/>
        </w:rPr>
      </w:pPr>
      <w:r w:rsidRPr="0050428C">
        <w:rPr>
          <w:b/>
          <w:bCs/>
          <w:lang w:val="es-ES_tradnl"/>
        </w:rPr>
        <w:t>El Comité de las Naciones Unidas contra la Desaparición Forzada solicitó a la Asamblea General examinar la situación en México. Comité contra la Desaparición Forzada. Marzo, 2026</w:t>
      </w:r>
    </w:p>
    <w:p w:rsidR="004C3633" w:rsidP="00DB731D" w:rsidRDefault="004C3633" w14:paraId="0FE40B45" w14:textId="69636DC5">
      <w:pPr>
        <w:rPr>
          <w:lang w:val="es-ES_tradnl"/>
        </w:rPr>
      </w:pPr>
      <w:r w:rsidRPr="004C3633">
        <w:rPr>
          <w:lang w:val="es-ES_tradnl"/>
        </w:rPr>
        <w:t>En ese contexto, el Comité tomo la medida excepcional, de señalar la situación en México a la atención de la Asamblea General, solicitándole que considere la posibilidad de adoptar medidas para proporcionar cooperación técnica, apoyo financiero y asistencia especializada para las operaciones de búsqueda, análisis forense e investigación exhaustiva de las desapariciones forzadas.</w:t>
      </w:r>
    </w:p>
    <w:p w:rsidRPr="00333908" w:rsidR="00AF5257" w:rsidP="00DB731D" w:rsidRDefault="00B228CD" w14:paraId="1B750569" w14:textId="67D2751F">
      <w:pPr>
        <w:rPr>
          <w:lang w:val="es-ES_tradnl"/>
        </w:rPr>
      </w:pPr>
      <w:r w:rsidRPr="00333908">
        <w:rPr>
          <w:lang w:val="es-ES_tradnl"/>
        </w:rPr>
        <w:t xml:space="preserve">(Para conocer el comunicado de prensa consulta el siguiente enlace </w:t>
      </w:r>
      <w:hyperlink r:id="rId31">
        <w:r w:rsidRPr="00333908">
          <w:rPr>
            <w:rStyle w:val="Hyperlink"/>
            <w:lang w:val="es-ES_tradnl"/>
          </w:rPr>
          <w:t>https://www.ohchr.org/es/press-releases/2026/04/mexico-un-committee-requests-general-assembly-consideration-enforced</w:t>
        </w:r>
      </w:hyperlink>
      <w:r w:rsidRPr="00333908">
        <w:rPr>
          <w:lang w:val="es-ES_tradnl"/>
        </w:rPr>
        <w:t xml:space="preserve">) </w:t>
      </w:r>
    </w:p>
    <w:p w:rsidRPr="00333908" w:rsidR="00E135E8" w:rsidP="00E135E8" w:rsidRDefault="009D630A" w14:paraId="7EB70141" w14:textId="77777777">
      <w:pPr>
        <w:pStyle w:val="ListParagraph"/>
        <w:numPr>
          <w:ilvl w:val="0"/>
          <w:numId w:val="7"/>
        </w:numPr>
        <w:rPr>
          <w:b/>
          <w:bCs/>
          <w:lang w:val="es-ES_tradnl"/>
        </w:rPr>
      </w:pPr>
      <w:r w:rsidRPr="00333908">
        <w:rPr>
          <w:b/>
          <w:bCs/>
          <w:lang w:val="es-ES_tradnl"/>
        </w:rPr>
        <w:t xml:space="preserve">CIDH solicitó medidas cautelares al adolescente J.J.A.S., Juan José Arias Corona y núcleo familiar en México. Comisión Interamericana de Derechos Humanos. Marzo, 2026 </w:t>
      </w:r>
    </w:p>
    <w:p w:rsidR="00FF5E02" w:rsidP="00DB731D" w:rsidRDefault="00FF5E02" w14:paraId="09F59F9A" w14:textId="7A993EA8">
      <w:pPr>
        <w:rPr>
          <w:lang w:val="es-ES_tradnl"/>
        </w:rPr>
      </w:pPr>
      <w:r w:rsidRPr="00FF5E02">
        <w:rPr>
          <w:lang w:val="es-ES_tradnl"/>
        </w:rPr>
        <w:t>La Comisión Interamericana de Derechos Humanos solicitó me- didas en favor de Marisela Solís Figueroa, madre buscadora que enfrenta amenazas por sus denuncias. Asimismo, advirtió que el riesgo persiste y solicitó al Estado mexicano adoptar medidas de protección.</w:t>
      </w:r>
    </w:p>
    <w:p w:rsidRPr="00333908" w:rsidR="00AF5257" w:rsidP="00DB731D" w:rsidRDefault="00CD2A01" w14:paraId="2E45C73A" w14:textId="6226EA41">
      <w:pPr>
        <w:rPr>
          <w:lang w:val="es-ES_tradnl"/>
        </w:rPr>
      </w:pPr>
      <w:r w:rsidRPr="00333908">
        <w:rPr>
          <w:lang w:val="es-ES_tradnl"/>
        </w:rPr>
        <w:t xml:space="preserve">(Para conocer el comunicado de prensa consulta el siguiente enlace </w:t>
      </w:r>
      <w:hyperlink w:history="1" r:id="rId32">
        <w:r w:rsidRPr="00333908">
          <w:rPr>
            <w:rStyle w:val="Hyperlink"/>
            <w:lang w:val="es-ES_tradnl"/>
          </w:rPr>
          <w:t>https://www.oas.org/es/CIDH/jsForm/?File=/es/cidh/prensa/comunicados/2026/038.asp&amp;utm_content=country-mex&amp;utm_term=class-mc</w:t>
        </w:r>
      </w:hyperlink>
      <w:r w:rsidRPr="00333908">
        <w:rPr>
          <w:lang w:val="es-ES_tradnl"/>
        </w:rPr>
        <w:t xml:space="preserve">) </w:t>
      </w:r>
    </w:p>
    <w:p w:rsidRPr="00333908" w:rsidR="00E135E8" w:rsidP="00E135E8" w:rsidRDefault="009D630A" w14:paraId="286B7262" w14:textId="77777777">
      <w:pPr>
        <w:pStyle w:val="ListParagraph"/>
        <w:numPr>
          <w:ilvl w:val="0"/>
          <w:numId w:val="7"/>
        </w:numPr>
        <w:rPr>
          <w:b/>
          <w:bCs/>
          <w:lang w:val="es-ES_tradnl"/>
        </w:rPr>
      </w:pPr>
      <w:r w:rsidRPr="00333908">
        <w:rPr>
          <w:b/>
          <w:bCs/>
          <w:lang w:val="es-ES_tradnl"/>
        </w:rPr>
        <w:t xml:space="preserve">Informe sobre el procedimiento de investigación de violaciones graves o sistemáticas en México (art. 6 del Protocolo Facultativo de la Convención sobre los Derechos de las Personas con Discapacidad). Comité sobre los Derechos de las Personas con Discapacidad. Marzo, 2026 </w:t>
      </w:r>
    </w:p>
    <w:p w:rsidRPr="00333908" w:rsidR="004D4E8D" w:rsidP="00DB731D" w:rsidRDefault="009D630A" w14:paraId="6CD239F8" w14:textId="4DB80A2E">
      <w:pPr>
        <w:rPr>
          <w:lang w:val="es-ES_tradnl"/>
        </w:rPr>
      </w:pPr>
      <w:r w:rsidRPr="00333908">
        <w:rPr>
          <w:lang w:val="es-ES_tradnl"/>
        </w:rPr>
        <w:t xml:space="preserve">En su informe, el Comité analizó los impactos negativos de la institucionalización de las personas con discapacidad en México, particularmente, aquellas que se encuentran expuestas a discriminación múltiple e interseccional, así como sus causas multidimensionales, incluyendo la interdicción de la capacidad jurídica, la coerción en la salud mental y la institucionalización en los servicios sociales. </w:t>
      </w:r>
    </w:p>
    <w:p w:rsidR="00556082" w:rsidP="00DB731D" w:rsidRDefault="00B5091A" w14:paraId="0CB308AB" w14:textId="640749BE">
      <w:pPr>
        <w:rPr>
          <w:lang w:val="es-ES_tradnl"/>
        </w:rPr>
      </w:pPr>
      <w:r w:rsidRPr="00333908">
        <w:rPr>
          <w:lang w:val="es-ES_tradnl"/>
        </w:rPr>
        <w:t xml:space="preserve">(Para conocer el informe consulta el siguiente enlace </w:t>
      </w:r>
      <w:hyperlink w:history="1" r:id="rId33">
        <w:r w:rsidRPr="00333908" w:rsidR="00235F2F">
          <w:rPr>
            <w:rStyle w:val="Hyperlink"/>
            <w:lang w:val="es-ES_tradnl"/>
          </w:rPr>
          <w:t>https://tbinternet.ohchr.org/_layouts/15/treatybodyexternal/Download.aspx?symbolno=CRPD%2FC%2FMEX%2FIR%2F1&amp;Lang=es</w:t>
        </w:r>
      </w:hyperlink>
      <w:r w:rsidRPr="00333908">
        <w:rPr>
          <w:lang w:val="es-ES_tradnl"/>
        </w:rPr>
        <w:t>)</w:t>
      </w:r>
      <w:r w:rsidRPr="00333908" w:rsidR="00235F2F">
        <w:rPr>
          <w:lang w:val="es-ES_tradnl"/>
        </w:rPr>
        <w:t xml:space="preserve"> </w:t>
      </w:r>
    </w:p>
    <w:p w:rsidR="00D54D74" w:rsidP="006D0558" w:rsidRDefault="00D54D74" w14:paraId="0C0296FF" w14:textId="1ED6BF42">
      <w:pPr>
        <w:pStyle w:val="ListParagraph"/>
        <w:numPr>
          <w:ilvl w:val="0"/>
          <w:numId w:val="7"/>
        </w:numPr>
        <w:rPr>
          <w:b/>
          <w:bCs/>
          <w:lang w:val="es-ES_tradnl"/>
        </w:rPr>
      </w:pPr>
      <w:r w:rsidRPr="00D54D74">
        <w:rPr>
          <w:b/>
          <w:bCs/>
          <w:lang w:val="es-ES_tradnl"/>
        </w:rPr>
        <w:t>Dictamen aprobado por el Comité en virtud del artículo 7, párrafo 3, del Protocolo Facultativa, respecto de la comunicación núm. 189/2022 sobre el uso desproporcionado de la prisión preventiva oficiosa. Comité para la Eliminación de la Discriminación contra la Mujer (CEDAW). Marzo, 2026</w:t>
      </w:r>
    </w:p>
    <w:p w:rsidR="004D6E2D" w:rsidP="006D0558" w:rsidRDefault="004D6E2D" w14:paraId="04B0E733" w14:textId="41FFDECF">
      <w:pPr>
        <w:rPr>
          <w:lang w:val="es-ES_tradnl"/>
        </w:rPr>
      </w:pPr>
      <w:r w:rsidRPr="004D6E2D">
        <w:rPr>
          <w:lang w:val="es-ES_tradnl"/>
        </w:rPr>
        <w:t>La CEDAW formuló recomendaciones al estado: modificar las disposiciones constitucionales y legislativas con el fin de eliminar la prisión preventiva oficiosa, que impacta de forma desproporcionada en las mujeres y, garantizar a las mujeres privadas de libertad en el Centro Federal de Readaptación Social núm. 16, servicios médicos de manera permanente y continua.</w:t>
      </w:r>
    </w:p>
    <w:p w:rsidR="00556082" w:rsidP="00DB731D" w:rsidRDefault="006D0558" w14:paraId="469EA576" w14:textId="6BE6F826">
      <w:pPr>
        <w:rPr>
          <w:lang w:val="es-ES_tradnl"/>
        </w:rPr>
      </w:pPr>
      <w:r w:rsidRPr="00333908">
        <w:rPr>
          <w:lang w:val="es-ES_tradnl"/>
        </w:rPr>
        <w:t xml:space="preserve">(Para conocer más sobre dicha comunicación consulta el siguiente enlace </w:t>
      </w:r>
      <w:hyperlink w:history="1" r:id="rId34">
        <w:r w:rsidRPr="00333908">
          <w:rPr>
            <w:rStyle w:val="Hyperlink"/>
            <w:lang w:val="es-ES_tradnl"/>
          </w:rPr>
          <w:t>https://tbinternet.ohchr.org/_layouts/15/treatybodyexternal/Download.aspx?symbolno=CEDAW%2FC%2F92%2FD%2F189%2F2022&amp;Lang=en</w:t>
        </w:r>
      </w:hyperlink>
      <w:r w:rsidRPr="00333908">
        <w:rPr>
          <w:lang w:val="es-ES_tradnl"/>
        </w:rPr>
        <w:t xml:space="preserve">) </w:t>
      </w:r>
    </w:p>
    <w:p w:rsidRPr="0024131D" w:rsidR="0024131D" w:rsidP="00764718" w:rsidRDefault="0024131D" w14:paraId="4638EB42" w14:textId="7AA56A46">
      <w:pPr>
        <w:pStyle w:val="ListParagraph"/>
        <w:numPr>
          <w:ilvl w:val="0"/>
          <w:numId w:val="7"/>
        </w:numPr>
        <w:rPr>
          <w:b/>
          <w:bCs/>
          <w:lang w:val="es-ES_tradnl"/>
        </w:rPr>
      </w:pPr>
      <w:r w:rsidRPr="0024131D">
        <w:rPr>
          <w:b/>
          <w:bCs/>
          <w:lang w:val="es-ES_tradnl"/>
        </w:rPr>
        <w:t>La Relatoría Especial para la Libertad de Expresión condena el asesinato del periodista Carlos Castro en México y llama a investigarlo de forma diligente y exhaustiva. Comisión Interamericana de Derechos Humanos. Enero, 2026</w:t>
      </w:r>
    </w:p>
    <w:p w:rsidRPr="00333908" w:rsidR="00764718" w:rsidP="00764718" w:rsidRDefault="00764718" w14:paraId="5B915C22" w14:textId="566044B6">
      <w:pPr>
        <w:rPr>
          <w:lang w:val="es-ES_tradnl"/>
        </w:rPr>
      </w:pPr>
      <w:r w:rsidRPr="00333908">
        <w:rPr>
          <w:lang w:val="es-ES_tradnl"/>
        </w:rPr>
        <w:t xml:space="preserve">La Relatoría Especial instó a las autoridades mexicanas a realizar una investigación coordinada, diligente y exhaustiva, considerando la labor periodística de Carlos Castro como un posible móvil del crimen, y a garantizar la identificación, enjuiciamiento y sanción de los responsables. Asimismo, llamó a adoptar de manera inmediata las medidas de protección necesarias para sus familiares y colegas. </w:t>
      </w:r>
    </w:p>
    <w:p w:rsidRPr="00333908" w:rsidR="00764718" w:rsidP="00DB731D" w:rsidRDefault="00764718" w14:paraId="23FAF1DE" w14:textId="7DD7B003">
      <w:pPr>
        <w:rPr>
          <w:lang w:val="es-ES_tradnl"/>
        </w:rPr>
      </w:pPr>
      <w:r w:rsidRPr="00333908">
        <w:rPr>
          <w:lang w:val="es-ES_tradnl"/>
        </w:rPr>
        <w:t xml:space="preserve">(Para conocer el comunicado de prensa consulta el siguiente enlace </w:t>
      </w:r>
      <w:hyperlink r:id="rId35">
        <w:r w:rsidRPr="00333908">
          <w:rPr>
            <w:rStyle w:val="Hyperlink"/>
            <w:lang w:val="es-ES_tradnl"/>
          </w:rPr>
          <w:t>https://www.oas.org/es/CIDH/jsForm/?File=/es/cidh/expresion/prensa/comunicados/2026/012.asp&amp;utm_content=country-mex&amp;utm_term=class-mon</w:t>
        </w:r>
      </w:hyperlink>
      <w:r w:rsidRPr="00333908">
        <w:rPr>
          <w:lang w:val="es-ES_tradnl"/>
        </w:rPr>
        <w:t xml:space="preserve">) </w:t>
      </w:r>
    </w:p>
    <w:p w:rsidRPr="00333908" w:rsidR="00E135E8" w:rsidP="006D0558" w:rsidRDefault="001335C7" w14:paraId="2814E68F" w14:textId="702C270A">
      <w:pPr>
        <w:pStyle w:val="ListParagraph"/>
        <w:numPr>
          <w:ilvl w:val="0"/>
          <w:numId w:val="7"/>
        </w:numPr>
        <w:rPr>
          <w:b/>
          <w:bCs/>
          <w:lang w:val="es-ES_tradnl"/>
        </w:rPr>
      </w:pPr>
      <w:r w:rsidRPr="00333908">
        <w:rPr>
          <w:b/>
          <w:bCs/>
          <w:lang w:val="es-ES_tradnl"/>
        </w:rPr>
        <w:t>OC-30</w:t>
      </w:r>
      <w:r w:rsidRPr="001D2E0D">
        <w:rPr>
          <w:b/>
          <w:bCs/>
          <w:lang w:val="es-ES_tradnl"/>
        </w:rPr>
        <w:t>/25</w:t>
      </w:r>
      <w:r w:rsidRPr="001D2E0D" w:rsidR="00D274BD">
        <w:rPr>
          <w:b/>
          <w:bCs/>
          <w:lang w:val="es-ES_tradnl"/>
        </w:rPr>
        <w:t>.</w:t>
      </w:r>
      <w:r w:rsidRPr="001D2E0D">
        <w:rPr>
          <w:b/>
          <w:bCs/>
          <w:lang w:val="es-ES_tradnl"/>
        </w:rPr>
        <w:t xml:space="preserve"> La responsabilidad</w:t>
      </w:r>
      <w:r w:rsidRPr="00333908">
        <w:rPr>
          <w:b/>
          <w:bCs/>
          <w:lang w:val="es-ES_tradnl"/>
        </w:rPr>
        <w:t xml:space="preserve"> de los Estados en materia de derechos humanos frente al tráfico ilícito de armas de fuego. Corte Interamericana de Derechos Humanos. Diciembre, 2025 </w:t>
      </w:r>
    </w:p>
    <w:p w:rsidR="00CD32FD" w:rsidP="00DB731D" w:rsidRDefault="00CD32FD" w14:paraId="25F5B986" w14:textId="73BB4F6D">
      <w:pPr>
        <w:rPr>
          <w:lang w:val="es-ES_tradnl"/>
        </w:rPr>
      </w:pPr>
      <w:r w:rsidRPr="00CD32FD">
        <w:rPr>
          <w:lang w:val="es-ES_tradnl"/>
        </w:rPr>
        <w:t>La Corte Interamericana determinó que los Estados deben ejercer debida diligencia en la regulación, supervisión y fiscalización de la comercialización de las armas de fuego, de la gestión de sus arsenales y de las armas decomisadas, para evitar su desviación al tráfico ilícito.</w:t>
      </w:r>
    </w:p>
    <w:p w:rsidRPr="00333908" w:rsidR="00AF5257" w:rsidP="00DB731D" w:rsidRDefault="00990E4D" w14:paraId="56E4CDD3" w14:textId="2E55A05C">
      <w:pPr>
        <w:rPr>
          <w:lang w:val="es-ES_tradnl"/>
        </w:rPr>
      </w:pPr>
      <w:r w:rsidRPr="00333908">
        <w:rPr>
          <w:lang w:val="es-ES_tradnl"/>
        </w:rPr>
        <w:t xml:space="preserve">(Para conocer la opinión consultiva puedes utilizar el siguiente enlace </w:t>
      </w:r>
      <w:hyperlink w:history="1" r:id="rId36">
        <w:r w:rsidRPr="00333908">
          <w:rPr>
            <w:rStyle w:val="Hyperlink"/>
            <w:lang w:val="es-ES_tradnl"/>
          </w:rPr>
          <w:t>https://corteidh.or.cr/docs/opiniones/seriea_30_es.pdf</w:t>
        </w:r>
      </w:hyperlink>
      <w:r w:rsidRPr="00333908">
        <w:rPr>
          <w:lang w:val="es-ES_tradnl"/>
        </w:rPr>
        <w:t xml:space="preserve"> )</w:t>
      </w:r>
    </w:p>
    <w:p w:rsidRPr="00333908" w:rsidR="006C0747" w:rsidP="004E7A64" w:rsidRDefault="009D630A" w14:paraId="57073DEF" w14:textId="31A19DDD">
      <w:pPr>
        <w:pStyle w:val="ListParagraph"/>
        <w:numPr>
          <w:ilvl w:val="0"/>
          <w:numId w:val="7"/>
        </w:numPr>
        <w:rPr>
          <w:b/>
          <w:bCs/>
          <w:lang w:val="es-ES_tradnl"/>
        </w:rPr>
      </w:pPr>
      <w:r w:rsidRPr="00333908">
        <w:rPr>
          <w:b/>
          <w:bCs/>
          <w:lang w:val="es-ES_tradnl"/>
        </w:rPr>
        <w:t xml:space="preserve">Procedimientos especiales de las Naciones Unidas señalan la atención urgente por el asesinato del defensor de derechos humanos Bernardo Bravo Manríquez AL MEX 15/2025. </w:t>
      </w:r>
      <w:r w:rsidRPr="00333908" w:rsidR="00994046">
        <w:rPr>
          <w:b/>
          <w:bCs/>
          <w:lang w:val="es-ES_tradnl"/>
        </w:rPr>
        <w:t>Relatora Especial</w:t>
      </w:r>
      <w:r w:rsidRPr="00333908" w:rsidR="001A3131">
        <w:rPr>
          <w:b/>
          <w:bCs/>
          <w:lang w:val="es-ES_tradnl"/>
        </w:rPr>
        <w:t xml:space="preserve"> sobre la situación de los defensores de derechos humanos; Relator Especial sobre ejecuciones extrajudiciales, </w:t>
      </w:r>
      <w:r w:rsidRPr="002272F4" w:rsidR="001A3131">
        <w:rPr>
          <w:b/>
          <w:bCs/>
          <w:lang w:val="es-ES_tradnl"/>
        </w:rPr>
        <w:t xml:space="preserve">sumarias o </w:t>
      </w:r>
      <w:r w:rsidRPr="002272F4" w:rsidR="002272F4">
        <w:rPr>
          <w:b/>
          <w:bCs/>
          <w:lang w:val="es-ES_tradnl"/>
        </w:rPr>
        <w:t>a</w:t>
      </w:r>
      <w:r w:rsidRPr="002272F4" w:rsidR="001A3131">
        <w:rPr>
          <w:b/>
          <w:bCs/>
          <w:lang w:val="es-ES_tradnl"/>
        </w:rPr>
        <w:t>rbitrarias; y, Relatora Especial sobre</w:t>
      </w:r>
      <w:r w:rsidRPr="00333908" w:rsidR="001A3131">
        <w:rPr>
          <w:b/>
          <w:bCs/>
          <w:lang w:val="es-ES_tradnl"/>
        </w:rPr>
        <w:t xml:space="preserve"> los derechos a la </w:t>
      </w:r>
      <w:r w:rsidRPr="00333908" w:rsidR="00994046">
        <w:rPr>
          <w:b/>
          <w:bCs/>
          <w:lang w:val="es-ES_tradnl"/>
        </w:rPr>
        <w:t>libertad de</w:t>
      </w:r>
      <w:r w:rsidRPr="00333908" w:rsidR="001A3131">
        <w:rPr>
          <w:b/>
          <w:bCs/>
          <w:lang w:val="es-ES_tradnl"/>
        </w:rPr>
        <w:t xml:space="preserve"> reunión pacífica y de asociación.  </w:t>
      </w:r>
      <w:r w:rsidRPr="00333908">
        <w:rPr>
          <w:b/>
          <w:bCs/>
          <w:lang w:val="es-ES_tradnl"/>
        </w:rPr>
        <w:t xml:space="preserve">Diciembre, 2025 </w:t>
      </w:r>
    </w:p>
    <w:p w:rsidRPr="0051759A" w:rsidR="0051759A" w:rsidP="00DB731D" w:rsidRDefault="0051759A" w14:paraId="29BD1E26" w14:textId="1C896996">
      <w:pPr>
        <w:rPr>
          <w:b/>
          <w:bCs/>
          <w:lang w:val="es-ES_tradnl"/>
        </w:rPr>
      </w:pPr>
      <w:r w:rsidRPr="0051759A">
        <w:rPr>
          <w:lang w:val="es-ES_tradnl"/>
        </w:rPr>
        <w:t>Tres procedimientos especiales expresaron su preocupación e instaron al Estado a realizar una investigación pronta, efectiva, exhaustiva, independiente y transparente, conforme al Protocolo de Minnesota, y alertaron sobre protección insuficiente pese a solici</w:t>
      </w:r>
      <w:r>
        <w:rPr>
          <w:lang w:val="es-ES_tradnl"/>
        </w:rPr>
        <w:t>t</w:t>
      </w:r>
      <w:r w:rsidRPr="0051759A">
        <w:rPr>
          <w:lang w:val="es-ES_tradnl"/>
        </w:rPr>
        <w:t>udes previas de medidas.</w:t>
      </w:r>
    </w:p>
    <w:p w:rsidRPr="00333908" w:rsidR="004E5F9F" w:rsidP="00DB731D" w:rsidRDefault="0055617E" w14:paraId="227F4EA2" w14:textId="486A1BE6">
      <w:pPr>
        <w:rPr>
          <w:lang w:val="es-ES_tradnl"/>
        </w:rPr>
      </w:pPr>
      <w:r w:rsidRPr="00333908">
        <w:rPr>
          <w:lang w:val="es-ES_tradnl"/>
        </w:rPr>
        <w:t xml:space="preserve">(Para conocer más sobre este llamamiento consulta el siguiente enlace </w:t>
      </w:r>
      <w:hyperlink w:history="1" r:id="rId37">
        <w:r w:rsidRPr="00333908">
          <w:rPr>
            <w:rStyle w:val="Hyperlink"/>
            <w:lang w:val="es-ES_tradnl"/>
          </w:rPr>
          <w:t>https://spcommreports.ohchr.org/TMResultsBase/DownLoadPublicCommunicationFile?gId=30643</w:t>
        </w:r>
      </w:hyperlink>
      <w:r w:rsidRPr="00333908">
        <w:rPr>
          <w:lang w:val="es-ES_tradnl"/>
        </w:rPr>
        <w:t xml:space="preserve">) </w:t>
      </w:r>
    </w:p>
    <w:p w:rsidRPr="00333908" w:rsidR="00240AC2" w:rsidP="002758AA" w:rsidRDefault="002758AA" w14:paraId="00AB589F" w14:textId="5EC87FA0">
      <w:pPr>
        <w:pStyle w:val="Heading1"/>
        <w:rPr>
          <w:lang w:val="es-ES_tradnl"/>
        </w:rPr>
      </w:pPr>
      <w:r w:rsidRPr="00333908">
        <w:rPr>
          <w:lang w:val="es-ES_tradnl"/>
        </w:rPr>
        <w:t xml:space="preserve">Te podría interesar </w:t>
      </w:r>
    </w:p>
    <w:p w:rsidRPr="00333908" w:rsidR="00E36836" w:rsidP="00DC12C8" w:rsidRDefault="00E36836" w14:paraId="7153C431" w14:textId="06E3C6E0">
      <w:pPr>
        <w:pStyle w:val="ListParagraph"/>
        <w:numPr>
          <w:ilvl w:val="0"/>
          <w:numId w:val="8"/>
        </w:numPr>
        <w:rPr>
          <w:b/>
          <w:bCs/>
          <w:lang w:val="es-ES_tradnl"/>
        </w:rPr>
      </w:pPr>
      <w:r w:rsidRPr="00333908">
        <w:rPr>
          <w:b/>
          <w:bCs/>
          <w:lang w:val="es-ES_tradnl"/>
        </w:rPr>
        <w:t xml:space="preserve">Conversatorio Estándares: personas defensoras de medio ambiente y el territorio. </w:t>
      </w:r>
    </w:p>
    <w:p w:rsidRPr="00333908" w:rsidR="00C35670" w:rsidP="007867B9" w:rsidRDefault="00D54012" w14:paraId="50935FCA" w14:textId="322D2CBD">
      <w:pPr>
        <w:ind w:left="708" w:firstLine="12"/>
        <w:rPr>
          <w:lang w:val="es-ES_tradnl"/>
        </w:rPr>
      </w:pPr>
      <w:r w:rsidRPr="00333908">
        <w:rPr>
          <w:lang w:val="es-ES_tradnl"/>
        </w:rPr>
        <w:t>(Para conocer más sobre el conversatorio consulta el siguiente enlace</w:t>
      </w:r>
      <w:r w:rsidRPr="00333908" w:rsidR="006745B5">
        <w:rPr>
          <w:lang w:val="es-ES_tradnl"/>
        </w:rPr>
        <w:t xml:space="preserve"> </w:t>
      </w:r>
      <w:hyperlink w:history="1" r:id="rId38">
        <w:r w:rsidRPr="00333908" w:rsidR="00CB1F52">
          <w:rPr>
            <w:rStyle w:val="Hyperlink"/>
            <w:lang w:val="es-ES_tradnl"/>
          </w:rPr>
          <w:t>https://www.youtube.com/live/OlIvweLW0ds?si=Fn2oc2o5yiQ1PRwK</w:t>
        </w:r>
      </w:hyperlink>
      <w:r w:rsidRPr="00333908" w:rsidR="00077C58">
        <w:rPr>
          <w:lang w:val="es-ES_tradnl"/>
        </w:rPr>
        <w:t>)</w:t>
      </w:r>
      <w:r w:rsidRPr="00333908" w:rsidR="00CB1F52">
        <w:rPr>
          <w:lang w:val="es-ES_tradnl"/>
        </w:rPr>
        <w:t xml:space="preserve"> </w:t>
      </w:r>
    </w:p>
    <w:p w:rsidRPr="00333908" w:rsidR="00AF299E" w:rsidP="00DC12C8" w:rsidRDefault="00E36836" w14:paraId="73E77A1D" w14:textId="7D8A1268">
      <w:pPr>
        <w:pStyle w:val="ListParagraph"/>
        <w:numPr>
          <w:ilvl w:val="0"/>
          <w:numId w:val="8"/>
        </w:numPr>
        <w:rPr>
          <w:b/>
          <w:bCs/>
          <w:lang w:val="es-ES_tradnl"/>
        </w:rPr>
      </w:pPr>
      <w:r w:rsidRPr="00333908">
        <w:rPr>
          <w:b/>
          <w:bCs/>
          <w:lang w:val="es-ES_tradnl"/>
        </w:rPr>
        <w:t>Diálogos sobre Saberes</w:t>
      </w:r>
      <w:r w:rsidRPr="00333908" w:rsidR="00C16181">
        <w:rPr>
          <w:b/>
          <w:bCs/>
          <w:lang w:val="es-ES_tradnl"/>
        </w:rPr>
        <w:t xml:space="preserve"> del Patrimonio Biocultural </w:t>
      </w:r>
    </w:p>
    <w:p w:rsidRPr="00333908" w:rsidR="00D54012" w:rsidP="007867B9" w:rsidRDefault="00D54012" w14:paraId="2A14803D" w14:textId="6E371DAC">
      <w:pPr>
        <w:ind w:left="708" w:firstLine="12"/>
        <w:rPr>
          <w:lang w:val="es-ES_tradnl"/>
        </w:rPr>
      </w:pPr>
      <w:r w:rsidRPr="00333908">
        <w:rPr>
          <w:lang w:val="es-ES_tradnl"/>
        </w:rPr>
        <w:t xml:space="preserve">(Para conocer más sobre </w:t>
      </w:r>
      <w:r w:rsidRPr="00333908" w:rsidR="00656FE0">
        <w:rPr>
          <w:lang w:val="es-ES_tradnl"/>
        </w:rPr>
        <w:t xml:space="preserve">los diálogos de saberes consulta el siguiente enlace </w:t>
      </w:r>
      <w:hyperlink w:history="1" r:id="rId39">
        <w:r w:rsidRPr="007A5C76" w:rsidR="00077C58">
          <w:rPr>
            <w:rStyle w:val="Hyperlink"/>
            <w:lang w:val="es-ES_tradnl"/>
          </w:rPr>
          <w:t>https://www.facebook.com/reel/1415984926520240</w:t>
        </w:r>
      </w:hyperlink>
      <w:r w:rsidRPr="007A5C76">
        <w:rPr>
          <w:lang w:val="es-ES_tradnl"/>
        </w:rPr>
        <w:t>)</w:t>
      </w:r>
      <w:r w:rsidRPr="00333908" w:rsidR="00077C58">
        <w:rPr>
          <w:lang w:val="es-ES_tradnl"/>
        </w:rPr>
        <w:t xml:space="preserve"> </w:t>
      </w:r>
    </w:p>
    <w:sectPr w:rsidRPr="00333908" w:rsidR="00D54012">
      <w:headerReference w:type="default" r:id="rId40"/>
      <w:footerReference w:type="even" r:id="rId41"/>
      <w:footerReference w:type="default" r:id="rId42"/>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162" w:rsidP="00E0394C" w:rsidRDefault="007E4162" w14:paraId="03A3CD76" w14:textId="77777777">
      <w:pPr>
        <w:spacing w:after="0" w:line="240" w:lineRule="auto"/>
      </w:pPr>
      <w:r>
        <w:separator/>
      </w:r>
    </w:p>
  </w:endnote>
  <w:endnote w:type="continuationSeparator" w:id="0">
    <w:p w:rsidR="007E4162" w:rsidP="00E0394C" w:rsidRDefault="007E4162" w14:paraId="364B1D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7814362"/>
      <w:docPartObj>
        <w:docPartGallery w:val="Page Numbers (Bottom of Page)"/>
        <w:docPartUnique/>
      </w:docPartObj>
    </w:sdtPr>
    <w:sdtEndPr>
      <w:rPr>
        <w:rStyle w:val="PageNumber"/>
      </w:rPr>
    </w:sdtEndPr>
    <w:sdtContent>
      <w:p w:rsidR="00163EF5" w:rsidRDefault="00163EF5" w14:paraId="2E68C981" w14:textId="7C74BECE">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63EF5" w:rsidP="00163EF5" w:rsidRDefault="00163EF5" w14:paraId="350B623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857595"/>
      <w:docPartObj>
        <w:docPartGallery w:val="Page Numbers (Bottom of Page)"/>
        <w:docPartUnique/>
      </w:docPartObj>
    </w:sdtPr>
    <w:sdtEndPr>
      <w:rPr>
        <w:rStyle w:val="PageNumber"/>
      </w:rPr>
    </w:sdtEndPr>
    <w:sdtContent>
      <w:p w:rsidR="00163EF5" w:rsidRDefault="00163EF5" w14:paraId="5C22BAD9" w14:textId="5F7B265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63EF5" w:rsidP="00163EF5" w:rsidRDefault="00163EF5" w14:paraId="5720BBB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162" w:rsidP="00E0394C" w:rsidRDefault="007E4162" w14:paraId="1E40CBC8" w14:textId="77777777">
      <w:pPr>
        <w:spacing w:after="0" w:line="240" w:lineRule="auto"/>
      </w:pPr>
      <w:r>
        <w:separator/>
      </w:r>
    </w:p>
  </w:footnote>
  <w:footnote w:type="continuationSeparator" w:id="0">
    <w:p w:rsidR="007E4162" w:rsidP="00E0394C" w:rsidRDefault="007E4162" w14:paraId="5E11C3E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0394C" w:rsidRDefault="00E0394C" w14:paraId="61A788F0" w14:textId="5E73BC47">
    <w:pPr>
      <w:pStyle w:val="Header"/>
    </w:pPr>
    <w:r>
      <w:rPr>
        <w:noProof/>
      </w:rPr>
      <w:drawing>
        <wp:anchor distT="0" distB="0" distL="114300" distR="114300" simplePos="0" relativeHeight="251658240" behindDoc="1" locked="0" layoutInCell="1" allowOverlap="1" wp14:anchorId="190AE821" wp14:editId="37F71707">
          <wp:simplePos x="0" y="0"/>
          <wp:positionH relativeFrom="column">
            <wp:posOffset>1616172</wp:posOffset>
          </wp:positionH>
          <wp:positionV relativeFrom="paragraph">
            <wp:posOffset>-366883</wp:posOffset>
          </wp:positionV>
          <wp:extent cx="2239108" cy="802867"/>
          <wp:effectExtent l="0" t="0" r="0" b="0"/>
          <wp:wrapNone/>
          <wp:docPr id="4093404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40460" name="Imagen 409340460"/>
                  <pic:cNvPicPr/>
                </pic:nvPicPr>
                <pic:blipFill>
                  <a:blip r:embed="rId1">
                    <a:extLst>
                      <a:ext uri="{28A0092B-C50C-407E-A947-70E740481C1C}">
                        <a14:useLocalDpi xmlns:a14="http://schemas.microsoft.com/office/drawing/2010/main" val="0"/>
                      </a:ext>
                    </a:extLst>
                  </a:blip>
                  <a:stretch>
                    <a:fillRect/>
                  </a:stretch>
                </pic:blipFill>
                <pic:spPr>
                  <a:xfrm>
                    <a:off x="0" y="0"/>
                    <a:ext cx="2239108" cy="8028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29C"/>
    <w:multiLevelType w:val="hybridMultilevel"/>
    <w:tmpl w:val="AC6659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494312"/>
    <w:multiLevelType w:val="hybridMultilevel"/>
    <w:tmpl w:val="D5F6FE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562483"/>
    <w:multiLevelType w:val="hybridMultilevel"/>
    <w:tmpl w:val="996EB022"/>
    <w:lvl w:ilvl="0" w:tplc="BF90875A">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4B4078"/>
    <w:multiLevelType w:val="hybridMultilevel"/>
    <w:tmpl w:val="197AD7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527B27"/>
    <w:multiLevelType w:val="hybridMultilevel"/>
    <w:tmpl w:val="197AD7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4472BD"/>
    <w:multiLevelType w:val="hybridMultilevel"/>
    <w:tmpl w:val="F0E2D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496015"/>
    <w:multiLevelType w:val="hybridMultilevel"/>
    <w:tmpl w:val="61C88C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F5398A"/>
    <w:multiLevelType w:val="hybridMultilevel"/>
    <w:tmpl w:val="F0E2D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073937"/>
    <w:multiLevelType w:val="hybridMultilevel"/>
    <w:tmpl w:val="8938C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AB2119"/>
    <w:multiLevelType w:val="hybridMultilevel"/>
    <w:tmpl w:val="08EA6C9A"/>
    <w:lvl w:ilvl="0" w:tplc="F4783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12043073">
    <w:abstractNumId w:val="2"/>
  </w:num>
  <w:num w:numId="2" w16cid:durableId="1065956594">
    <w:abstractNumId w:val="8"/>
  </w:num>
  <w:num w:numId="3" w16cid:durableId="1060519221">
    <w:abstractNumId w:val="1"/>
  </w:num>
  <w:num w:numId="4" w16cid:durableId="1267881510">
    <w:abstractNumId w:val="4"/>
  </w:num>
  <w:num w:numId="5" w16cid:durableId="2123721291">
    <w:abstractNumId w:val="3"/>
  </w:num>
  <w:num w:numId="6" w16cid:durableId="63377264">
    <w:abstractNumId w:val="9"/>
  </w:num>
  <w:num w:numId="7" w16cid:durableId="574169755">
    <w:abstractNumId w:val="7"/>
  </w:num>
  <w:num w:numId="8" w16cid:durableId="958217668">
    <w:abstractNumId w:val="0"/>
  </w:num>
  <w:num w:numId="9" w16cid:durableId="265626753">
    <w:abstractNumId w:val="5"/>
  </w:num>
  <w:num w:numId="10" w16cid:durableId="891773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4C"/>
    <w:rsid w:val="00001C78"/>
    <w:rsid w:val="00003C3E"/>
    <w:rsid w:val="00005232"/>
    <w:rsid w:val="00005686"/>
    <w:rsid w:val="0000624C"/>
    <w:rsid w:val="00017C41"/>
    <w:rsid w:val="00020BC6"/>
    <w:rsid w:val="000225A6"/>
    <w:rsid w:val="0003779D"/>
    <w:rsid w:val="00040AFC"/>
    <w:rsid w:val="00047C3F"/>
    <w:rsid w:val="00062664"/>
    <w:rsid w:val="00077C58"/>
    <w:rsid w:val="00093604"/>
    <w:rsid w:val="000B745A"/>
    <w:rsid w:val="000C0FFC"/>
    <w:rsid w:val="000C4B23"/>
    <w:rsid w:val="000C5FD8"/>
    <w:rsid w:val="000D1503"/>
    <w:rsid w:val="000D7CD6"/>
    <w:rsid w:val="000F5D8D"/>
    <w:rsid w:val="001010F7"/>
    <w:rsid w:val="001025E5"/>
    <w:rsid w:val="00106A7B"/>
    <w:rsid w:val="001076D8"/>
    <w:rsid w:val="0011048E"/>
    <w:rsid w:val="00110FEF"/>
    <w:rsid w:val="001179D8"/>
    <w:rsid w:val="001300BB"/>
    <w:rsid w:val="001335C7"/>
    <w:rsid w:val="001365A7"/>
    <w:rsid w:val="001439E8"/>
    <w:rsid w:val="00147599"/>
    <w:rsid w:val="00157CFF"/>
    <w:rsid w:val="00163EF5"/>
    <w:rsid w:val="00170901"/>
    <w:rsid w:val="00175FCE"/>
    <w:rsid w:val="001947EC"/>
    <w:rsid w:val="001A3131"/>
    <w:rsid w:val="001A4661"/>
    <w:rsid w:val="001A65F3"/>
    <w:rsid w:val="001A7C4B"/>
    <w:rsid w:val="001B0C39"/>
    <w:rsid w:val="001B7094"/>
    <w:rsid w:val="001C3407"/>
    <w:rsid w:val="001D1BFA"/>
    <w:rsid w:val="001D2E0D"/>
    <w:rsid w:val="0020177F"/>
    <w:rsid w:val="002079BF"/>
    <w:rsid w:val="00217FA5"/>
    <w:rsid w:val="00223F0C"/>
    <w:rsid w:val="002272F4"/>
    <w:rsid w:val="00235F2F"/>
    <w:rsid w:val="00240AC2"/>
    <w:rsid w:val="0024131D"/>
    <w:rsid w:val="00251A50"/>
    <w:rsid w:val="0026178A"/>
    <w:rsid w:val="002618EA"/>
    <w:rsid w:val="002636BA"/>
    <w:rsid w:val="00273214"/>
    <w:rsid w:val="00273EB8"/>
    <w:rsid w:val="002758AA"/>
    <w:rsid w:val="0028468F"/>
    <w:rsid w:val="002913D4"/>
    <w:rsid w:val="0029464E"/>
    <w:rsid w:val="002B0B08"/>
    <w:rsid w:val="002B6900"/>
    <w:rsid w:val="002B7334"/>
    <w:rsid w:val="002B7D59"/>
    <w:rsid w:val="002C4DBE"/>
    <w:rsid w:val="002D14AD"/>
    <w:rsid w:val="002D4DC1"/>
    <w:rsid w:val="002E4C03"/>
    <w:rsid w:val="002F19E7"/>
    <w:rsid w:val="00305B44"/>
    <w:rsid w:val="00333908"/>
    <w:rsid w:val="00344A88"/>
    <w:rsid w:val="00353178"/>
    <w:rsid w:val="003533EC"/>
    <w:rsid w:val="00356A67"/>
    <w:rsid w:val="003622E1"/>
    <w:rsid w:val="00363837"/>
    <w:rsid w:val="003733FF"/>
    <w:rsid w:val="00374362"/>
    <w:rsid w:val="0037465C"/>
    <w:rsid w:val="0038287D"/>
    <w:rsid w:val="00385533"/>
    <w:rsid w:val="00387F2B"/>
    <w:rsid w:val="00390EF2"/>
    <w:rsid w:val="003A224F"/>
    <w:rsid w:val="003A5941"/>
    <w:rsid w:val="003B7267"/>
    <w:rsid w:val="003B7CCA"/>
    <w:rsid w:val="003C542D"/>
    <w:rsid w:val="003D0C65"/>
    <w:rsid w:val="003D0CEE"/>
    <w:rsid w:val="003D1988"/>
    <w:rsid w:val="003D2E6F"/>
    <w:rsid w:val="003D4EB0"/>
    <w:rsid w:val="003D7BC1"/>
    <w:rsid w:val="003E0174"/>
    <w:rsid w:val="00403A6A"/>
    <w:rsid w:val="00404797"/>
    <w:rsid w:val="00425FA1"/>
    <w:rsid w:val="00432CBF"/>
    <w:rsid w:val="00435CDE"/>
    <w:rsid w:val="00435DFA"/>
    <w:rsid w:val="004360D3"/>
    <w:rsid w:val="00453398"/>
    <w:rsid w:val="004554EB"/>
    <w:rsid w:val="0046215E"/>
    <w:rsid w:val="004650CB"/>
    <w:rsid w:val="00466ED9"/>
    <w:rsid w:val="0047183A"/>
    <w:rsid w:val="00477588"/>
    <w:rsid w:val="00486188"/>
    <w:rsid w:val="00490ABA"/>
    <w:rsid w:val="00493AEC"/>
    <w:rsid w:val="004964BC"/>
    <w:rsid w:val="004A0E7B"/>
    <w:rsid w:val="004A2E8C"/>
    <w:rsid w:val="004A431A"/>
    <w:rsid w:val="004C3633"/>
    <w:rsid w:val="004C5039"/>
    <w:rsid w:val="004C554D"/>
    <w:rsid w:val="004C6950"/>
    <w:rsid w:val="004D4E8D"/>
    <w:rsid w:val="004D6E2D"/>
    <w:rsid w:val="004E38C8"/>
    <w:rsid w:val="004E5F9F"/>
    <w:rsid w:val="004E7A64"/>
    <w:rsid w:val="0050428C"/>
    <w:rsid w:val="00516830"/>
    <w:rsid w:val="0051759A"/>
    <w:rsid w:val="00527A65"/>
    <w:rsid w:val="00532C6E"/>
    <w:rsid w:val="005350A0"/>
    <w:rsid w:val="00535E80"/>
    <w:rsid w:val="00551873"/>
    <w:rsid w:val="00553B93"/>
    <w:rsid w:val="00554479"/>
    <w:rsid w:val="00555EA5"/>
    <w:rsid w:val="00556082"/>
    <w:rsid w:val="0055617E"/>
    <w:rsid w:val="005618FE"/>
    <w:rsid w:val="00565B73"/>
    <w:rsid w:val="00567CB0"/>
    <w:rsid w:val="00574DF2"/>
    <w:rsid w:val="00576C29"/>
    <w:rsid w:val="00590E5B"/>
    <w:rsid w:val="00593E9E"/>
    <w:rsid w:val="005A0DD0"/>
    <w:rsid w:val="005B24C9"/>
    <w:rsid w:val="005B5637"/>
    <w:rsid w:val="005D40A9"/>
    <w:rsid w:val="005E040F"/>
    <w:rsid w:val="005E7557"/>
    <w:rsid w:val="0060779C"/>
    <w:rsid w:val="00622574"/>
    <w:rsid w:val="006260A1"/>
    <w:rsid w:val="00626397"/>
    <w:rsid w:val="00627ABC"/>
    <w:rsid w:val="00631BAB"/>
    <w:rsid w:val="00634D2A"/>
    <w:rsid w:val="00637296"/>
    <w:rsid w:val="00656FE0"/>
    <w:rsid w:val="006572A7"/>
    <w:rsid w:val="0066236F"/>
    <w:rsid w:val="006661A2"/>
    <w:rsid w:val="00666C98"/>
    <w:rsid w:val="00666DE3"/>
    <w:rsid w:val="00666E85"/>
    <w:rsid w:val="006674C8"/>
    <w:rsid w:val="006679EC"/>
    <w:rsid w:val="00670134"/>
    <w:rsid w:val="0067130A"/>
    <w:rsid w:val="00671A8A"/>
    <w:rsid w:val="00672840"/>
    <w:rsid w:val="006745B5"/>
    <w:rsid w:val="0067530B"/>
    <w:rsid w:val="00685876"/>
    <w:rsid w:val="00692A2C"/>
    <w:rsid w:val="006A275C"/>
    <w:rsid w:val="006B1C5E"/>
    <w:rsid w:val="006C0747"/>
    <w:rsid w:val="006C1F2B"/>
    <w:rsid w:val="006C7D1C"/>
    <w:rsid w:val="006D0325"/>
    <w:rsid w:val="006D0558"/>
    <w:rsid w:val="006E2B36"/>
    <w:rsid w:val="006E4500"/>
    <w:rsid w:val="006F20BB"/>
    <w:rsid w:val="006F2FED"/>
    <w:rsid w:val="006F5194"/>
    <w:rsid w:val="007049C7"/>
    <w:rsid w:val="00707D42"/>
    <w:rsid w:val="007223A7"/>
    <w:rsid w:val="007233F2"/>
    <w:rsid w:val="0073194C"/>
    <w:rsid w:val="00733A08"/>
    <w:rsid w:val="007413D3"/>
    <w:rsid w:val="00752A17"/>
    <w:rsid w:val="00763BC9"/>
    <w:rsid w:val="00764718"/>
    <w:rsid w:val="00780955"/>
    <w:rsid w:val="007812D2"/>
    <w:rsid w:val="007825EC"/>
    <w:rsid w:val="007867B9"/>
    <w:rsid w:val="00796AF7"/>
    <w:rsid w:val="007A5C76"/>
    <w:rsid w:val="007A65B3"/>
    <w:rsid w:val="007B2699"/>
    <w:rsid w:val="007B565E"/>
    <w:rsid w:val="007B7DDE"/>
    <w:rsid w:val="007C2291"/>
    <w:rsid w:val="007C4DE0"/>
    <w:rsid w:val="007D23EB"/>
    <w:rsid w:val="007D4208"/>
    <w:rsid w:val="007D518F"/>
    <w:rsid w:val="007E254E"/>
    <w:rsid w:val="007E4162"/>
    <w:rsid w:val="007E5C48"/>
    <w:rsid w:val="007F4A38"/>
    <w:rsid w:val="0080023C"/>
    <w:rsid w:val="00802A62"/>
    <w:rsid w:val="00805B02"/>
    <w:rsid w:val="008132CE"/>
    <w:rsid w:val="00824980"/>
    <w:rsid w:val="00832E2B"/>
    <w:rsid w:val="008362D7"/>
    <w:rsid w:val="00836638"/>
    <w:rsid w:val="008408D5"/>
    <w:rsid w:val="00842EA7"/>
    <w:rsid w:val="00842F1A"/>
    <w:rsid w:val="008550A0"/>
    <w:rsid w:val="00877EF8"/>
    <w:rsid w:val="00877FA7"/>
    <w:rsid w:val="0088245C"/>
    <w:rsid w:val="0089005B"/>
    <w:rsid w:val="0089217E"/>
    <w:rsid w:val="008A44AC"/>
    <w:rsid w:val="008B379F"/>
    <w:rsid w:val="008B622C"/>
    <w:rsid w:val="008C119E"/>
    <w:rsid w:val="008C7FCE"/>
    <w:rsid w:val="008D0DD2"/>
    <w:rsid w:val="008F0904"/>
    <w:rsid w:val="00910521"/>
    <w:rsid w:val="00911B94"/>
    <w:rsid w:val="00913850"/>
    <w:rsid w:val="00913EC0"/>
    <w:rsid w:val="00916F4C"/>
    <w:rsid w:val="00917B18"/>
    <w:rsid w:val="0093396E"/>
    <w:rsid w:val="00934B54"/>
    <w:rsid w:val="009456D5"/>
    <w:rsid w:val="009531DB"/>
    <w:rsid w:val="00954B18"/>
    <w:rsid w:val="009564EE"/>
    <w:rsid w:val="009606A5"/>
    <w:rsid w:val="009627C7"/>
    <w:rsid w:val="0096483F"/>
    <w:rsid w:val="00966EB6"/>
    <w:rsid w:val="00975376"/>
    <w:rsid w:val="00990E4D"/>
    <w:rsid w:val="00994046"/>
    <w:rsid w:val="009B570A"/>
    <w:rsid w:val="009D630A"/>
    <w:rsid w:val="009D66AF"/>
    <w:rsid w:val="00A01171"/>
    <w:rsid w:val="00A02510"/>
    <w:rsid w:val="00A1056E"/>
    <w:rsid w:val="00A21D5E"/>
    <w:rsid w:val="00A232EC"/>
    <w:rsid w:val="00A33360"/>
    <w:rsid w:val="00A37185"/>
    <w:rsid w:val="00A43494"/>
    <w:rsid w:val="00A44093"/>
    <w:rsid w:val="00A45C58"/>
    <w:rsid w:val="00A64EFE"/>
    <w:rsid w:val="00A74DE6"/>
    <w:rsid w:val="00A74F29"/>
    <w:rsid w:val="00A8624A"/>
    <w:rsid w:val="00A862C8"/>
    <w:rsid w:val="00A865B7"/>
    <w:rsid w:val="00A86CAD"/>
    <w:rsid w:val="00A95153"/>
    <w:rsid w:val="00AA0242"/>
    <w:rsid w:val="00AA387E"/>
    <w:rsid w:val="00AB6CA4"/>
    <w:rsid w:val="00AC65E4"/>
    <w:rsid w:val="00AC7880"/>
    <w:rsid w:val="00AD1399"/>
    <w:rsid w:val="00AD345A"/>
    <w:rsid w:val="00AE0BB3"/>
    <w:rsid w:val="00AE6FF9"/>
    <w:rsid w:val="00AF299E"/>
    <w:rsid w:val="00AF5257"/>
    <w:rsid w:val="00B05AFB"/>
    <w:rsid w:val="00B07D33"/>
    <w:rsid w:val="00B228CD"/>
    <w:rsid w:val="00B24453"/>
    <w:rsid w:val="00B30CA2"/>
    <w:rsid w:val="00B32BC3"/>
    <w:rsid w:val="00B47510"/>
    <w:rsid w:val="00B47EFE"/>
    <w:rsid w:val="00B5091A"/>
    <w:rsid w:val="00B55084"/>
    <w:rsid w:val="00B6282D"/>
    <w:rsid w:val="00B64723"/>
    <w:rsid w:val="00B8269D"/>
    <w:rsid w:val="00BB36B6"/>
    <w:rsid w:val="00BB37A5"/>
    <w:rsid w:val="00BC5F02"/>
    <w:rsid w:val="00BD10CE"/>
    <w:rsid w:val="00BE0F9B"/>
    <w:rsid w:val="00BE37B9"/>
    <w:rsid w:val="00BE6BCA"/>
    <w:rsid w:val="00C10403"/>
    <w:rsid w:val="00C108CA"/>
    <w:rsid w:val="00C16181"/>
    <w:rsid w:val="00C23C9E"/>
    <w:rsid w:val="00C2413A"/>
    <w:rsid w:val="00C33C76"/>
    <w:rsid w:val="00C35670"/>
    <w:rsid w:val="00C378FF"/>
    <w:rsid w:val="00C5192E"/>
    <w:rsid w:val="00C5393F"/>
    <w:rsid w:val="00C54979"/>
    <w:rsid w:val="00C56850"/>
    <w:rsid w:val="00C6264D"/>
    <w:rsid w:val="00C653F9"/>
    <w:rsid w:val="00C73CEE"/>
    <w:rsid w:val="00C76D8B"/>
    <w:rsid w:val="00C81E4C"/>
    <w:rsid w:val="00C92869"/>
    <w:rsid w:val="00CA79DC"/>
    <w:rsid w:val="00CB1F52"/>
    <w:rsid w:val="00CB49C6"/>
    <w:rsid w:val="00CD2A01"/>
    <w:rsid w:val="00CD32FD"/>
    <w:rsid w:val="00CD5A89"/>
    <w:rsid w:val="00CE2C66"/>
    <w:rsid w:val="00CE2E8B"/>
    <w:rsid w:val="00CF2E9F"/>
    <w:rsid w:val="00CF3561"/>
    <w:rsid w:val="00CF3D27"/>
    <w:rsid w:val="00D10D64"/>
    <w:rsid w:val="00D1384A"/>
    <w:rsid w:val="00D17266"/>
    <w:rsid w:val="00D2183D"/>
    <w:rsid w:val="00D2237D"/>
    <w:rsid w:val="00D230E3"/>
    <w:rsid w:val="00D245C0"/>
    <w:rsid w:val="00D274BD"/>
    <w:rsid w:val="00D54012"/>
    <w:rsid w:val="00D54D74"/>
    <w:rsid w:val="00D622E9"/>
    <w:rsid w:val="00D64BEC"/>
    <w:rsid w:val="00D6666C"/>
    <w:rsid w:val="00D8240F"/>
    <w:rsid w:val="00D84392"/>
    <w:rsid w:val="00D92E19"/>
    <w:rsid w:val="00DA5DD4"/>
    <w:rsid w:val="00DB0DA8"/>
    <w:rsid w:val="00DB64EC"/>
    <w:rsid w:val="00DB731D"/>
    <w:rsid w:val="00DC1191"/>
    <w:rsid w:val="00DC12C8"/>
    <w:rsid w:val="00DC2B13"/>
    <w:rsid w:val="00DD51D6"/>
    <w:rsid w:val="00DE6C3A"/>
    <w:rsid w:val="00DF6E81"/>
    <w:rsid w:val="00E0394C"/>
    <w:rsid w:val="00E067B6"/>
    <w:rsid w:val="00E135E8"/>
    <w:rsid w:val="00E22A9D"/>
    <w:rsid w:val="00E23900"/>
    <w:rsid w:val="00E305F9"/>
    <w:rsid w:val="00E36836"/>
    <w:rsid w:val="00E4556F"/>
    <w:rsid w:val="00E51231"/>
    <w:rsid w:val="00E602F0"/>
    <w:rsid w:val="00E60771"/>
    <w:rsid w:val="00E62931"/>
    <w:rsid w:val="00E63BD0"/>
    <w:rsid w:val="00E92AC3"/>
    <w:rsid w:val="00E96869"/>
    <w:rsid w:val="00EA639F"/>
    <w:rsid w:val="00EC5946"/>
    <w:rsid w:val="00ED2A0F"/>
    <w:rsid w:val="00EE1F45"/>
    <w:rsid w:val="00EE3B0B"/>
    <w:rsid w:val="00EE7353"/>
    <w:rsid w:val="00F05B56"/>
    <w:rsid w:val="00F10BD7"/>
    <w:rsid w:val="00F24268"/>
    <w:rsid w:val="00F31CAD"/>
    <w:rsid w:val="00F3292E"/>
    <w:rsid w:val="00F335E3"/>
    <w:rsid w:val="00F36DEC"/>
    <w:rsid w:val="00F5602E"/>
    <w:rsid w:val="00F6168F"/>
    <w:rsid w:val="00F6216E"/>
    <w:rsid w:val="00F71CDD"/>
    <w:rsid w:val="00F84EF2"/>
    <w:rsid w:val="00F93A43"/>
    <w:rsid w:val="00FA10E0"/>
    <w:rsid w:val="00FA36E7"/>
    <w:rsid w:val="00FA4EA8"/>
    <w:rsid w:val="00FB43A6"/>
    <w:rsid w:val="00FB495A"/>
    <w:rsid w:val="00FB4B31"/>
    <w:rsid w:val="00FC0651"/>
    <w:rsid w:val="00FC0B8F"/>
    <w:rsid w:val="00FC1D5B"/>
    <w:rsid w:val="00FC2B82"/>
    <w:rsid w:val="00FC2FD0"/>
    <w:rsid w:val="00FC488D"/>
    <w:rsid w:val="00FD0264"/>
    <w:rsid w:val="00FD1BF8"/>
    <w:rsid w:val="00FE11CF"/>
    <w:rsid w:val="00FE240E"/>
    <w:rsid w:val="00FF08CA"/>
    <w:rsid w:val="00FF0F1F"/>
    <w:rsid w:val="00FF5E02"/>
    <w:rsid w:val="0139552C"/>
    <w:rsid w:val="02C0E8A6"/>
    <w:rsid w:val="052A4A84"/>
    <w:rsid w:val="0695E9DC"/>
    <w:rsid w:val="069851DD"/>
    <w:rsid w:val="08ACA3B4"/>
    <w:rsid w:val="0A354327"/>
    <w:rsid w:val="0AB912E6"/>
    <w:rsid w:val="0D26B909"/>
    <w:rsid w:val="15BD8312"/>
    <w:rsid w:val="190AA0CA"/>
    <w:rsid w:val="1A78700C"/>
    <w:rsid w:val="1BDC9D5B"/>
    <w:rsid w:val="22F886C1"/>
    <w:rsid w:val="239F03B0"/>
    <w:rsid w:val="2617B39D"/>
    <w:rsid w:val="263EB306"/>
    <w:rsid w:val="26FDFA84"/>
    <w:rsid w:val="28F10AAB"/>
    <w:rsid w:val="299A8EC3"/>
    <w:rsid w:val="30E006A0"/>
    <w:rsid w:val="3291CC47"/>
    <w:rsid w:val="32F62A9B"/>
    <w:rsid w:val="3412E0CB"/>
    <w:rsid w:val="35C90C2B"/>
    <w:rsid w:val="395D386D"/>
    <w:rsid w:val="3A0C2CBB"/>
    <w:rsid w:val="3AB78DD8"/>
    <w:rsid w:val="3E0350D8"/>
    <w:rsid w:val="3E0DB454"/>
    <w:rsid w:val="3E705B59"/>
    <w:rsid w:val="3FFFCB3F"/>
    <w:rsid w:val="401C695D"/>
    <w:rsid w:val="40615180"/>
    <w:rsid w:val="437D04C2"/>
    <w:rsid w:val="4485D26A"/>
    <w:rsid w:val="44D36CF5"/>
    <w:rsid w:val="44D3F041"/>
    <w:rsid w:val="4883EC4A"/>
    <w:rsid w:val="48BBB3F0"/>
    <w:rsid w:val="4CEF768E"/>
    <w:rsid w:val="54A33A74"/>
    <w:rsid w:val="55CDAF70"/>
    <w:rsid w:val="57E45A17"/>
    <w:rsid w:val="5A7B8623"/>
    <w:rsid w:val="5E0C9E36"/>
    <w:rsid w:val="624BEC64"/>
    <w:rsid w:val="62ECFE62"/>
    <w:rsid w:val="67CDD36A"/>
    <w:rsid w:val="68807CA3"/>
    <w:rsid w:val="6922E250"/>
    <w:rsid w:val="6B538296"/>
    <w:rsid w:val="705690FD"/>
    <w:rsid w:val="7801DA37"/>
    <w:rsid w:val="78930BE2"/>
    <w:rsid w:val="79D37CA0"/>
    <w:rsid w:val="7D1A1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1347F"/>
  <w15:chartTrackingRefBased/>
  <w15:docId w15:val="{1582104A-1FF9-4386-BA85-BACA34D0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394C"/>
  </w:style>
  <w:style w:type="paragraph" w:styleId="Heading1">
    <w:name w:val="heading 1"/>
    <w:basedOn w:val="Normal"/>
    <w:next w:val="Normal"/>
    <w:link w:val="Heading1Char"/>
    <w:uiPriority w:val="9"/>
    <w:qFormat/>
    <w:rsid w:val="00E0394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94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9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9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9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9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94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394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0394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0394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0394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0394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0394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0394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0394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0394C"/>
    <w:rPr>
      <w:rFonts w:eastAsiaTheme="majorEastAsia" w:cstheme="majorBidi"/>
      <w:color w:val="272727" w:themeColor="text1" w:themeTint="D8"/>
    </w:rPr>
  </w:style>
  <w:style w:type="paragraph" w:styleId="Title">
    <w:name w:val="Title"/>
    <w:basedOn w:val="Normal"/>
    <w:next w:val="Normal"/>
    <w:link w:val="TitleChar"/>
    <w:uiPriority w:val="10"/>
    <w:qFormat/>
    <w:rsid w:val="00E0394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0394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0394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03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94C"/>
    <w:pPr>
      <w:spacing w:before="160"/>
      <w:jc w:val="center"/>
    </w:pPr>
    <w:rPr>
      <w:i/>
      <w:iCs/>
      <w:color w:val="404040" w:themeColor="text1" w:themeTint="BF"/>
    </w:rPr>
  </w:style>
  <w:style w:type="character" w:styleId="QuoteChar" w:customStyle="1">
    <w:name w:val="Quote Char"/>
    <w:basedOn w:val="DefaultParagraphFont"/>
    <w:link w:val="Quote"/>
    <w:uiPriority w:val="29"/>
    <w:rsid w:val="00E0394C"/>
    <w:rPr>
      <w:i/>
      <w:iCs/>
      <w:color w:val="404040" w:themeColor="text1" w:themeTint="BF"/>
    </w:rPr>
  </w:style>
  <w:style w:type="paragraph" w:styleId="ListParagraph">
    <w:name w:val="List Paragraph"/>
    <w:basedOn w:val="Normal"/>
    <w:uiPriority w:val="34"/>
    <w:qFormat/>
    <w:rsid w:val="00E0394C"/>
    <w:pPr>
      <w:ind w:left="720"/>
      <w:contextualSpacing/>
    </w:pPr>
  </w:style>
  <w:style w:type="character" w:styleId="IntenseEmphasis">
    <w:name w:val="Intense Emphasis"/>
    <w:basedOn w:val="DefaultParagraphFont"/>
    <w:uiPriority w:val="21"/>
    <w:qFormat/>
    <w:rsid w:val="00E0394C"/>
    <w:rPr>
      <w:i/>
      <w:iCs/>
      <w:color w:val="0F4761" w:themeColor="accent1" w:themeShade="BF"/>
    </w:rPr>
  </w:style>
  <w:style w:type="paragraph" w:styleId="IntenseQuote">
    <w:name w:val="Intense Quote"/>
    <w:basedOn w:val="Normal"/>
    <w:next w:val="Normal"/>
    <w:link w:val="IntenseQuoteChar"/>
    <w:uiPriority w:val="30"/>
    <w:qFormat/>
    <w:rsid w:val="00E0394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0394C"/>
    <w:rPr>
      <w:i/>
      <w:iCs/>
      <w:color w:val="0F4761" w:themeColor="accent1" w:themeShade="BF"/>
    </w:rPr>
  </w:style>
  <w:style w:type="character" w:styleId="IntenseReference">
    <w:name w:val="Intense Reference"/>
    <w:basedOn w:val="DefaultParagraphFont"/>
    <w:uiPriority w:val="32"/>
    <w:qFormat/>
    <w:rsid w:val="00E0394C"/>
    <w:rPr>
      <w:b/>
      <w:bCs/>
      <w:smallCaps/>
      <w:color w:val="0F4761" w:themeColor="accent1" w:themeShade="BF"/>
      <w:spacing w:val="5"/>
    </w:rPr>
  </w:style>
  <w:style w:type="paragraph" w:styleId="Header">
    <w:name w:val="header"/>
    <w:basedOn w:val="Normal"/>
    <w:link w:val="HeaderChar"/>
    <w:uiPriority w:val="99"/>
    <w:unhideWhenUsed/>
    <w:rsid w:val="00E0394C"/>
    <w:pPr>
      <w:tabs>
        <w:tab w:val="center" w:pos="4419"/>
        <w:tab w:val="right" w:pos="8838"/>
      </w:tabs>
      <w:spacing w:after="0" w:line="240" w:lineRule="auto"/>
    </w:pPr>
  </w:style>
  <w:style w:type="character" w:styleId="HeaderChar" w:customStyle="1">
    <w:name w:val="Header Char"/>
    <w:basedOn w:val="DefaultParagraphFont"/>
    <w:link w:val="Header"/>
    <w:uiPriority w:val="99"/>
    <w:rsid w:val="00E0394C"/>
  </w:style>
  <w:style w:type="paragraph" w:styleId="Footer">
    <w:name w:val="footer"/>
    <w:basedOn w:val="Normal"/>
    <w:link w:val="FooterChar"/>
    <w:uiPriority w:val="99"/>
    <w:unhideWhenUsed/>
    <w:rsid w:val="00E0394C"/>
    <w:pPr>
      <w:tabs>
        <w:tab w:val="center" w:pos="4419"/>
        <w:tab w:val="right" w:pos="8838"/>
      </w:tabs>
      <w:spacing w:after="0" w:line="240" w:lineRule="auto"/>
    </w:pPr>
  </w:style>
  <w:style w:type="character" w:styleId="FooterChar" w:customStyle="1">
    <w:name w:val="Footer Char"/>
    <w:basedOn w:val="DefaultParagraphFont"/>
    <w:link w:val="Footer"/>
    <w:uiPriority w:val="99"/>
    <w:rsid w:val="00E0394C"/>
  </w:style>
  <w:style w:type="character" w:styleId="Hyperlink">
    <w:name w:val="Hyperlink"/>
    <w:basedOn w:val="DefaultParagraphFont"/>
    <w:uiPriority w:val="99"/>
    <w:unhideWhenUsed/>
    <w:rsid w:val="00E0394C"/>
    <w:rPr>
      <w:color w:val="467886" w:themeColor="hyperlink"/>
      <w:u w:val="single"/>
    </w:rPr>
  </w:style>
  <w:style w:type="character" w:styleId="CommentReference">
    <w:name w:val="annotation reference"/>
    <w:basedOn w:val="DefaultParagraphFont"/>
    <w:uiPriority w:val="99"/>
    <w:semiHidden/>
    <w:unhideWhenUsed/>
    <w:rsid w:val="00E0394C"/>
    <w:rPr>
      <w:sz w:val="16"/>
      <w:szCs w:val="16"/>
    </w:rPr>
  </w:style>
  <w:style w:type="paragraph" w:styleId="CommentText">
    <w:name w:val="annotation text"/>
    <w:basedOn w:val="Normal"/>
    <w:link w:val="CommentTextChar"/>
    <w:uiPriority w:val="99"/>
    <w:semiHidden/>
    <w:unhideWhenUsed/>
    <w:rsid w:val="00E0394C"/>
    <w:pPr>
      <w:spacing w:line="240" w:lineRule="auto"/>
    </w:pPr>
    <w:rPr>
      <w:sz w:val="20"/>
      <w:szCs w:val="20"/>
    </w:rPr>
  </w:style>
  <w:style w:type="character" w:styleId="CommentTextChar" w:customStyle="1">
    <w:name w:val="Comment Text Char"/>
    <w:basedOn w:val="DefaultParagraphFont"/>
    <w:link w:val="CommentText"/>
    <w:uiPriority w:val="99"/>
    <w:semiHidden/>
    <w:rsid w:val="00E0394C"/>
    <w:rPr>
      <w:sz w:val="20"/>
      <w:szCs w:val="20"/>
    </w:rPr>
  </w:style>
  <w:style w:type="paragraph" w:styleId="CommentSubject">
    <w:name w:val="annotation subject"/>
    <w:basedOn w:val="CommentText"/>
    <w:next w:val="CommentText"/>
    <w:link w:val="CommentSubjectChar"/>
    <w:uiPriority w:val="99"/>
    <w:semiHidden/>
    <w:unhideWhenUsed/>
    <w:rsid w:val="00E0394C"/>
    <w:rPr>
      <w:b/>
      <w:bCs/>
    </w:rPr>
  </w:style>
  <w:style w:type="character" w:styleId="CommentSubjectChar" w:customStyle="1">
    <w:name w:val="Comment Subject Char"/>
    <w:basedOn w:val="CommentTextChar"/>
    <w:link w:val="CommentSubject"/>
    <w:uiPriority w:val="99"/>
    <w:semiHidden/>
    <w:rsid w:val="00E0394C"/>
    <w:rPr>
      <w:b/>
      <w:bCs/>
      <w:sz w:val="20"/>
      <w:szCs w:val="20"/>
    </w:rPr>
  </w:style>
  <w:style w:type="character" w:styleId="UnresolvedMention">
    <w:name w:val="Unresolved Mention"/>
    <w:basedOn w:val="DefaultParagraphFont"/>
    <w:uiPriority w:val="99"/>
    <w:semiHidden/>
    <w:unhideWhenUsed/>
    <w:rsid w:val="0055617E"/>
    <w:rPr>
      <w:color w:val="605E5C"/>
      <w:shd w:val="clear" w:color="auto" w:fill="E1DFDD"/>
    </w:rPr>
  </w:style>
  <w:style w:type="character" w:styleId="Mention">
    <w:name w:val="Mention"/>
    <w:basedOn w:val="DefaultParagraphFont"/>
    <w:uiPriority w:val="99"/>
    <w:unhideWhenUsed/>
    <w:rsid w:val="003D0CEE"/>
    <w:rPr>
      <w:color w:val="2B579A"/>
      <w:shd w:val="clear" w:color="auto" w:fill="E1DFDD"/>
    </w:rPr>
  </w:style>
  <w:style w:type="character" w:styleId="PageNumber">
    <w:name w:val="page number"/>
    <w:basedOn w:val="DefaultParagraphFont"/>
    <w:uiPriority w:val="99"/>
    <w:semiHidden/>
    <w:unhideWhenUsed/>
    <w:rsid w:val="00163EF5"/>
  </w:style>
  <w:style w:type="character" w:styleId="FollowedHyperlink">
    <w:name w:val="FollowedHyperlink"/>
    <w:basedOn w:val="DefaultParagraphFont"/>
    <w:uiPriority w:val="99"/>
    <w:semiHidden/>
    <w:unhideWhenUsed/>
    <w:rsid w:val="00432C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hchr.org/es/documents/thematic-reports/ahrc6034-guidelines-access-justice-and-effective-remedies-context-toxics" TargetMode="External" Id="rId13" /><Relationship Type="http://schemas.openxmlformats.org/officeDocument/2006/relationships/hyperlink" Target="https://www2.scjn.gob.mx/ConsultasTematica/Detalle/259765" TargetMode="External" Id="rId18" /><Relationship Type="http://schemas.openxmlformats.org/officeDocument/2006/relationships/hyperlink" Target="https://www.ohchr.org/es/documents/thematic-reports/ahrc6147-priority-actions-towards-breathing-clean-air-protecting-public" TargetMode="External" Id="rId26" /><Relationship Type="http://schemas.openxmlformats.org/officeDocument/2006/relationships/hyperlink" Target="https://www.facebook.com/reel/1415984926520240" TargetMode="External" Id="rId39" /><Relationship Type="http://schemas.openxmlformats.org/officeDocument/2006/relationships/hyperlink" Target="https://wedocs.unep.org/items/e729bdc2-3d74-421d-b82b-063b408a4265" TargetMode="External" Id="rId21" /><Relationship Type="http://schemas.openxmlformats.org/officeDocument/2006/relationships/hyperlink" Target="https://tbinternet.ohchr.org/_layouts/15/treatybodyexternal/Download.aspx?symbolno=CEDAW%2FC%2F92%2FD%2F189%2F2022&amp;Lang=en" TargetMode="External" Id="rId34" /><Relationship Type="http://schemas.openxmlformats.org/officeDocument/2006/relationships/footer" Target="footer2.xml" Id="rId42" /><Relationship Type="http://schemas.openxmlformats.org/officeDocument/2006/relationships/hyperlink" Target="https://www.facebook.com/derechoshumanos.scjn" TargetMode="External" Id="rId7" /><Relationship Type="http://schemas.openxmlformats.org/officeDocument/2006/relationships/styles" Target="styles.xml" Id="rId2" /><Relationship Type="http://schemas.openxmlformats.org/officeDocument/2006/relationships/hyperlink" Target="https://www2.scjn.gob.mx/ConsultasTematica/Resultados/-0-0-2-510-2024" TargetMode="External" Id="rId16" /><Relationship Type="http://schemas.openxmlformats.org/officeDocument/2006/relationships/hyperlink" Target="https://wedocs.unep.org/items/e729bdc2-3d74-421d-b82b-063b408a4265" TargetMode="External" Id="rId20" /><Relationship Type="http://schemas.openxmlformats.org/officeDocument/2006/relationships/hyperlink" Target="https://www.ohchr.org/es/documents/thematic-reports/ahrc6142-torture-and-other-cruel-inhuman-or-degrading-treatment-or" TargetMode="External" Id="rId29" /><Relationship Type="http://schemas.openxmlformats.org/officeDocument/2006/relationships/footer" Target="footer1.xml" Id="rId4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un.org/es/observances/earth-day" TargetMode="External" Id="rId11" /><Relationship Type="http://schemas.openxmlformats.org/officeDocument/2006/relationships/hyperlink" Target="https://corteidh.or.cr/docs/casos/articulos/seriec_511_esp.pdf" TargetMode="External" Id="rId24" /><Relationship Type="http://schemas.openxmlformats.org/officeDocument/2006/relationships/hyperlink" Target="https://www.oas.org/es/CIDH/jsForm/?File=/es/cidh/prensa/comunicados/2026/038.asp&amp;utm_content=country-mex&amp;utm_term=class-mc" TargetMode="External" Id="rId32" /><Relationship Type="http://schemas.openxmlformats.org/officeDocument/2006/relationships/hyperlink" Target="https://spcommreports.ohchr.org/TMResultsBase/DownLoadPublicCommunicationFile?gId=30643" TargetMode="External" Id="rId37" /><Relationship Type="http://schemas.openxmlformats.org/officeDocument/2006/relationships/header" Target="header1.xml" Id="rId40" /><Relationship Type="http://schemas.openxmlformats.org/officeDocument/2006/relationships/footnotes" Target="footnotes.xml" Id="rId5" /><Relationship Type="http://schemas.openxmlformats.org/officeDocument/2006/relationships/hyperlink" Target="https://www2.scjn.gob.mx/ConsultasTematica/Detalle/272461" TargetMode="External" Id="rId15" /><Relationship Type="http://schemas.openxmlformats.org/officeDocument/2006/relationships/hyperlink" Target="https://www.ohchr.org/es/documents/thematic-reports/a79163-gender-and-hazardous-substances-report-special-rapporteur" TargetMode="External" Id="rId23" /><Relationship Type="http://schemas.openxmlformats.org/officeDocument/2006/relationships/hyperlink" Target="https://www.oas.org/es/cidh/decisiones/pdf/2026/res-1-26.pdf" TargetMode="External" Id="rId28" /><Relationship Type="http://schemas.openxmlformats.org/officeDocument/2006/relationships/hyperlink" Target="https://corteidh.or.cr/docs/opiniones/seriea_30_es.pdf" TargetMode="External" Id="rId36" /><Relationship Type="http://schemas.openxmlformats.org/officeDocument/2006/relationships/hyperlink" Target="https://www.un.org/es/observances/water-day/" TargetMode="External" Id="rId10" /><Relationship Type="http://schemas.openxmlformats.org/officeDocument/2006/relationships/hyperlink" Target="https://www2.scjn.gob.mx/ConsultasTematica/Detalle/218790" TargetMode="External" Id="rId19" /><Relationship Type="http://schemas.openxmlformats.org/officeDocument/2006/relationships/hyperlink" Target="https://www.ohchr.org/es/press-releases/2026/04/mexico-un-committee-requests-general-assembly-consideration-enforced" TargetMode="External" Id="rId31" /><Relationship Type="http://schemas.openxmlformats.org/officeDocument/2006/relationships/theme" Target="theme/theme1.xml" Id="rId44" /><Relationship Type="http://schemas.openxmlformats.org/officeDocument/2006/relationships/webSettings" Target="webSettings.xml" Id="rId4" /><Relationship Type="http://schemas.openxmlformats.org/officeDocument/2006/relationships/hyperlink" Target="https://x.com/ddhh_scjn?s=21" TargetMode="External" Id="rId9" /><Relationship Type="http://schemas.openxmlformats.org/officeDocument/2006/relationships/hyperlink" Target="https://www.oas.org/es/cidh/sesiones/audiencia.asp?Hearing=3876" TargetMode="External" Id="rId14" /><Relationship Type="http://schemas.openxmlformats.org/officeDocument/2006/relationships/hyperlink" Target="https://www.oas.org/es/cidh/sesiones/audiencia.asp?Hearing=3882" TargetMode="External" Id="rId22" /><Relationship Type="http://schemas.openxmlformats.org/officeDocument/2006/relationships/hyperlink" Target="https://www.oas.org/es/cidh/informes/pdfs/2026/es_guia_redesca_final_3_mar_2026.pdf" TargetMode="External" Id="rId27" /><Relationship Type="http://schemas.openxmlformats.org/officeDocument/2006/relationships/hyperlink" Target="https://x.com/ddhh_scjn/status/2047731332734754922?s=46" TargetMode="External" Id="rId30" /><Relationship Type="http://schemas.openxmlformats.org/officeDocument/2006/relationships/hyperlink" Target="https://www.oas.org/es/CIDH/jsForm/?File=/es/cidh/expresion/prensa/comunicados/2026/012.asp&amp;utm_content=country-mex&amp;utm_term=class-mon" TargetMode="External" Id="rId35" /><Relationship Type="http://schemas.openxmlformats.org/officeDocument/2006/relationships/fontTable" Target="fontTable.xml" Id="rId43" /><Relationship Type="http://schemas.openxmlformats.org/officeDocument/2006/relationships/hyperlink" Target="https://www.instagram.com/derechoshumanos.scjn?igsh=N2d5cDdmM2ZnbXgz" TargetMode="External" Id="rId8" /><Relationship Type="http://schemas.openxmlformats.org/officeDocument/2006/relationships/settings" Target="settings.xml" Id="rId3" /><Relationship Type="http://schemas.openxmlformats.org/officeDocument/2006/relationships/hyperlink" Target="https://mexico.un.org/es/312236-declaraci%C3%B3n-de-cierre-de-misi%C3%B3n-del-relator-especial-marcos-orellana-m%C3%A9xico" TargetMode="External" Id="rId12" /><Relationship Type="http://schemas.openxmlformats.org/officeDocument/2006/relationships/hyperlink" Target="https://www2.scjn.gob.mx/ConsultasTematica/Detalle/295051" TargetMode="External" Id="rId17" /><Relationship Type="http://schemas.openxmlformats.org/officeDocument/2006/relationships/hyperlink" Target="https://docs.un.org/es/CCPR/C/126/D/2751/2016" TargetMode="External" Id="rId25" /><Relationship Type="http://schemas.openxmlformats.org/officeDocument/2006/relationships/hyperlink" Target="https://tbinternet.ohchr.org/_layouts/15/treatybodyexternal/Download.aspx?symbolno=CRPD%2FC%2FMEX%2FIR%2F1&amp;Lang=es" TargetMode="External" Id="rId33" /><Relationship Type="http://schemas.openxmlformats.org/officeDocument/2006/relationships/hyperlink" Target="https://www.youtube.com/live/OlIvweLW0ds?si=Fn2oc2o5yiQ1PRwK" TargetMode="External" Id="rId3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Alexis Guadalupe Betanzos Espinoza</dc:creator>
  <keywords/>
  <dc:description/>
  <lastModifiedBy>ERIKA PAOLA CRUZ HERNANDEZ</lastModifiedBy>
  <revision>235</revision>
  <dcterms:created xsi:type="dcterms:W3CDTF">2026-05-07T16:36:00.0000000Z</dcterms:created>
  <dcterms:modified xsi:type="dcterms:W3CDTF">2026-05-15T22:32:57.3610070Z</dcterms:modified>
</coreProperties>
</file>