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C169B" w14:textId="248F3FFE" w:rsidR="00494652" w:rsidRPr="00446890" w:rsidRDefault="00494652" w:rsidP="00D41819">
      <w:pPr>
        <w:autoSpaceDE w:val="0"/>
        <w:autoSpaceDN w:val="0"/>
        <w:adjustRightInd w:val="0"/>
        <w:spacing w:after="0"/>
        <w:ind w:left="142"/>
        <w:jc w:val="both"/>
        <w:rPr>
          <w:rFonts w:ascii="Arial" w:hAnsi="Arial" w:cs="Arial"/>
          <w:b/>
          <w:sz w:val="28"/>
          <w:szCs w:val="28"/>
        </w:rPr>
      </w:pPr>
      <w:r w:rsidRPr="00446890">
        <w:rPr>
          <w:rFonts w:ascii="Arial" w:hAnsi="Arial" w:cs="Arial"/>
          <w:b/>
          <w:sz w:val="28"/>
          <w:szCs w:val="28"/>
        </w:rPr>
        <w:t xml:space="preserve">ACUERDO GENERAL NÚMERO </w:t>
      </w:r>
      <w:r w:rsidR="00801058" w:rsidRPr="00446890">
        <w:rPr>
          <w:rFonts w:ascii="Arial" w:hAnsi="Arial" w:cs="Arial"/>
          <w:b/>
          <w:sz w:val="28"/>
          <w:szCs w:val="28"/>
        </w:rPr>
        <w:t>1</w:t>
      </w:r>
      <w:r w:rsidRPr="00446890">
        <w:rPr>
          <w:rFonts w:ascii="Arial" w:hAnsi="Arial" w:cs="Arial"/>
          <w:b/>
          <w:sz w:val="28"/>
          <w:szCs w:val="28"/>
        </w:rPr>
        <w:t xml:space="preserve">/2021, DE </w:t>
      </w:r>
      <w:r w:rsidR="00801058" w:rsidRPr="00446890">
        <w:rPr>
          <w:rFonts w:ascii="Arial" w:hAnsi="Arial" w:cs="Arial"/>
          <w:b/>
          <w:sz w:val="28"/>
          <w:szCs w:val="28"/>
        </w:rPr>
        <w:t>OCHO</w:t>
      </w:r>
      <w:r w:rsidRPr="00446890">
        <w:rPr>
          <w:rFonts w:ascii="Arial" w:hAnsi="Arial" w:cs="Arial"/>
          <w:b/>
          <w:sz w:val="28"/>
          <w:szCs w:val="28"/>
        </w:rPr>
        <w:t xml:space="preserve"> DE </w:t>
      </w:r>
      <w:r w:rsidR="00ED1282">
        <w:rPr>
          <w:rFonts w:ascii="Arial" w:hAnsi="Arial" w:cs="Arial"/>
          <w:b/>
          <w:sz w:val="28"/>
          <w:szCs w:val="28"/>
        </w:rPr>
        <w:t>ABRIL</w:t>
      </w:r>
      <w:r w:rsidRPr="00446890">
        <w:rPr>
          <w:rFonts w:ascii="Arial" w:hAnsi="Arial" w:cs="Arial"/>
          <w:b/>
          <w:sz w:val="28"/>
          <w:szCs w:val="28"/>
        </w:rPr>
        <w:t xml:space="preserve"> DE DOS MIL VEINTIUNO, DEL PLENO DE LA SUPREMA CORTE DE JUSTICIA DE LA NACIÓN, POR EL QUE SE DETERMINA EL INICIO DE LA </w:t>
      </w:r>
      <w:r w:rsidR="00C62638" w:rsidRPr="00446890">
        <w:rPr>
          <w:rFonts w:ascii="Arial" w:hAnsi="Arial" w:cs="Arial"/>
          <w:b/>
          <w:sz w:val="28"/>
          <w:szCs w:val="28"/>
        </w:rPr>
        <w:t>UN</w:t>
      </w:r>
      <w:r w:rsidRPr="00446890">
        <w:rPr>
          <w:rFonts w:ascii="Arial" w:hAnsi="Arial" w:cs="Arial"/>
          <w:b/>
          <w:sz w:val="28"/>
          <w:szCs w:val="28"/>
        </w:rPr>
        <w:t>DÉCIMA ÉPOCA DEL SEMANARIO JUDICIAL DE LA FEDERACIÓN</w:t>
      </w:r>
      <w:r w:rsidR="00587A04" w:rsidRPr="00446890">
        <w:rPr>
          <w:rFonts w:ascii="Arial" w:hAnsi="Arial" w:cs="Arial"/>
          <w:b/>
          <w:sz w:val="28"/>
          <w:szCs w:val="28"/>
        </w:rPr>
        <w:t>,</w:t>
      </w:r>
      <w:r w:rsidRPr="00446890">
        <w:rPr>
          <w:rFonts w:ascii="Arial" w:hAnsi="Arial" w:cs="Arial"/>
          <w:b/>
          <w:sz w:val="28"/>
          <w:szCs w:val="28"/>
        </w:rPr>
        <w:t xml:space="preserve"> Y SE ESTABLECEN SUS BASES</w:t>
      </w:r>
      <w:r w:rsidR="000445D7" w:rsidRPr="00446890">
        <w:rPr>
          <w:rFonts w:ascii="Arial" w:hAnsi="Arial" w:cs="Arial"/>
          <w:b/>
          <w:sz w:val="28"/>
          <w:szCs w:val="28"/>
        </w:rPr>
        <w:t>.</w:t>
      </w:r>
    </w:p>
    <w:p w14:paraId="360E2247" w14:textId="77777777" w:rsidR="008060EB" w:rsidRPr="00446890" w:rsidRDefault="008060EB" w:rsidP="00D41819">
      <w:pPr>
        <w:autoSpaceDE w:val="0"/>
        <w:autoSpaceDN w:val="0"/>
        <w:adjustRightInd w:val="0"/>
        <w:spacing w:after="0" w:line="480" w:lineRule="auto"/>
        <w:ind w:left="142"/>
        <w:jc w:val="both"/>
        <w:rPr>
          <w:rFonts w:ascii="Arial" w:hAnsi="Arial" w:cs="Arial"/>
          <w:b/>
          <w:sz w:val="28"/>
          <w:szCs w:val="28"/>
        </w:rPr>
      </w:pPr>
    </w:p>
    <w:p w14:paraId="2C0439F7" w14:textId="5005646B" w:rsidR="00494652" w:rsidRPr="00446890" w:rsidRDefault="00494652" w:rsidP="00D41819">
      <w:pPr>
        <w:spacing w:after="0" w:line="480" w:lineRule="auto"/>
        <w:ind w:left="142"/>
        <w:jc w:val="center"/>
        <w:rPr>
          <w:rFonts w:ascii="Arial" w:hAnsi="Arial" w:cs="Arial"/>
          <w:b/>
          <w:sz w:val="28"/>
          <w:szCs w:val="28"/>
        </w:rPr>
      </w:pPr>
      <w:r w:rsidRPr="00446890">
        <w:rPr>
          <w:rFonts w:ascii="Arial" w:hAnsi="Arial" w:cs="Arial"/>
          <w:b/>
          <w:sz w:val="28"/>
          <w:szCs w:val="28"/>
        </w:rPr>
        <w:t>CONSIDERANDO:</w:t>
      </w:r>
    </w:p>
    <w:p w14:paraId="79EA344F" w14:textId="77777777" w:rsidR="00587A04" w:rsidRPr="00446890" w:rsidRDefault="00587A04" w:rsidP="00D41819">
      <w:pPr>
        <w:spacing w:after="0" w:line="480" w:lineRule="auto"/>
        <w:ind w:left="142"/>
        <w:jc w:val="center"/>
        <w:rPr>
          <w:rFonts w:ascii="Arial" w:hAnsi="Arial" w:cs="Arial"/>
          <w:b/>
          <w:sz w:val="28"/>
          <w:szCs w:val="28"/>
        </w:rPr>
      </w:pPr>
    </w:p>
    <w:p w14:paraId="171D8C18" w14:textId="23119F93" w:rsidR="00494652" w:rsidRPr="00446890" w:rsidRDefault="00494652" w:rsidP="00D41819">
      <w:pPr>
        <w:spacing w:after="0" w:line="480" w:lineRule="auto"/>
        <w:ind w:left="142" w:firstLine="708"/>
        <w:jc w:val="both"/>
        <w:rPr>
          <w:rFonts w:ascii="Arial" w:hAnsi="Arial" w:cs="Arial"/>
          <w:sz w:val="28"/>
          <w:szCs w:val="28"/>
        </w:rPr>
      </w:pPr>
      <w:r w:rsidRPr="00446890">
        <w:rPr>
          <w:rFonts w:ascii="Arial" w:hAnsi="Arial" w:cs="Arial"/>
          <w:b/>
          <w:sz w:val="28"/>
          <w:szCs w:val="28"/>
        </w:rPr>
        <w:t>PRIMERO.</w:t>
      </w:r>
      <w:r w:rsidRPr="00446890">
        <w:rPr>
          <w:rFonts w:ascii="Arial" w:hAnsi="Arial" w:cs="Arial"/>
          <w:sz w:val="28"/>
          <w:szCs w:val="28"/>
        </w:rPr>
        <w:t xml:space="preserve"> Mediante Decreto publicado el </w:t>
      </w:r>
      <w:r w:rsidR="00B21695" w:rsidRPr="00446890">
        <w:rPr>
          <w:rFonts w:ascii="Arial" w:hAnsi="Arial" w:cs="Arial"/>
          <w:sz w:val="28"/>
          <w:szCs w:val="28"/>
        </w:rPr>
        <w:t xml:space="preserve">once </w:t>
      </w:r>
      <w:r w:rsidRPr="00446890">
        <w:rPr>
          <w:rFonts w:ascii="Arial" w:hAnsi="Arial" w:cs="Arial"/>
          <w:sz w:val="28"/>
          <w:szCs w:val="28"/>
        </w:rPr>
        <w:t>de marzo de dos mil veintiuno en el Diario Oficial de la Federación, se reformaron los párrafos primero, quinto, sexto, séptimo, noveno y décimo primero del artículo 94; los párrafos primero y cuarto del artículo 97; los párrafos séptimo y décimo quinto del artículo 99; los párrafos séptimo y décimo del artículo 100; la fracción I y los incisos h), i), j) k), l), el párrafo tercero y el primer párrafo de la fracción III, del artículo 105; los párrafos segundo y tercero de la fracción II, fracciones VIII, IX, XI, XII, XIII y XVI, del artículo 107</w:t>
      </w:r>
      <w:r w:rsidR="008060EB" w:rsidRPr="00446890">
        <w:rPr>
          <w:rFonts w:ascii="Arial" w:hAnsi="Arial" w:cs="Arial"/>
          <w:sz w:val="28"/>
          <w:szCs w:val="28"/>
        </w:rPr>
        <w:t>;</w:t>
      </w:r>
      <w:r w:rsidRPr="00446890">
        <w:rPr>
          <w:rFonts w:ascii="Arial" w:hAnsi="Arial" w:cs="Arial"/>
          <w:sz w:val="28"/>
          <w:szCs w:val="28"/>
        </w:rPr>
        <w:t xml:space="preserve"> y se </w:t>
      </w:r>
      <w:r w:rsidR="008060EB" w:rsidRPr="00446890">
        <w:rPr>
          <w:rFonts w:ascii="Arial" w:hAnsi="Arial" w:cs="Arial"/>
          <w:sz w:val="28"/>
          <w:szCs w:val="28"/>
        </w:rPr>
        <w:t>adicionaron</w:t>
      </w:r>
      <w:r w:rsidRPr="00446890">
        <w:rPr>
          <w:rFonts w:ascii="Arial" w:hAnsi="Arial" w:cs="Arial"/>
          <w:sz w:val="28"/>
          <w:szCs w:val="28"/>
        </w:rPr>
        <w:t xml:space="preserve">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w:t>
      </w:r>
      <w:r w:rsidRPr="00446890">
        <w:rPr>
          <w:rFonts w:ascii="Arial" w:hAnsi="Arial" w:cs="Arial"/>
          <w:sz w:val="28"/>
          <w:szCs w:val="28"/>
        </w:rPr>
        <w:lastRenderedPageBreak/>
        <w:t>quinto al artículo 105, todos de la Constitución Política de los Estados Unidos Mexicanos, relativos al Poder Judicial de la Federación;</w:t>
      </w:r>
    </w:p>
    <w:p w14:paraId="76239B2C" w14:textId="77777777" w:rsidR="00816388" w:rsidRPr="00446890" w:rsidRDefault="00816388" w:rsidP="00D41819">
      <w:pPr>
        <w:spacing w:after="0" w:line="480" w:lineRule="auto"/>
        <w:ind w:left="142" w:firstLine="708"/>
        <w:jc w:val="both"/>
        <w:rPr>
          <w:rFonts w:ascii="Arial" w:hAnsi="Arial" w:cs="Arial"/>
          <w:sz w:val="28"/>
          <w:szCs w:val="28"/>
          <w:lang w:eastAsia="es-MX"/>
        </w:rPr>
      </w:pPr>
    </w:p>
    <w:p w14:paraId="63943EE5" w14:textId="145264C6" w:rsidR="00494652" w:rsidRPr="00446890" w:rsidRDefault="00494652" w:rsidP="00D41819">
      <w:pPr>
        <w:spacing w:after="0" w:line="480" w:lineRule="auto"/>
        <w:ind w:left="142" w:firstLine="708"/>
        <w:jc w:val="both"/>
        <w:rPr>
          <w:rFonts w:ascii="Arial" w:hAnsi="Arial" w:cs="Arial"/>
          <w:sz w:val="28"/>
          <w:szCs w:val="28"/>
        </w:rPr>
      </w:pPr>
      <w:r w:rsidRPr="00446890">
        <w:rPr>
          <w:rFonts w:ascii="Arial" w:hAnsi="Arial" w:cs="Arial"/>
          <w:b/>
          <w:sz w:val="28"/>
          <w:szCs w:val="28"/>
        </w:rPr>
        <w:t>SEGUNDO.</w:t>
      </w:r>
      <w:r w:rsidRPr="00446890">
        <w:rPr>
          <w:rFonts w:ascii="Arial" w:hAnsi="Arial" w:cs="Arial"/>
          <w:sz w:val="28"/>
          <w:szCs w:val="28"/>
        </w:rPr>
        <w:t xml:space="preserve"> Las mencionadas reformas implican una modificación a la estructura del Poder Judicial de la Federación, así como a la competencia de los órganos que lo integran</w:t>
      </w:r>
      <w:r w:rsidR="00D46DF9" w:rsidRPr="00446890">
        <w:rPr>
          <w:rFonts w:ascii="Arial" w:hAnsi="Arial" w:cs="Arial"/>
          <w:sz w:val="28"/>
          <w:szCs w:val="28"/>
        </w:rPr>
        <w:t>, particularmente en cuanto a la emisión de jurisprudencia</w:t>
      </w:r>
      <w:r w:rsidRPr="00446890">
        <w:rPr>
          <w:rFonts w:ascii="Arial" w:hAnsi="Arial" w:cs="Arial"/>
          <w:sz w:val="28"/>
          <w:szCs w:val="28"/>
        </w:rPr>
        <w:t>;</w:t>
      </w:r>
    </w:p>
    <w:p w14:paraId="090C3ADD" w14:textId="77777777" w:rsidR="00816388" w:rsidRPr="00446890" w:rsidRDefault="00816388" w:rsidP="00D41819">
      <w:pPr>
        <w:spacing w:after="0" w:line="480" w:lineRule="auto"/>
        <w:ind w:left="142" w:firstLine="708"/>
        <w:jc w:val="both"/>
        <w:rPr>
          <w:rFonts w:ascii="Arial" w:hAnsi="Arial" w:cs="Arial"/>
          <w:i/>
          <w:sz w:val="28"/>
          <w:szCs w:val="28"/>
        </w:rPr>
      </w:pPr>
    </w:p>
    <w:p w14:paraId="637A5B00" w14:textId="18181456" w:rsidR="00494652" w:rsidRPr="00446890" w:rsidRDefault="00494652" w:rsidP="00D41819">
      <w:pPr>
        <w:spacing w:after="0" w:line="480" w:lineRule="auto"/>
        <w:ind w:left="142" w:firstLine="708"/>
        <w:jc w:val="both"/>
        <w:rPr>
          <w:rFonts w:ascii="Arial" w:hAnsi="Arial" w:cs="Arial"/>
          <w:sz w:val="28"/>
          <w:szCs w:val="28"/>
          <w:lang w:eastAsia="es-MX"/>
        </w:rPr>
      </w:pPr>
      <w:r w:rsidRPr="00446890">
        <w:rPr>
          <w:rFonts w:ascii="Arial" w:hAnsi="Arial" w:cs="Arial"/>
          <w:b/>
          <w:sz w:val="28"/>
          <w:szCs w:val="28"/>
        </w:rPr>
        <w:t>TERCERO.</w:t>
      </w:r>
      <w:r w:rsidRPr="00446890">
        <w:rPr>
          <w:rFonts w:ascii="Arial" w:hAnsi="Arial" w:cs="Arial"/>
          <w:sz w:val="28"/>
          <w:szCs w:val="28"/>
        </w:rPr>
        <w:t xml:space="preserve"> L</w:t>
      </w:r>
      <w:r w:rsidRPr="00446890">
        <w:rPr>
          <w:rFonts w:ascii="Arial" w:hAnsi="Arial" w:cs="Arial"/>
          <w:sz w:val="28"/>
          <w:szCs w:val="28"/>
          <w:lang w:eastAsia="es-MX"/>
        </w:rPr>
        <w:t xml:space="preserve">a publicación en el Semanario Judicial de la Federación de la jurisprudencia y de los precedentes ha comprendido diversas épocas, cuyo inicio ha sido determinado por modificaciones fundamentales como las </w:t>
      </w:r>
      <w:r w:rsidR="00D46DF9" w:rsidRPr="00446890">
        <w:rPr>
          <w:rFonts w:ascii="Arial" w:hAnsi="Arial" w:cs="Arial"/>
          <w:sz w:val="28"/>
          <w:szCs w:val="28"/>
          <w:lang w:eastAsia="es-MX"/>
        </w:rPr>
        <w:t xml:space="preserve">que derivan </w:t>
      </w:r>
      <w:r w:rsidRPr="00446890">
        <w:rPr>
          <w:rFonts w:ascii="Arial" w:hAnsi="Arial" w:cs="Arial"/>
          <w:sz w:val="28"/>
          <w:szCs w:val="28"/>
          <w:lang w:eastAsia="es-MX"/>
        </w:rPr>
        <w:t>de lo previsto en el Decreto referido, dentro de las cuales destacan:</w:t>
      </w:r>
    </w:p>
    <w:p w14:paraId="53E60F8B" w14:textId="77777777" w:rsidR="0074430B" w:rsidRPr="00446890" w:rsidRDefault="0074430B" w:rsidP="00D41819">
      <w:pPr>
        <w:spacing w:after="0" w:line="480" w:lineRule="auto"/>
        <w:ind w:left="142" w:firstLine="708"/>
        <w:jc w:val="both"/>
        <w:rPr>
          <w:rFonts w:ascii="Arial" w:hAnsi="Arial" w:cs="Arial"/>
          <w:sz w:val="28"/>
          <w:szCs w:val="28"/>
          <w:lang w:eastAsia="es-MX"/>
        </w:rPr>
      </w:pPr>
    </w:p>
    <w:p w14:paraId="190C19BC" w14:textId="6C0D3757" w:rsidR="00D46DF9" w:rsidRPr="00446890" w:rsidRDefault="00D46DF9" w:rsidP="00D46DF9">
      <w:pPr>
        <w:numPr>
          <w:ilvl w:val="0"/>
          <w:numId w:val="3"/>
        </w:numPr>
        <w:spacing w:after="0" w:line="480" w:lineRule="auto"/>
        <w:ind w:left="1134" w:hanging="567"/>
        <w:jc w:val="both"/>
        <w:rPr>
          <w:rFonts w:ascii="Arial" w:hAnsi="Arial" w:cs="Arial"/>
          <w:sz w:val="28"/>
          <w:szCs w:val="28"/>
        </w:rPr>
      </w:pPr>
      <w:r w:rsidRPr="00446890">
        <w:rPr>
          <w:rFonts w:ascii="Arial" w:hAnsi="Arial" w:cs="Arial"/>
          <w:sz w:val="28"/>
          <w:szCs w:val="28"/>
        </w:rPr>
        <w:t>El establecimiento de la jurisprudencia por precedentes que emitan el Pleno y las Salas de la Suprema Corte de Justicia de la Nación</w:t>
      </w:r>
      <w:r w:rsidR="00C54864" w:rsidRPr="00446890">
        <w:rPr>
          <w:rFonts w:ascii="Arial" w:hAnsi="Arial" w:cs="Arial"/>
          <w:sz w:val="28"/>
          <w:szCs w:val="28"/>
        </w:rPr>
        <w:t>;</w:t>
      </w:r>
    </w:p>
    <w:p w14:paraId="5210F778" w14:textId="77777777" w:rsidR="00C54864" w:rsidRPr="00446890" w:rsidRDefault="00C54864" w:rsidP="00C54864">
      <w:pPr>
        <w:spacing w:after="0" w:line="480" w:lineRule="auto"/>
        <w:ind w:left="1134"/>
        <w:jc w:val="both"/>
        <w:rPr>
          <w:rFonts w:ascii="Arial" w:hAnsi="Arial" w:cs="Arial"/>
          <w:sz w:val="28"/>
          <w:szCs w:val="28"/>
        </w:rPr>
      </w:pPr>
    </w:p>
    <w:p w14:paraId="7B2C2B8C" w14:textId="252D7D19" w:rsidR="004548B1" w:rsidRPr="00446890" w:rsidRDefault="004548B1" w:rsidP="004548B1">
      <w:pPr>
        <w:numPr>
          <w:ilvl w:val="0"/>
          <w:numId w:val="3"/>
        </w:numPr>
        <w:spacing w:after="0" w:line="480" w:lineRule="auto"/>
        <w:ind w:left="1134" w:hanging="567"/>
        <w:jc w:val="both"/>
        <w:rPr>
          <w:rFonts w:ascii="Arial" w:hAnsi="Arial" w:cs="Arial"/>
          <w:sz w:val="28"/>
          <w:szCs w:val="28"/>
        </w:rPr>
      </w:pPr>
      <w:r w:rsidRPr="00446890">
        <w:rPr>
          <w:rFonts w:ascii="Arial" w:hAnsi="Arial" w:cs="Arial"/>
          <w:sz w:val="28"/>
          <w:szCs w:val="28"/>
        </w:rPr>
        <w:t xml:space="preserve">Modificaciones a la competencia de la Suprema Corte de Justicia de la Nación que fortalecen su </w:t>
      </w:r>
      <w:r w:rsidRPr="00446890">
        <w:rPr>
          <w:rFonts w:ascii="Arial" w:hAnsi="Arial" w:cs="Arial"/>
          <w:sz w:val="28"/>
          <w:szCs w:val="28"/>
        </w:rPr>
        <w:lastRenderedPageBreak/>
        <w:t>función de tribunal constitucional, en los aspectos siguientes:</w:t>
      </w:r>
    </w:p>
    <w:p w14:paraId="5D24E90B" w14:textId="77777777" w:rsidR="00C54864" w:rsidRPr="00446890" w:rsidRDefault="00C54864" w:rsidP="00C54864">
      <w:pPr>
        <w:spacing w:after="0" w:line="480" w:lineRule="auto"/>
        <w:ind w:left="1134"/>
        <w:jc w:val="both"/>
        <w:rPr>
          <w:rFonts w:ascii="Arial" w:hAnsi="Arial" w:cs="Arial"/>
          <w:sz w:val="28"/>
          <w:szCs w:val="28"/>
        </w:rPr>
      </w:pPr>
    </w:p>
    <w:p w14:paraId="5A22E69D" w14:textId="56734831" w:rsidR="00C54864" w:rsidRPr="00446890" w:rsidRDefault="00C54864" w:rsidP="004548B1">
      <w:pPr>
        <w:numPr>
          <w:ilvl w:val="1"/>
          <w:numId w:val="3"/>
        </w:numPr>
        <w:spacing w:after="0" w:line="480" w:lineRule="auto"/>
        <w:ind w:left="1701" w:hanging="709"/>
        <w:jc w:val="both"/>
        <w:rPr>
          <w:rFonts w:ascii="Arial" w:hAnsi="Arial" w:cs="Arial"/>
          <w:sz w:val="28"/>
          <w:szCs w:val="28"/>
        </w:rPr>
      </w:pPr>
      <w:r w:rsidRPr="00446890">
        <w:rPr>
          <w:rFonts w:ascii="Arial" w:hAnsi="Arial" w:cs="Arial"/>
          <w:sz w:val="28"/>
          <w:szCs w:val="28"/>
        </w:rPr>
        <w:t>La procedencia del recurso de revisión en amparo directo contra sentencias que resuelvan sobre la constitucionalidad de normas generales, establezcan la interpretación directa de un precepto constitucional u omitan decidir sobre tales cuestiones cuando hubieren sido planteadas, siempre que a juicio de la Suprema Corte de Justicia de la Nación el asunto revista un interés excepcional en materia constitucional o de derechos humanos;</w:t>
      </w:r>
    </w:p>
    <w:p w14:paraId="1FA557FE" w14:textId="77777777" w:rsidR="00C54864" w:rsidRPr="00446890" w:rsidRDefault="00C54864" w:rsidP="00C54864">
      <w:pPr>
        <w:spacing w:after="0" w:line="480" w:lineRule="auto"/>
        <w:ind w:left="1701"/>
        <w:jc w:val="both"/>
        <w:rPr>
          <w:rFonts w:ascii="Arial" w:hAnsi="Arial" w:cs="Arial"/>
          <w:sz w:val="28"/>
          <w:szCs w:val="28"/>
        </w:rPr>
      </w:pPr>
    </w:p>
    <w:p w14:paraId="6D31CBD1" w14:textId="48A7B3B6" w:rsidR="004548B1" w:rsidRPr="00446890" w:rsidRDefault="004548B1" w:rsidP="00C54864">
      <w:pPr>
        <w:numPr>
          <w:ilvl w:val="1"/>
          <w:numId w:val="3"/>
        </w:numPr>
        <w:spacing w:after="0" w:line="480" w:lineRule="auto"/>
        <w:ind w:left="1701" w:hanging="709"/>
        <w:jc w:val="both"/>
        <w:rPr>
          <w:rFonts w:ascii="Arial" w:hAnsi="Arial" w:cs="Arial"/>
          <w:sz w:val="28"/>
          <w:szCs w:val="28"/>
        </w:rPr>
      </w:pPr>
      <w:r w:rsidRPr="00446890">
        <w:rPr>
          <w:rFonts w:ascii="Arial" w:hAnsi="Arial" w:cs="Arial"/>
          <w:sz w:val="28"/>
          <w:szCs w:val="28"/>
        </w:rPr>
        <w:t>La improcedencia del recurso de reclamación contra el auto que desecha un amparo directo en revisión;</w:t>
      </w:r>
    </w:p>
    <w:p w14:paraId="64A62F59" w14:textId="77777777" w:rsidR="00C54864" w:rsidRPr="00446890" w:rsidRDefault="00C54864" w:rsidP="00C54864">
      <w:pPr>
        <w:spacing w:after="0" w:line="480" w:lineRule="auto"/>
        <w:ind w:left="1701"/>
        <w:jc w:val="both"/>
        <w:rPr>
          <w:rFonts w:ascii="Arial" w:hAnsi="Arial" w:cs="Arial"/>
          <w:sz w:val="28"/>
          <w:szCs w:val="28"/>
        </w:rPr>
      </w:pPr>
    </w:p>
    <w:p w14:paraId="65F1222F" w14:textId="2874A0BF" w:rsidR="004548B1" w:rsidRPr="00446890" w:rsidRDefault="004548B1" w:rsidP="004548B1">
      <w:pPr>
        <w:numPr>
          <w:ilvl w:val="1"/>
          <w:numId w:val="3"/>
        </w:numPr>
        <w:spacing w:after="0" w:line="480" w:lineRule="auto"/>
        <w:ind w:left="1701" w:hanging="709"/>
        <w:jc w:val="both"/>
        <w:rPr>
          <w:rFonts w:ascii="Arial" w:hAnsi="Arial" w:cs="Arial"/>
          <w:sz w:val="28"/>
          <w:szCs w:val="28"/>
        </w:rPr>
      </w:pPr>
      <w:r w:rsidRPr="00446890">
        <w:rPr>
          <w:rFonts w:ascii="Arial" w:hAnsi="Arial" w:cs="Arial"/>
          <w:sz w:val="28"/>
          <w:szCs w:val="28"/>
        </w:rPr>
        <w:t xml:space="preserve">La procedencia de la controversia constitucional para resolver los conflictos que se susciten, incluso, entre los órganos constitucionales autónomos de una entidad </w:t>
      </w:r>
      <w:r w:rsidRPr="00446890">
        <w:rPr>
          <w:rFonts w:ascii="Arial" w:hAnsi="Arial" w:cs="Arial"/>
          <w:sz w:val="28"/>
          <w:szCs w:val="28"/>
        </w:rPr>
        <w:lastRenderedPageBreak/>
        <w:t>federativa, y entre uno de éstos y el Poder Ejecutivo o Legislativo de aquélla; así como la precisión de que en ese medio de control de la constitucionalidad únicamente podrán hacerse valer violaciones a la Constitución Política de los Estados Unidos Mexicanos y a los derechos humanos reconocidos en los tratados internacionales de los que el Estado Mexicano sea parte</w:t>
      </w:r>
      <w:r w:rsidR="00253BD6" w:rsidRPr="00446890">
        <w:rPr>
          <w:rFonts w:ascii="Arial" w:hAnsi="Arial" w:cs="Arial"/>
          <w:sz w:val="28"/>
          <w:szCs w:val="28"/>
        </w:rPr>
        <w:t>, y</w:t>
      </w:r>
    </w:p>
    <w:p w14:paraId="787C03B8" w14:textId="77777777" w:rsidR="00C54864" w:rsidRPr="00446890" w:rsidRDefault="00C54864" w:rsidP="00C54864">
      <w:pPr>
        <w:spacing w:after="0" w:line="480" w:lineRule="auto"/>
        <w:ind w:left="1701"/>
        <w:jc w:val="both"/>
        <w:rPr>
          <w:rFonts w:ascii="Arial" w:hAnsi="Arial" w:cs="Arial"/>
          <w:sz w:val="28"/>
          <w:szCs w:val="28"/>
        </w:rPr>
      </w:pPr>
    </w:p>
    <w:p w14:paraId="4F7CBEDC" w14:textId="57AA1B5D" w:rsidR="004548B1" w:rsidRPr="00446890" w:rsidRDefault="004548B1" w:rsidP="00C54864">
      <w:pPr>
        <w:numPr>
          <w:ilvl w:val="1"/>
          <w:numId w:val="3"/>
        </w:numPr>
        <w:spacing w:after="0" w:line="480" w:lineRule="auto"/>
        <w:ind w:left="1701" w:hanging="709"/>
        <w:jc w:val="both"/>
        <w:rPr>
          <w:rFonts w:ascii="Arial" w:hAnsi="Arial" w:cs="Arial"/>
          <w:sz w:val="28"/>
          <w:szCs w:val="28"/>
        </w:rPr>
      </w:pPr>
      <w:r w:rsidRPr="00446890">
        <w:rPr>
          <w:rFonts w:ascii="Arial" w:hAnsi="Arial" w:cs="Arial"/>
          <w:sz w:val="28"/>
          <w:szCs w:val="28"/>
        </w:rPr>
        <w:t>La supresión de la procedencia del recurso de revisión administrativa contra las resoluciones del Consejo de la Judicatura Federal, relativas a la designación de los Magistrados de Circuito y de los Jueces de Distrito;</w:t>
      </w:r>
    </w:p>
    <w:p w14:paraId="33E8B04D" w14:textId="77777777" w:rsidR="00C54864" w:rsidRPr="00446890" w:rsidRDefault="00C54864" w:rsidP="00C54864">
      <w:pPr>
        <w:spacing w:after="0" w:line="480" w:lineRule="auto"/>
        <w:ind w:left="992"/>
        <w:jc w:val="both"/>
        <w:rPr>
          <w:rFonts w:ascii="Arial" w:hAnsi="Arial" w:cs="Arial"/>
          <w:sz w:val="28"/>
          <w:szCs w:val="28"/>
        </w:rPr>
      </w:pPr>
    </w:p>
    <w:p w14:paraId="6E6D37F2" w14:textId="59DDBEAA" w:rsidR="00C54864" w:rsidRPr="00446890" w:rsidRDefault="00C54864" w:rsidP="00C54864">
      <w:pPr>
        <w:numPr>
          <w:ilvl w:val="0"/>
          <w:numId w:val="3"/>
        </w:numPr>
        <w:spacing w:after="0" w:line="480" w:lineRule="auto"/>
        <w:ind w:left="1134" w:hanging="567"/>
        <w:jc w:val="both"/>
        <w:rPr>
          <w:rFonts w:ascii="Arial" w:hAnsi="Arial" w:cs="Arial"/>
          <w:sz w:val="28"/>
          <w:szCs w:val="28"/>
        </w:rPr>
      </w:pPr>
      <w:r w:rsidRPr="00446890">
        <w:rPr>
          <w:rFonts w:ascii="Arial" w:hAnsi="Arial" w:cs="Arial"/>
          <w:sz w:val="28"/>
          <w:szCs w:val="28"/>
        </w:rPr>
        <w:t>El conocimiento de la declaratoria general de inconstitucionalidad a partir de un precedente establecido por el Pleno o por las Salas de la Suprema Corte de Justicia de la Nación, aprobado con la respectiva votación calificada, al determinar en un amparo indirecto en revisión la inconstitucionalidad de una norma general;</w:t>
      </w:r>
    </w:p>
    <w:p w14:paraId="30142653" w14:textId="31DF86AA" w:rsidR="00494652" w:rsidRPr="00446890" w:rsidRDefault="00494652" w:rsidP="00C54864">
      <w:pPr>
        <w:numPr>
          <w:ilvl w:val="0"/>
          <w:numId w:val="3"/>
        </w:numPr>
        <w:spacing w:after="0" w:line="480" w:lineRule="auto"/>
        <w:ind w:left="1134" w:hanging="567"/>
        <w:jc w:val="both"/>
        <w:rPr>
          <w:rFonts w:ascii="Arial" w:hAnsi="Arial" w:cs="Arial"/>
          <w:sz w:val="28"/>
          <w:szCs w:val="28"/>
        </w:rPr>
      </w:pPr>
      <w:r w:rsidRPr="00446890">
        <w:rPr>
          <w:rFonts w:ascii="Arial" w:hAnsi="Arial" w:cs="Arial"/>
          <w:sz w:val="28"/>
          <w:szCs w:val="28"/>
          <w:lang w:eastAsia="es-MX"/>
        </w:rPr>
        <w:lastRenderedPageBreak/>
        <w:t>El establecimiento de los Plenos Regionales como órganos en los que se deposita el ejercicio del Poder Judicial de la Federación, los que tendrán, entre otras atribuciones, el conocimiento y resolución de asuntos de la competencia delegada por la Suprema Corte de Justicia de la Nación</w:t>
      </w:r>
      <w:r w:rsidR="00561F0B" w:rsidRPr="00446890">
        <w:rPr>
          <w:rFonts w:ascii="Arial" w:hAnsi="Arial" w:cs="Arial"/>
          <w:sz w:val="28"/>
          <w:szCs w:val="28"/>
          <w:lang w:eastAsia="es-MX"/>
        </w:rPr>
        <w:t>,</w:t>
      </w:r>
      <w:r w:rsidR="00C54864" w:rsidRPr="00446890">
        <w:rPr>
          <w:rFonts w:ascii="Arial" w:hAnsi="Arial" w:cs="Arial"/>
          <w:sz w:val="28"/>
          <w:szCs w:val="28"/>
          <w:lang w:eastAsia="es-MX"/>
        </w:rPr>
        <w:t xml:space="preserve"> y</w:t>
      </w:r>
    </w:p>
    <w:p w14:paraId="7E3C5784" w14:textId="77777777" w:rsidR="00C54864" w:rsidRPr="00446890" w:rsidRDefault="00C54864" w:rsidP="00C54864">
      <w:pPr>
        <w:spacing w:after="0" w:line="480" w:lineRule="auto"/>
        <w:ind w:left="1134"/>
        <w:jc w:val="both"/>
        <w:rPr>
          <w:rFonts w:ascii="Arial" w:hAnsi="Arial" w:cs="Arial"/>
          <w:sz w:val="28"/>
          <w:szCs w:val="28"/>
        </w:rPr>
      </w:pPr>
    </w:p>
    <w:p w14:paraId="2D7D03EE" w14:textId="2F9831C4" w:rsidR="00494652" w:rsidRPr="00446890" w:rsidRDefault="00494652" w:rsidP="00D41819">
      <w:pPr>
        <w:numPr>
          <w:ilvl w:val="0"/>
          <w:numId w:val="3"/>
        </w:numPr>
        <w:spacing w:after="0" w:line="480" w:lineRule="auto"/>
        <w:ind w:left="1134" w:hanging="567"/>
        <w:jc w:val="both"/>
        <w:rPr>
          <w:rFonts w:ascii="Arial" w:hAnsi="Arial" w:cs="Arial"/>
          <w:sz w:val="28"/>
          <w:szCs w:val="28"/>
        </w:rPr>
      </w:pPr>
      <w:r w:rsidRPr="00446890">
        <w:rPr>
          <w:rFonts w:ascii="Arial" w:hAnsi="Arial" w:cs="Arial"/>
          <w:sz w:val="28"/>
          <w:szCs w:val="28"/>
        </w:rPr>
        <w:t>El establecimiento de los Tribunales Colegiados de Apelación, que conocerán de los asuntos de la competencia actual de los Tribunales Unitarios de Circuito</w:t>
      </w:r>
      <w:r w:rsidR="00D938DB" w:rsidRPr="00446890">
        <w:rPr>
          <w:rFonts w:ascii="Arial" w:hAnsi="Arial" w:cs="Arial"/>
          <w:sz w:val="28"/>
          <w:szCs w:val="28"/>
        </w:rPr>
        <w:t>.</w:t>
      </w:r>
    </w:p>
    <w:p w14:paraId="16F56B4B" w14:textId="77777777" w:rsidR="00A01284" w:rsidRPr="00446890" w:rsidRDefault="00A01284" w:rsidP="00D41819">
      <w:pPr>
        <w:spacing w:after="0" w:line="480" w:lineRule="auto"/>
        <w:ind w:left="1701"/>
        <w:jc w:val="both"/>
        <w:rPr>
          <w:rFonts w:ascii="Arial" w:hAnsi="Arial" w:cs="Arial"/>
          <w:sz w:val="28"/>
          <w:szCs w:val="28"/>
        </w:rPr>
      </w:pPr>
    </w:p>
    <w:p w14:paraId="49D6E08D" w14:textId="2FD28F59" w:rsidR="00E72FE0" w:rsidRPr="00446890" w:rsidRDefault="00494652" w:rsidP="00D41819">
      <w:pPr>
        <w:spacing w:after="0" w:line="480" w:lineRule="auto"/>
        <w:ind w:left="142" w:firstLine="709"/>
        <w:jc w:val="both"/>
        <w:rPr>
          <w:rFonts w:ascii="Arial" w:hAnsi="Arial" w:cs="Arial"/>
          <w:sz w:val="28"/>
          <w:szCs w:val="28"/>
          <w:lang w:eastAsia="es-MX"/>
        </w:rPr>
      </w:pPr>
      <w:r w:rsidRPr="00446890">
        <w:rPr>
          <w:rFonts w:ascii="Arial" w:hAnsi="Arial" w:cs="Arial"/>
          <w:b/>
          <w:sz w:val="28"/>
          <w:szCs w:val="28"/>
        </w:rPr>
        <w:t xml:space="preserve">CUARTO. </w:t>
      </w:r>
      <w:r w:rsidR="00E72FE0" w:rsidRPr="00446890">
        <w:rPr>
          <w:rFonts w:ascii="Arial" w:hAnsi="Arial" w:cs="Arial"/>
          <w:sz w:val="28"/>
          <w:szCs w:val="28"/>
        </w:rPr>
        <w:t xml:space="preserve">Conforme a lo previsto en los artículos 94, párrafo décimo segundo, y Sexto Transitorio del Decreto mencionado en el Considerando Primero de este Acuerdo General: </w:t>
      </w:r>
      <w:r w:rsidR="00E72FE0" w:rsidRPr="00446890">
        <w:rPr>
          <w:rFonts w:ascii="Arial" w:hAnsi="Arial" w:cs="Arial"/>
          <w:i/>
          <w:iCs/>
          <w:sz w:val="28"/>
          <w:szCs w:val="28"/>
        </w:rPr>
        <w:t>“(…) Las razones que justifiquen las decisiones contenidas en las sentencias dictadas por el Pleno de la Suprema Corte de Justicia de la Nación por mayoría de ocho votos, y por las Salas, por mayoría de cuatro votos, serán obligatorias para todas las autoridades jurisdiccionales de la Federación y de las entidades federativas. (…)”</w:t>
      </w:r>
      <w:r w:rsidR="00E72FE0" w:rsidRPr="00446890">
        <w:rPr>
          <w:rFonts w:ascii="Arial" w:hAnsi="Arial" w:cs="Arial"/>
          <w:sz w:val="28"/>
          <w:szCs w:val="28"/>
        </w:rPr>
        <w:t xml:space="preserve">, en la inteligencia de que: </w:t>
      </w:r>
      <w:r w:rsidR="00E72FE0" w:rsidRPr="00446890">
        <w:rPr>
          <w:rFonts w:ascii="Arial" w:hAnsi="Arial" w:cs="Arial"/>
          <w:i/>
          <w:iCs/>
          <w:sz w:val="28"/>
          <w:szCs w:val="28"/>
        </w:rPr>
        <w:t xml:space="preserve">“(…) El sistema de creación de jurisprudencia por precedentes, que se </w:t>
      </w:r>
      <w:r w:rsidR="00E72FE0" w:rsidRPr="00446890">
        <w:rPr>
          <w:rFonts w:ascii="Arial" w:hAnsi="Arial" w:cs="Arial"/>
          <w:i/>
          <w:iCs/>
          <w:sz w:val="28"/>
          <w:szCs w:val="28"/>
        </w:rPr>
        <w:lastRenderedPageBreak/>
        <w:t>incorpora como párrafo décimo segundo al artículo 94 constitucional, entrará en vigor cuando la Suprema Corte de Justicia de la Nación emita el Acuerdo la General respectivo, de conformidad con su facultad autorregulatoria prevista en dicho precepto. (…)”</w:t>
      </w:r>
      <w:r w:rsidR="00E72FE0" w:rsidRPr="00446890">
        <w:rPr>
          <w:rFonts w:ascii="Arial" w:hAnsi="Arial" w:cs="Arial"/>
          <w:sz w:val="28"/>
          <w:szCs w:val="28"/>
          <w:lang w:eastAsia="es-MX"/>
        </w:rPr>
        <w:t>;</w:t>
      </w:r>
    </w:p>
    <w:p w14:paraId="3BD20D85" w14:textId="77777777" w:rsidR="0046782F" w:rsidRPr="00446890" w:rsidRDefault="0046782F" w:rsidP="00D41819">
      <w:pPr>
        <w:spacing w:after="0" w:line="480" w:lineRule="auto"/>
        <w:ind w:left="142" w:firstLine="709"/>
        <w:jc w:val="both"/>
        <w:rPr>
          <w:rFonts w:ascii="Arial" w:hAnsi="Arial" w:cs="Arial"/>
          <w:b/>
          <w:sz w:val="28"/>
          <w:szCs w:val="28"/>
        </w:rPr>
      </w:pPr>
    </w:p>
    <w:p w14:paraId="2B8CC404" w14:textId="6A12D99D" w:rsidR="00494652" w:rsidRPr="00446890" w:rsidRDefault="00E72FE0" w:rsidP="00D41819">
      <w:pPr>
        <w:spacing w:after="0" w:line="480" w:lineRule="auto"/>
        <w:ind w:left="142" w:firstLine="709"/>
        <w:jc w:val="both"/>
        <w:rPr>
          <w:rFonts w:ascii="Arial" w:hAnsi="Arial" w:cs="Arial"/>
          <w:sz w:val="28"/>
          <w:szCs w:val="28"/>
        </w:rPr>
      </w:pPr>
      <w:r w:rsidRPr="00446890">
        <w:rPr>
          <w:rFonts w:ascii="Arial" w:hAnsi="Arial" w:cs="Arial"/>
          <w:b/>
          <w:bCs/>
          <w:color w:val="000000"/>
          <w:sz w:val="28"/>
          <w:szCs w:val="28"/>
          <w:lang w:eastAsia="es-MX"/>
        </w:rPr>
        <w:t xml:space="preserve">QUINTO. </w:t>
      </w:r>
      <w:r w:rsidR="00494652" w:rsidRPr="00446890">
        <w:rPr>
          <w:rFonts w:ascii="Arial" w:hAnsi="Arial" w:cs="Arial"/>
          <w:color w:val="000000"/>
          <w:sz w:val="28"/>
          <w:szCs w:val="28"/>
          <w:lang w:eastAsia="es-MX"/>
        </w:rPr>
        <w:t xml:space="preserve">En términos de lo previsto en el artículo 43 de la </w:t>
      </w:r>
      <w:r w:rsidR="00494652" w:rsidRPr="00446890">
        <w:rPr>
          <w:rFonts w:ascii="Arial" w:hAnsi="Arial" w:cs="Arial"/>
          <w:sz w:val="28"/>
          <w:szCs w:val="28"/>
        </w:rPr>
        <w:t>Ley Reglamentaria de las Fracciones I y II del Artículo 105 de la Constitución Política de los Estados Unidos Mexicanos</w:t>
      </w:r>
      <w:r w:rsidR="00494652" w:rsidRPr="00446890">
        <w:rPr>
          <w:rFonts w:ascii="Arial" w:hAnsi="Arial" w:cs="Arial"/>
          <w:color w:val="000000"/>
          <w:sz w:val="28"/>
          <w:szCs w:val="28"/>
          <w:lang w:eastAsia="es-MX"/>
        </w:rPr>
        <w:t xml:space="preserve">, en relación con lo señalado en el diverso 73 de ese mismo ordenamiento, las razones contenidas en los considerandos que funden los resolutivos de las sentencias dictadas por el Pleno de la Suprema Corte de Justicia de la Nación al resolver controversias constitucionales o acciones de inconstitucionalidad, aprobadas por cuando menos ocho votos, </w:t>
      </w:r>
      <w:r w:rsidR="00494652" w:rsidRPr="00446890">
        <w:rPr>
          <w:rFonts w:ascii="Arial" w:hAnsi="Arial" w:cs="Arial"/>
          <w:sz w:val="28"/>
          <w:szCs w:val="28"/>
        </w:rPr>
        <w:t>serán obligatorias para las Salas, tribunales unitarios y colegiados de circuito, juzgados de distrito, tribunales militares, agrarios y judiciales del orden común de los Estados y del Distrito Federal, y administrativos y del trabajo, sean éstos federales o locales;</w:t>
      </w:r>
    </w:p>
    <w:p w14:paraId="70334156" w14:textId="77777777" w:rsidR="00284A7D" w:rsidRPr="00446890" w:rsidRDefault="00284A7D" w:rsidP="00D41819">
      <w:pPr>
        <w:spacing w:after="0" w:line="480" w:lineRule="auto"/>
        <w:ind w:left="142" w:firstLine="709"/>
        <w:jc w:val="both"/>
        <w:rPr>
          <w:rFonts w:ascii="Arial" w:hAnsi="Arial" w:cs="Arial"/>
          <w:sz w:val="28"/>
          <w:szCs w:val="28"/>
        </w:rPr>
      </w:pPr>
    </w:p>
    <w:p w14:paraId="524887E5" w14:textId="736DA912" w:rsidR="00494652" w:rsidRPr="00446890" w:rsidRDefault="00E72FE0" w:rsidP="00D41819">
      <w:pPr>
        <w:spacing w:after="0" w:line="480" w:lineRule="auto"/>
        <w:ind w:left="142" w:firstLine="708"/>
        <w:jc w:val="both"/>
        <w:rPr>
          <w:rFonts w:ascii="Arial" w:hAnsi="Arial" w:cs="Arial"/>
          <w:sz w:val="28"/>
          <w:szCs w:val="28"/>
        </w:rPr>
      </w:pPr>
      <w:r w:rsidRPr="00446890">
        <w:rPr>
          <w:rFonts w:ascii="Arial" w:hAnsi="Arial" w:cs="Arial"/>
          <w:b/>
          <w:sz w:val="28"/>
          <w:szCs w:val="28"/>
        </w:rPr>
        <w:lastRenderedPageBreak/>
        <w:t xml:space="preserve">SEXTO. </w:t>
      </w:r>
      <w:r w:rsidR="00494652" w:rsidRPr="00446890">
        <w:rPr>
          <w:rFonts w:ascii="Arial" w:hAnsi="Arial" w:cs="Arial"/>
          <w:sz w:val="28"/>
          <w:szCs w:val="28"/>
        </w:rPr>
        <w:t xml:space="preserve">Mediante Acuerdo General 4/1996, de veintinueve de agosto de mil novecientos noventa y seis, el Tribunal Pleno determinó que </w:t>
      </w:r>
      <w:r w:rsidR="00494652" w:rsidRPr="00446890">
        <w:rPr>
          <w:rFonts w:ascii="Arial" w:hAnsi="Arial" w:cs="Arial"/>
          <w:sz w:val="28"/>
          <w:szCs w:val="28"/>
          <w:lang w:eastAsia="es-MX"/>
        </w:rPr>
        <w:t>las razones contenidas en los considerandos que sirvan de fundamento a las resoluciones de los recursos de reclamación y de queja promovidos en relación con las controversias constitucionales y las acciones de inconstitucionalidad, aprobadas por cuando menos ocho votos, constituyen jurisprudencia, y</w:t>
      </w:r>
      <w:r w:rsidR="00494652" w:rsidRPr="00446890">
        <w:rPr>
          <w:rFonts w:ascii="Arial" w:hAnsi="Arial" w:cs="Arial"/>
          <w:sz w:val="28"/>
          <w:szCs w:val="28"/>
        </w:rPr>
        <w:t xml:space="preserve"> al resolver en sesión de veintiséis de mayo de dos mil once la contradicción de tesis 6/2008, determinó por unanimidad de nueve votos que las razones contenidas en los considerandos que funden los resolutivos de las sentencias dictadas en acciones de inconstitucionalidad aprobadas por cuando menos ocho votos, constituyen jurisprudencia</w:t>
      </w:r>
      <w:r w:rsidR="00A01284" w:rsidRPr="00446890">
        <w:rPr>
          <w:rFonts w:ascii="Arial" w:hAnsi="Arial" w:cs="Arial"/>
          <w:sz w:val="28"/>
          <w:szCs w:val="28"/>
        </w:rPr>
        <w:t>;</w:t>
      </w:r>
    </w:p>
    <w:p w14:paraId="50FC0695" w14:textId="77777777" w:rsidR="002B49DB" w:rsidRPr="00446890" w:rsidRDefault="002B49DB" w:rsidP="00D41819">
      <w:pPr>
        <w:spacing w:after="0" w:line="480" w:lineRule="auto"/>
        <w:ind w:left="142" w:firstLine="708"/>
        <w:jc w:val="both"/>
        <w:rPr>
          <w:rFonts w:ascii="Arial" w:hAnsi="Arial" w:cs="Arial"/>
          <w:sz w:val="28"/>
          <w:szCs w:val="28"/>
        </w:rPr>
      </w:pPr>
    </w:p>
    <w:p w14:paraId="1025CDC0" w14:textId="4E3C30AE" w:rsidR="00A01284" w:rsidRPr="00446890" w:rsidRDefault="00494652" w:rsidP="00D41819">
      <w:pPr>
        <w:pStyle w:val="NormalWeb"/>
        <w:spacing w:before="0" w:beforeAutospacing="0" w:after="0" w:afterAutospacing="0" w:line="480" w:lineRule="auto"/>
        <w:ind w:firstLine="720"/>
        <w:jc w:val="both"/>
        <w:rPr>
          <w:rFonts w:ascii="Arial" w:hAnsi="Arial" w:cs="Arial"/>
          <w:bCs/>
          <w:sz w:val="28"/>
          <w:szCs w:val="28"/>
        </w:rPr>
      </w:pPr>
      <w:r w:rsidRPr="00446890">
        <w:rPr>
          <w:rFonts w:ascii="Arial" w:hAnsi="Arial" w:cs="Arial"/>
          <w:b/>
          <w:sz w:val="28"/>
          <w:szCs w:val="28"/>
        </w:rPr>
        <w:t>SÉPTIMO</w:t>
      </w:r>
      <w:r w:rsidR="007E4CF7" w:rsidRPr="00446890">
        <w:rPr>
          <w:rFonts w:ascii="Arial" w:hAnsi="Arial" w:cs="Arial"/>
          <w:b/>
          <w:sz w:val="28"/>
          <w:szCs w:val="28"/>
        </w:rPr>
        <w:t xml:space="preserve">. </w:t>
      </w:r>
      <w:r w:rsidRPr="00446890">
        <w:rPr>
          <w:rFonts w:ascii="Arial" w:hAnsi="Arial" w:cs="Arial"/>
          <w:bCs/>
          <w:sz w:val="28"/>
          <w:szCs w:val="28"/>
        </w:rPr>
        <w:t>En el</w:t>
      </w:r>
      <w:r w:rsidR="00246929" w:rsidRPr="00446890">
        <w:rPr>
          <w:rFonts w:ascii="Arial" w:hAnsi="Arial" w:cs="Arial"/>
          <w:bCs/>
          <w:sz w:val="28"/>
          <w:szCs w:val="28"/>
        </w:rPr>
        <w:t xml:space="preserve"> </w:t>
      </w:r>
      <w:r w:rsidR="00DE4D71" w:rsidRPr="00446890">
        <w:rPr>
          <w:rFonts w:ascii="Arial" w:hAnsi="Arial" w:cs="Arial"/>
          <w:bCs/>
          <w:sz w:val="28"/>
          <w:szCs w:val="28"/>
        </w:rPr>
        <w:t>Acuerd</w:t>
      </w:r>
      <w:r w:rsidRPr="00446890">
        <w:rPr>
          <w:rFonts w:ascii="Arial" w:hAnsi="Arial" w:cs="Arial"/>
          <w:bCs/>
          <w:sz w:val="28"/>
          <w:szCs w:val="28"/>
        </w:rPr>
        <w:t>o</w:t>
      </w:r>
      <w:r w:rsidR="00DE4D71" w:rsidRPr="00446890">
        <w:rPr>
          <w:rFonts w:ascii="Arial" w:hAnsi="Arial" w:cs="Arial"/>
          <w:bCs/>
          <w:sz w:val="28"/>
          <w:szCs w:val="28"/>
        </w:rPr>
        <w:t xml:space="preserve"> General 1</w:t>
      </w:r>
      <w:r w:rsidR="00E72FE0" w:rsidRPr="00446890">
        <w:rPr>
          <w:rFonts w:ascii="Arial" w:hAnsi="Arial" w:cs="Arial"/>
          <w:bCs/>
          <w:sz w:val="28"/>
          <w:szCs w:val="28"/>
        </w:rPr>
        <w:t>6</w:t>
      </w:r>
      <w:r w:rsidR="00DE4D71" w:rsidRPr="00446890">
        <w:rPr>
          <w:rFonts w:ascii="Arial" w:hAnsi="Arial" w:cs="Arial"/>
          <w:bCs/>
          <w:sz w:val="28"/>
          <w:szCs w:val="28"/>
        </w:rPr>
        <w:t>/201</w:t>
      </w:r>
      <w:r w:rsidRPr="00446890">
        <w:rPr>
          <w:rFonts w:ascii="Arial" w:hAnsi="Arial" w:cs="Arial"/>
          <w:bCs/>
          <w:sz w:val="28"/>
          <w:szCs w:val="28"/>
        </w:rPr>
        <w:t>9</w:t>
      </w:r>
      <w:r w:rsidR="00DE4D71" w:rsidRPr="00446890">
        <w:rPr>
          <w:rFonts w:ascii="Arial" w:hAnsi="Arial" w:cs="Arial"/>
          <w:bCs/>
          <w:sz w:val="28"/>
          <w:szCs w:val="28"/>
        </w:rPr>
        <w:t xml:space="preserve">, </w:t>
      </w:r>
      <w:r w:rsidRPr="00446890">
        <w:rPr>
          <w:rFonts w:ascii="Arial" w:hAnsi="Arial" w:cs="Arial"/>
          <w:bCs/>
          <w:sz w:val="28"/>
          <w:szCs w:val="28"/>
        </w:rPr>
        <w:t xml:space="preserve">de veintiocho de noviembre de dos mil </w:t>
      </w:r>
      <w:r w:rsidR="006D2130" w:rsidRPr="00446890">
        <w:rPr>
          <w:rFonts w:ascii="Arial" w:hAnsi="Arial" w:cs="Arial"/>
          <w:bCs/>
          <w:sz w:val="28"/>
          <w:szCs w:val="28"/>
        </w:rPr>
        <w:t>diecinueve</w:t>
      </w:r>
      <w:r w:rsidRPr="00446890">
        <w:rPr>
          <w:rFonts w:ascii="Arial" w:hAnsi="Arial" w:cs="Arial"/>
          <w:bCs/>
          <w:sz w:val="28"/>
          <w:szCs w:val="28"/>
        </w:rPr>
        <w:t>, por el que se regula la publicación y difusión del Semanario Judicial de la Federación, se continuó con la modernización y fortalecimiento de este medio oficial de difusión;</w:t>
      </w:r>
      <w:r w:rsidR="00246929" w:rsidRPr="00446890">
        <w:rPr>
          <w:rFonts w:ascii="Arial" w:hAnsi="Arial" w:cs="Arial"/>
          <w:bCs/>
          <w:sz w:val="28"/>
          <w:szCs w:val="28"/>
        </w:rPr>
        <w:t xml:space="preserve"> </w:t>
      </w:r>
      <w:r w:rsidRPr="00446890">
        <w:rPr>
          <w:rFonts w:ascii="Arial" w:hAnsi="Arial" w:cs="Arial"/>
          <w:bCs/>
          <w:sz w:val="28"/>
          <w:szCs w:val="28"/>
        </w:rPr>
        <w:t xml:space="preserve">se </w:t>
      </w:r>
      <w:r w:rsidR="008060EB" w:rsidRPr="00446890">
        <w:rPr>
          <w:rFonts w:ascii="Arial" w:hAnsi="Arial" w:cs="Arial"/>
          <w:bCs/>
          <w:sz w:val="28"/>
          <w:szCs w:val="28"/>
        </w:rPr>
        <w:t xml:space="preserve">estableció la estructura de dicho Semanario, los índices que lo integran, el momento a partir del cual resultan de </w:t>
      </w:r>
      <w:r w:rsidR="008060EB" w:rsidRPr="00446890">
        <w:rPr>
          <w:rFonts w:ascii="Arial" w:hAnsi="Arial" w:cs="Arial"/>
          <w:bCs/>
          <w:sz w:val="28"/>
          <w:szCs w:val="28"/>
        </w:rPr>
        <w:lastRenderedPageBreak/>
        <w:t>aplicación obligatoria los criterios sostenidos por la Suprema Corte de Justicia de la Nación, los Plenos de Circuito y los Tribunales Colegiados de Circuito</w:t>
      </w:r>
      <w:r w:rsidR="0069633D" w:rsidRPr="00446890">
        <w:rPr>
          <w:rFonts w:ascii="Arial" w:hAnsi="Arial" w:cs="Arial"/>
          <w:bCs/>
          <w:sz w:val="28"/>
          <w:szCs w:val="28"/>
        </w:rPr>
        <w:t xml:space="preserve">, se </w:t>
      </w:r>
      <w:r w:rsidRPr="00446890">
        <w:rPr>
          <w:rFonts w:ascii="Arial" w:hAnsi="Arial" w:cs="Arial"/>
          <w:bCs/>
          <w:sz w:val="28"/>
          <w:szCs w:val="28"/>
        </w:rPr>
        <w:t>suprimió su formato impreso</w:t>
      </w:r>
      <w:r w:rsidR="00A01284" w:rsidRPr="00446890">
        <w:rPr>
          <w:rFonts w:ascii="Arial" w:hAnsi="Arial" w:cs="Arial"/>
          <w:bCs/>
          <w:sz w:val="28"/>
          <w:szCs w:val="28"/>
        </w:rPr>
        <w:t xml:space="preserve"> </w:t>
      </w:r>
      <w:r w:rsidR="0069633D" w:rsidRPr="00446890">
        <w:rPr>
          <w:rFonts w:ascii="Arial" w:hAnsi="Arial" w:cs="Arial"/>
          <w:bCs/>
          <w:sz w:val="28"/>
          <w:szCs w:val="28"/>
        </w:rPr>
        <w:t>e incluso</w:t>
      </w:r>
      <w:r w:rsidR="00E72FE0" w:rsidRPr="00446890">
        <w:rPr>
          <w:rFonts w:ascii="Arial" w:hAnsi="Arial" w:cs="Arial"/>
          <w:bCs/>
          <w:sz w:val="28"/>
          <w:szCs w:val="28"/>
        </w:rPr>
        <w:t xml:space="preserve"> se </w:t>
      </w:r>
      <w:r w:rsidR="002F68BA" w:rsidRPr="00446890">
        <w:rPr>
          <w:rFonts w:ascii="Arial" w:hAnsi="Arial" w:cs="Arial"/>
          <w:bCs/>
          <w:sz w:val="28"/>
          <w:szCs w:val="28"/>
        </w:rPr>
        <w:t xml:space="preserve">reiteraron </w:t>
      </w:r>
      <w:r w:rsidR="00E72FE0" w:rsidRPr="00446890">
        <w:rPr>
          <w:rFonts w:ascii="Arial" w:hAnsi="Arial" w:cs="Arial"/>
          <w:bCs/>
          <w:sz w:val="28"/>
          <w:szCs w:val="28"/>
        </w:rPr>
        <w:t xml:space="preserve">las bases para la difusión de los criterios sostenidos </w:t>
      </w:r>
      <w:r w:rsidR="0069633D" w:rsidRPr="00446890">
        <w:rPr>
          <w:rFonts w:ascii="Arial" w:hAnsi="Arial" w:cs="Arial"/>
          <w:bCs/>
          <w:sz w:val="28"/>
          <w:szCs w:val="28"/>
        </w:rPr>
        <w:t xml:space="preserve">al resolver </w:t>
      </w:r>
      <w:r w:rsidR="00E72FE0" w:rsidRPr="00446890">
        <w:rPr>
          <w:rFonts w:ascii="Arial" w:hAnsi="Arial" w:cs="Arial"/>
          <w:bCs/>
          <w:sz w:val="28"/>
          <w:szCs w:val="28"/>
        </w:rPr>
        <w:t xml:space="preserve">controversias </w:t>
      </w:r>
      <w:r w:rsidR="0069633D" w:rsidRPr="00446890">
        <w:rPr>
          <w:rFonts w:ascii="Arial" w:hAnsi="Arial" w:cs="Arial"/>
          <w:bCs/>
          <w:sz w:val="28"/>
          <w:szCs w:val="28"/>
        </w:rPr>
        <w:t xml:space="preserve">constitucionales </w:t>
      </w:r>
      <w:r w:rsidR="00E72FE0" w:rsidRPr="00446890">
        <w:rPr>
          <w:rFonts w:ascii="Arial" w:hAnsi="Arial" w:cs="Arial"/>
          <w:bCs/>
          <w:sz w:val="28"/>
          <w:szCs w:val="28"/>
        </w:rPr>
        <w:t>y</w:t>
      </w:r>
      <w:r w:rsidR="0069633D" w:rsidRPr="00446890">
        <w:rPr>
          <w:rFonts w:ascii="Arial" w:hAnsi="Arial" w:cs="Arial"/>
          <w:bCs/>
          <w:sz w:val="28"/>
          <w:szCs w:val="28"/>
        </w:rPr>
        <w:t xml:space="preserve"> </w:t>
      </w:r>
      <w:r w:rsidR="00E72FE0" w:rsidRPr="00446890">
        <w:rPr>
          <w:rFonts w:ascii="Arial" w:hAnsi="Arial" w:cs="Arial"/>
          <w:bCs/>
          <w:sz w:val="28"/>
          <w:szCs w:val="28"/>
        </w:rPr>
        <w:t>acciones de inconstitucionalidad</w:t>
      </w:r>
      <w:r w:rsidR="002F68BA" w:rsidRPr="00446890">
        <w:rPr>
          <w:rFonts w:ascii="Arial" w:hAnsi="Arial" w:cs="Arial"/>
          <w:bCs/>
          <w:sz w:val="28"/>
          <w:szCs w:val="28"/>
        </w:rPr>
        <w:t>;</w:t>
      </w:r>
    </w:p>
    <w:p w14:paraId="30399909" w14:textId="77777777" w:rsidR="002F68BA" w:rsidRPr="00446890" w:rsidRDefault="002F68BA" w:rsidP="00D41819">
      <w:pPr>
        <w:pStyle w:val="NormalWeb"/>
        <w:spacing w:before="0" w:beforeAutospacing="0" w:after="0" w:afterAutospacing="0" w:line="480" w:lineRule="auto"/>
        <w:ind w:firstLine="720"/>
        <w:jc w:val="both"/>
        <w:rPr>
          <w:rFonts w:ascii="Arial" w:hAnsi="Arial" w:cs="Arial"/>
          <w:bCs/>
          <w:sz w:val="28"/>
          <w:szCs w:val="28"/>
        </w:rPr>
      </w:pPr>
    </w:p>
    <w:p w14:paraId="4A4E2CC6" w14:textId="169DB50A" w:rsidR="00246929" w:rsidRPr="00446890" w:rsidRDefault="00A01284" w:rsidP="00D41819">
      <w:pPr>
        <w:pStyle w:val="NormalWeb"/>
        <w:spacing w:before="0" w:beforeAutospacing="0" w:after="0" w:afterAutospacing="0" w:line="480" w:lineRule="auto"/>
        <w:ind w:left="142" w:firstLine="709"/>
        <w:jc w:val="both"/>
        <w:rPr>
          <w:rFonts w:ascii="Arial" w:hAnsi="Arial" w:cs="Arial"/>
          <w:color w:val="000000" w:themeColor="text1"/>
          <w:sz w:val="28"/>
          <w:szCs w:val="28"/>
        </w:rPr>
      </w:pPr>
      <w:r w:rsidRPr="00446890">
        <w:rPr>
          <w:rFonts w:ascii="Arial" w:hAnsi="Arial" w:cs="Arial"/>
          <w:b/>
          <w:sz w:val="28"/>
          <w:szCs w:val="28"/>
        </w:rPr>
        <w:t xml:space="preserve">OCTAVO. </w:t>
      </w:r>
      <w:r w:rsidRPr="00446890">
        <w:rPr>
          <w:rFonts w:ascii="Arial" w:hAnsi="Arial" w:cs="Arial"/>
          <w:bCs/>
          <w:sz w:val="28"/>
          <w:szCs w:val="28"/>
        </w:rPr>
        <w:t>E</w:t>
      </w:r>
      <w:r w:rsidR="00494652" w:rsidRPr="00446890">
        <w:rPr>
          <w:rFonts w:ascii="Arial" w:hAnsi="Arial" w:cs="Arial"/>
          <w:bCs/>
          <w:sz w:val="28"/>
          <w:szCs w:val="28"/>
        </w:rPr>
        <w:t xml:space="preserve">n el </w:t>
      </w:r>
      <w:r w:rsidR="00246929" w:rsidRPr="00446890">
        <w:rPr>
          <w:rFonts w:ascii="Arial" w:hAnsi="Arial" w:cs="Arial"/>
          <w:bCs/>
          <w:sz w:val="28"/>
          <w:szCs w:val="28"/>
        </w:rPr>
        <w:t xml:space="preserve">artículo 39 del </w:t>
      </w:r>
      <w:r w:rsidRPr="00446890">
        <w:rPr>
          <w:rFonts w:ascii="Arial" w:hAnsi="Arial" w:cs="Arial"/>
          <w:bCs/>
          <w:sz w:val="28"/>
          <w:szCs w:val="28"/>
        </w:rPr>
        <w:t xml:space="preserve">Acuerdo General Plenario </w:t>
      </w:r>
      <w:r w:rsidR="00494652" w:rsidRPr="00446890">
        <w:rPr>
          <w:rFonts w:ascii="Arial" w:hAnsi="Arial" w:cs="Arial"/>
          <w:bCs/>
          <w:sz w:val="28"/>
          <w:szCs w:val="28"/>
        </w:rPr>
        <w:t>17/2019, de</w:t>
      </w:r>
      <w:r w:rsidRPr="00446890">
        <w:rPr>
          <w:rFonts w:ascii="Arial" w:hAnsi="Arial" w:cs="Arial"/>
          <w:bCs/>
          <w:sz w:val="28"/>
          <w:szCs w:val="28"/>
        </w:rPr>
        <w:t xml:space="preserve"> veintiocho de noviembre de dos mil </w:t>
      </w:r>
      <w:r w:rsidR="000E7357" w:rsidRPr="00446890">
        <w:rPr>
          <w:rFonts w:ascii="Arial" w:hAnsi="Arial" w:cs="Arial"/>
          <w:bCs/>
          <w:sz w:val="28"/>
          <w:szCs w:val="28"/>
        </w:rPr>
        <w:t>diecinueve</w:t>
      </w:r>
      <w:r w:rsidR="00494652" w:rsidRPr="00446890">
        <w:rPr>
          <w:rFonts w:ascii="Arial" w:hAnsi="Arial" w:cs="Arial"/>
          <w:bCs/>
          <w:sz w:val="28"/>
          <w:szCs w:val="28"/>
        </w:rPr>
        <w:t xml:space="preserve">, </w:t>
      </w:r>
      <w:r w:rsidR="00494652" w:rsidRPr="00446890">
        <w:rPr>
          <w:rFonts w:ascii="Arial" w:hAnsi="Arial" w:cs="Arial"/>
          <w:bCs/>
          <w:color w:val="000000" w:themeColor="text1"/>
          <w:sz w:val="28"/>
          <w:szCs w:val="28"/>
        </w:rPr>
        <w:t>relativo a las reglas para la elaboración, envío y publicación en el Semanario Judicial de la Federación y en su Gaceta, de las tesis que emiten la Suprema Corte de Justicia de la Nación, los Plenos de Circuito y los Tribunales Colegiados de Circuito</w:t>
      </w:r>
      <w:r w:rsidR="00246929" w:rsidRPr="00446890">
        <w:rPr>
          <w:rFonts w:ascii="Arial" w:hAnsi="Arial" w:cs="Arial"/>
          <w:bCs/>
          <w:color w:val="000000" w:themeColor="text1"/>
          <w:sz w:val="28"/>
          <w:szCs w:val="28"/>
        </w:rPr>
        <w:t>, se estableció una nueva metodología para la elaboración de las tesis mediante las cuales se difunden los criterios jurisprudenciales y aislados de los órganos terminales del Poder Judicial de la Federación</w:t>
      </w:r>
      <w:r w:rsidR="00955B20" w:rsidRPr="00446890">
        <w:rPr>
          <w:rFonts w:ascii="Arial" w:hAnsi="Arial" w:cs="Arial"/>
          <w:bCs/>
          <w:color w:val="000000" w:themeColor="text1"/>
          <w:sz w:val="28"/>
          <w:szCs w:val="28"/>
        </w:rPr>
        <w:t xml:space="preserve">, al prever que: </w:t>
      </w:r>
      <w:r w:rsidR="00955B20" w:rsidRPr="00446890">
        <w:rPr>
          <w:rFonts w:ascii="Arial" w:hAnsi="Arial" w:cs="Arial"/>
          <w:bCs/>
          <w:i/>
          <w:iCs/>
          <w:color w:val="000000" w:themeColor="text1"/>
          <w:sz w:val="28"/>
          <w:szCs w:val="28"/>
        </w:rPr>
        <w:t>“(…) La tesis</w:t>
      </w:r>
      <w:r w:rsidR="00955B20" w:rsidRPr="00446890">
        <w:rPr>
          <w:rFonts w:ascii="Arial" w:hAnsi="Arial" w:cs="Arial"/>
          <w:i/>
          <w:iCs/>
          <w:color w:val="000000" w:themeColor="text1"/>
          <w:sz w:val="28"/>
          <w:szCs w:val="28"/>
        </w:rPr>
        <w:t xml:space="preserve"> hace referencia al criterio jurídico para un caso concreto. La tesis debe ser redactada con estructura de una regla, compuesta por un supuesto de hecho que describa las circunstancias fácticas que constituyen el campo de aplicación de la regla y una </w:t>
      </w:r>
      <w:r w:rsidR="00955B20" w:rsidRPr="00446890">
        <w:rPr>
          <w:rFonts w:ascii="Arial" w:hAnsi="Arial" w:cs="Arial"/>
          <w:i/>
          <w:iCs/>
          <w:color w:val="000000" w:themeColor="text1"/>
          <w:sz w:val="28"/>
          <w:szCs w:val="28"/>
        </w:rPr>
        <w:lastRenderedPageBreak/>
        <w:t>consecuencia jurídica donde se establezca la solución normativa. (…)”</w:t>
      </w:r>
      <w:r w:rsidR="00955B20" w:rsidRPr="00446890">
        <w:rPr>
          <w:rFonts w:ascii="Arial" w:hAnsi="Arial" w:cs="Arial"/>
          <w:color w:val="000000" w:themeColor="text1"/>
          <w:sz w:val="28"/>
          <w:szCs w:val="28"/>
        </w:rPr>
        <w:t>, y</w:t>
      </w:r>
    </w:p>
    <w:p w14:paraId="641CC3D7" w14:textId="34187D33" w:rsidR="00494652" w:rsidRPr="00446890" w:rsidRDefault="00494652" w:rsidP="00D41819">
      <w:pPr>
        <w:pStyle w:val="NormalWeb"/>
        <w:spacing w:before="0" w:beforeAutospacing="0" w:after="0" w:afterAutospacing="0" w:line="480" w:lineRule="auto"/>
        <w:ind w:firstLine="720"/>
        <w:jc w:val="both"/>
        <w:rPr>
          <w:rFonts w:ascii="Arial" w:hAnsi="Arial" w:cs="Arial"/>
          <w:bCs/>
          <w:sz w:val="28"/>
          <w:szCs w:val="28"/>
        </w:rPr>
      </w:pPr>
    </w:p>
    <w:p w14:paraId="08B33444" w14:textId="012E25AB" w:rsidR="00AF1CB7" w:rsidRPr="00446890" w:rsidRDefault="00AF1CB7" w:rsidP="00D41819">
      <w:pPr>
        <w:spacing w:after="0" w:line="480" w:lineRule="auto"/>
        <w:ind w:left="142" w:firstLine="708"/>
        <w:jc w:val="both"/>
        <w:rPr>
          <w:rFonts w:ascii="Arial" w:hAnsi="Arial" w:cs="Arial"/>
          <w:bCs/>
          <w:sz w:val="28"/>
          <w:szCs w:val="28"/>
        </w:rPr>
      </w:pPr>
      <w:r w:rsidRPr="00446890">
        <w:rPr>
          <w:rFonts w:ascii="Arial" w:hAnsi="Arial" w:cs="Arial"/>
          <w:b/>
          <w:sz w:val="28"/>
          <w:szCs w:val="28"/>
        </w:rPr>
        <w:t xml:space="preserve">NOVENO. </w:t>
      </w:r>
      <w:r w:rsidRPr="00446890">
        <w:rPr>
          <w:rFonts w:ascii="Arial" w:hAnsi="Arial" w:cs="Arial"/>
          <w:bCs/>
          <w:sz w:val="28"/>
          <w:szCs w:val="28"/>
        </w:rPr>
        <w:t>Tomando en cuenta que en términos de lo previsto en el artículo 94, párrafo décimo segundo, de la Constitución Política de los Estados Unidos Mexicanos las razones que justifiquen las decisiones contenidas en las sentencias dictadas por el Pleno de la Suprema Corte de Justicia de la Nación por mayoría de ocho votos y por la</w:t>
      </w:r>
      <w:r w:rsidR="000A37DB" w:rsidRPr="00446890">
        <w:rPr>
          <w:rFonts w:ascii="Arial" w:hAnsi="Arial" w:cs="Arial"/>
          <w:bCs/>
          <w:sz w:val="28"/>
          <w:szCs w:val="28"/>
        </w:rPr>
        <w:t>s</w:t>
      </w:r>
      <w:r w:rsidRPr="00446890">
        <w:rPr>
          <w:rFonts w:ascii="Arial" w:hAnsi="Arial" w:cs="Arial"/>
          <w:bCs/>
          <w:sz w:val="28"/>
          <w:szCs w:val="28"/>
        </w:rPr>
        <w:t xml:space="preserve"> Salas, por mayoría de cuatro votos, en todos los asuntos de su competencia, son obligatorias para todas </w:t>
      </w:r>
      <w:r w:rsidR="000A37DB" w:rsidRPr="00446890">
        <w:rPr>
          <w:rFonts w:ascii="Arial" w:hAnsi="Arial" w:cs="Arial"/>
          <w:bCs/>
          <w:sz w:val="28"/>
          <w:szCs w:val="28"/>
        </w:rPr>
        <w:t xml:space="preserve">las </w:t>
      </w:r>
      <w:r w:rsidRPr="00446890">
        <w:rPr>
          <w:rFonts w:ascii="Arial" w:hAnsi="Arial" w:cs="Arial"/>
          <w:bCs/>
          <w:sz w:val="28"/>
          <w:szCs w:val="28"/>
        </w:rPr>
        <w:t>autoridades jurisdiccionales de la Federación y de las entidades federativas, así como las ventajas de la nueva metodología para la elaboración de las tesis que permiten su difusión, se estima conveniente que la divulgación de los criterios aprobados en los asuntos resueltos por este Alto Tribunal, diversos a los derivados de los que se rigen por lo previsto en la Ley Reglamentaria de las Fracciones I y II del artículo 105 de la Constitución Política de los Estados Unidos Mexicanos, se continúe realizando mediante la redacción de las tesis respectivas.</w:t>
      </w:r>
    </w:p>
    <w:p w14:paraId="18C81169" w14:textId="77777777" w:rsidR="00AF1CB7" w:rsidRPr="00446890" w:rsidRDefault="00AF1CB7" w:rsidP="00D41819">
      <w:pPr>
        <w:pStyle w:val="NormalWeb"/>
        <w:spacing w:before="0" w:beforeAutospacing="0" w:after="0" w:afterAutospacing="0" w:line="480" w:lineRule="auto"/>
        <w:ind w:left="142" w:firstLine="709"/>
        <w:jc w:val="both"/>
        <w:rPr>
          <w:rFonts w:ascii="Arial" w:hAnsi="Arial" w:cs="Arial"/>
          <w:b/>
          <w:sz w:val="28"/>
          <w:szCs w:val="28"/>
        </w:rPr>
      </w:pPr>
    </w:p>
    <w:p w14:paraId="7FBF9A8D" w14:textId="6F807038" w:rsidR="00EF6BDC" w:rsidRPr="00446890" w:rsidRDefault="00EF6BDC" w:rsidP="00D41819">
      <w:pPr>
        <w:pStyle w:val="NormalWeb"/>
        <w:spacing w:before="0" w:beforeAutospacing="0" w:after="0" w:afterAutospacing="0" w:line="480" w:lineRule="auto"/>
        <w:ind w:left="142" w:firstLine="709"/>
        <w:jc w:val="both"/>
        <w:rPr>
          <w:rFonts w:ascii="Arial" w:hAnsi="Arial" w:cs="Arial"/>
          <w:b/>
          <w:sz w:val="28"/>
          <w:szCs w:val="28"/>
        </w:rPr>
      </w:pPr>
      <w:r w:rsidRPr="00446890">
        <w:rPr>
          <w:rFonts w:ascii="Arial" w:hAnsi="Arial" w:cs="Arial"/>
          <w:sz w:val="28"/>
          <w:szCs w:val="28"/>
        </w:rPr>
        <w:lastRenderedPageBreak/>
        <w:t xml:space="preserve">En consecuencia, con fundamento </w:t>
      </w:r>
      <w:r w:rsidR="007C1CA3" w:rsidRPr="00446890">
        <w:rPr>
          <w:rFonts w:ascii="Arial" w:hAnsi="Arial" w:cs="Arial"/>
          <w:sz w:val="28"/>
          <w:szCs w:val="28"/>
        </w:rPr>
        <w:t xml:space="preserve">en lo antes señalado y en el artículo 11, fracción XXI, de la Ley Orgánica del Poder Judicial de la Federación, el Pleno de la Suprema </w:t>
      </w:r>
      <w:r w:rsidR="006B3C91" w:rsidRPr="00446890">
        <w:rPr>
          <w:rFonts w:ascii="Arial" w:hAnsi="Arial" w:cs="Arial"/>
          <w:sz w:val="28"/>
          <w:szCs w:val="28"/>
        </w:rPr>
        <w:t xml:space="preserve">Corte de Justicia de la Nación </w:t>
      </w:r>
      <w:r w:rsidR="007C1CA3" w:rsidRPr="00446890">
        <w:rPr>
          <w:rFonts w:ascii="Arial" w:hAnsi="Arial" w:cs="Arial"/>
          <w:sz w:val="28"/>
          <w:szCs w:val="28"/>
        </w:rPr>
        <w:t>expide el siguiente:</w:t>
      </w:r>
    </w:p>
    <w:p w14:paraId="74990F9A" w14:textId="77777777" w:rsidR="007008D5" w:rsidRPr="00446890" w:rsidRDefault="007008D5" w:rsidP="00D41819">
      <w:pPr>
        <w:pStyle w:val="Estilo"/>
        <w:spacing w:line="480" w:lineRule="auto"/>
        <w:jc w:val="center"/>
        <w:rPr>
          <w:rFonts w:cs="Arial"/>
          <w:b/>
          <w:sz w:val="28"/>
          <w:szCs w:val="28"/>
        </w:rPr>
      </w:pPr>
    </w:p>
    <w:p w14:paraId="2EF874DE" w14:textId="77777777" w:rsidR="006A1343" w:rsidRPr="00446890" w:rsidRDefault="000A3A2E" w:rsidP="00D41819">
      <w:pPr>
        <w:pStyle w:val="NormalWeb"/>
        <w:spacing w:before="0" w:beforeAutospacing="0" w:after="0" w:afterAutospacing="0" w:line="480" w:lineRule="auto"/>
        <w:ind w:left="142" w:firstLine="709"/>
        <w:jc w:val="center"/>
        <w:rPr>
          <w:rFonts w:ascii="Arial" w:hAnsi="Arial" w:cs="Arial"/>
          <w:b/>
          <w:sz w:val="28"/>
          <w:szCs w:val="28"/>
        </w:rPr>
      </w:pPr>
      <w:r w:rsidRPr="00446890">
        <w:rPr>
          <w:rFonts w:ascii="Arial" w:hAnsi="Arial" w:cs="Arial"/>
          <w:b/>
          <w:sz w:val="28"/>
          <w:szCs w:val="28"/>
        </w:rPr>
        <w:t>ACUERDO:</w:t>
      </w:r>
    </w:p>
    <w:p w14:paraId="0CA82E1C" w14:textId="31663A1E" w:rsidR="00D73CF0" w:rsidRPr="00446890" w:rsidRDefault="00D73CF0" w:rsidP="00D41819">
      <w:pPr>
        <w:pStyle w:val="Estilo"/>
        <w:spacing w:line="480" w:lineRule="auto"/>
        <w:jc w:val="center"/>
        <w:rPr>
          <w:rFonts w:cs="Arial"/>
          <w:b/>
          <w:sz w:val="28"/>
          <w:szCs w:val="28"/>
        </w:rPr>
      </w:pPr>
    </w:p>
    <w:p w14:paraId="7D378159" w14:textId="594A723F" w:rsidR="00BB7691" w:rsidRPr="00446890" w:rsidRDefault="00BB7691" w:rsidP="00D41819">
      <w:pPr>
        <w:spacing w:after="0" w:line="480" w:lineRule="auto"/>
        <w:ind w:left="142" w:firstLine="708"/>
        <w:jc w:val="both"/>
        <w:rPr>
          <w:rFonts w:ascii="Arial" w:hAnsi="Arial" w:cs="Arial"/>
          <w:b/>
          <w:bCs/>
          <w:color w:val="000000"/>
          <w:sz w:val="28"/>
          <w:szCs w:val="28"/>
          <w:lang w:eastAsia="es-MX"/>
        </w:rPr>
      </w:pPr>
      <w:r w:rsidRPr="00446890">
        <w:rPr>
          <w:rFonts w:ascii="Arial" w:hAnsi="Arial" w:cs="Arial"/>
          <w:b/>
          <w:sz w:val="28"/>
          <w:szCs w:val="28"/>
        </w:rPr>
        <w:t>PRIMERO.</w:t>
      </w:r>
      <w:r w:rsidRPr="00446890">
        <w:rPr>
          <w:rFonts w:ascii="Arial" w:hAnsi="Arial" w:cs="Arial"/>
          <w:sz w:val="28"/>
          <w:szCs w:val="28"/>
        </w:rPr>
        <w:t xml:space="preserve"> </w:t>
      </w:r>
      <w:r w:rsidRPr="00446890">
        <w:rPr>
          <w:rFonts w:ascii="Arial" w:hAnsi="Arial" w:cs="Arial"/>
          <w:sz w:val="28"/>
          <w:szCs w:val="28"/>
          <w:lang w:eastAsia="es-MX"/>
        </w:rPr>
        <w:t xml:space="preserve">La </w:t>
      </w:r>
      <w:r w:rsidR="007E4DFE" w:rsidRPr="00446890">
        <w:rPr>
          <w:rFonts w:ascii="Arial" w:hAnsi="Arial" w:cs="Arial"/>
          <w:sz w:val="28"/>
          <w:szCs w:val="28"/>
          <w:lang w:eastAsia="es-MX"/>
        </w:rPr>
        <w:t xml:space="preserve">Undécima </w:t>
      </w:r>
      <w:r w:rsidRPr="00446890">
        <w:rPr>
          <w:rFonts w:ascii="Arial" w:hAnsi="Arial" w:cs="Arial"/>
          <w:sz w:val="28"/>
          <w:szCs w:val="28"/>
          <w:lang w:eastAsia="es-MX"/>
        </w:rPr>
        <w:t xml:space="preserve">Época del Semanario Judicial de la Federación se iniciará </w:t>
      </w:r>
      <w:r w:rsidR="003013EB" w:rsidRPr="00446890">
        <w:rPr>
          <w:rFonts w:ascii="Arial" w:hAnsi="Arial" w:cs="Arial"/>
          <w:sz w:val="28"/>
          <w:szCs w:val="28"/>
          <w:lang w:eastAsia="es-MX"/>
        </w:rPr>
        <w:t>el primero de mayo de dos mil veintiuno.</w:t>
      </w:r>
    </w:p>
    <w:p w14:paraId="2469E524" w14:textId="77777777" w:rsidR="00A01284" w:rsidRPr="00446890" w:rsidRDefault="00A01284" w:rsidP="00D41819">
      <w:pPr>
        <w:spacing w:after="0" w:line="480" w:lineRule="auto"/>
        <w:ind w:left="142" w:firstLine="708"/>
        <w:jc w:val="both"/>
        <w:rPr>
          <w:rFonts w:ascii="Arial" w:hAnsi="Arial" w:cs="Arial"/>
          <w:sz w:val="28"/>
          <w:szCs w:val="28"/>
          <w:lang w:eastAsia="es-MX"/>
        </w:rPr>
      </w:pPr>
    </w:p>
    <w:p w14:paraId="4E5E2ED1" w14:textId="752059FF" w:rsidR="00A01284" w:rsidRPr="00446890" w:rsidRDefault="00A01284" w:rsidP="00D41819">
      <w:pPr>
        <w:spacing w:after="0" w:line="480" w:lineRule="auto"/>
        <w:ind w:left="142" w:firstLine="708"/>
        <w:jc w:val="both"/>
        <w:rPr>
          <w:rFonts w:ascii="Arial" w:hAnsi="Arial" w:cs="Arial"/>
          <w:color w:val="000000"/>
          <w:sz w:val="28"/>
          <w:szCs w:val="28"/>
          <w:lang w:eastAsia="es-MX"/>
        </w:rPr>
      </w:pPr>
      <w:r w:rsidRPr="00446890">
        <w:rPr>
          <w:rFonts w:ascii="Arial" w:hAnsi="Arial" w:cs="Arial"/>
          <w:b/>
          <w:bCs/>
          <w:sz w:val="28"/>
          <w:szCs w:val="28"/>
          <w:lang w:eastAsia="es-MX"/>
        </w:rPr>
        <w:t xml:space="preserve">SEGUNDO. </w:t>
      </w:r>
      <w:r w:rsidRPr="00446890">
        <w:rPr>
          <w:rFonts w:ascii="Arial" w:hAnsi="Arial" w:cs="Arial"/>
          <w:color w:val="000000"/>
          <w:sz w:val="28"/>
          <w:szCs w:val="28"/>
          <w:lang w:eastAsia="es-MX"/>
        </w:rPr>
        <w:t xml:space="preserve">Las razones que justifiquen las decisiones contenidas en las sentencias dictadas a partir de la entrada en vigor de este Acuerdo General, por el Pleno de la Suprema Corte de Justicia de la Nación por mayoría de ocho votos, y por las Salas, por mayoría de cuatro votos, en la totalidad de los asuntos de su competencia, serán obligatorias para todas las autoridades jurisdiccionales de la Federación y de las entidades federativas, en los términos precisados en el </w:t>
      </w:r>
      <w:r w:rsidR="007B72F2" w:rsidRPr="00446890">
        <w:rPr>
          <w:rFonts w:ascii="Arial" w:hAnsi="Arial" w:cs="Arial"/>
          <w:color w:val="000000"/>
          <w:sz w:val="28"/>
          <w:szCs w:val="28"/>
          <w:lang w:eastAsia="es-MX"/>
        </w:rPr>
        <w:t>P</w:t>
      </w:r>
      <w:r w:rsidRPr="00446890">
        <w:rPr>
          <w:rFonts w:ascii="Arial" w:hAnsi="Arial" w:cs="Arial"/>
          <w:color w:val="000000"/>
          <w:sz w:val="28"/>
          <w:szCs w:val="28"/>
          <w:lang w:eastAsia="es-MX"/>
        </w:rPr>
        <w:t>unto</w:t>
      </w:r>
      <w:r w:rsidR="0069633D" w:rsidRPr="00446890">
        <w:rPr>
          <w:rFonts w:ascii="Arial" w:hAnsi="Arial" w:cs="Arial"/>
          <w:color w:val="000000"/>
          <w:sz w:val="28"/>
          <w:szCs w:val="28"/>
          <w:lang w:eastAsia="es-MX"/>
        </w:rPr>
        <w:t xml:space="preserve"> Noveno</w:t>
      </w:r>
      <w:r w:rsidRPr="00446890">
        <w:rPr>
          <w:rFonts w:ascii="Arial" w:hAnsi="Arial" w:cs="Arial"/>
          <w:color w:val="000000"/>
          <w:sz w:val="28"/>
          <w:szCs w:val="28"/>
          <w:lang w:eastAsia="es-MX"/>
        </w:rPr>
        <w:t xml:space="preserve"> de</w:t>
      </w:r>
      <w:r w:rsidR="00E33CD8" w:rsidRPr="00446890">
        <w:rPr>
          <w:rFonts w:ascii="Arial" w:hAnsi="Arial" w:cs="Arial"/>
          <w:color w:val="000000"/>
          <w:sz w:val="28"/>
          <w:szCs w:val="28"/>
          <w:lang w:eastAsia="es-MX"/>
        </w:rPr>
        <w:t>l presente</w:t>
      </w:r>
      <w:r w:rsidRPr="00446890">
        <w:rPr>
          <w:rFonts w:ascii="Arial" w:hAnsi="Arial" w:cs="Arial"/>
          <w:color w:val="000000"/>
          <w:sz w:val="28"/>
          <w:szCs w:val="28"/>
          <w:lang w:eastAsia="es-MX"/>
        </w:rPr>
        <w:t xml:space="preserve"> Acuerdo General.</w:t>
      </w:r>
    </w:p>
    <w:p w14:paraId="6E03A565" w14:textId="77777777" w:rsidR="00A01284" w:rsidRPr="00446890" w:rsidRDefault="00A01284" w:rsidP="00D41819">
      <w:pPr>
        <w:pStyle w:val="Estilo"/>
        <w:spacing w:line="480" w:lineRule="auto"/>
        <w:rPr>
          <w:rFonts w:cs="Arial"/>
          <w:b/>
          <w:sz w:val="28"/>
          <w:szCs w:val="28"/>
        </w:rPr>
      </w:pPr>
    </w:p>
    <w:p w14:paraId="2AFDAA43" w14:textId="7FDC7E63" w:rsidR="006A1343" w:rsidRPr="00446890" w:rsidRDefault="00A01284"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lastRenderedPageBreak/>
        <w:t>TERCERO</w:t>
      </w:r>
      <w:r w:rsidR="000A3A2E" w:rsidRPr="00446890">
        <w:rPr>
          <w:rFonts w:ascii="Arial" w:hAnsi="Arial" w:cs="Arial"/>
          <w:b/>
          <w:sz w:val="28"/>
          <w:szCs w:val="28"/>
        </w:rPr>
        <w:t xml:space="preserve">. </w:t>
      </w:r>
      <w:r w:rsidR="00FD5D1B" w:rsidRPr="00446890">
        <w:rPr>
          <w:rFonts w:ascii="Arial" w:hAnsi="Arial" w:cs="Arial"/>
          <w:sz w:val="28"/>
          <w:szCs w:val="28"/>
        </w:rPr>
        <w:t>E</w:t>
      </w:r>
      <w:r w:rsidR="000A3A2E" w:rsidRPr="00446890">
        <w:rPr>
          <w:rFonts w:ascii="Arial" w:hAnsi="Arial" w:cs="Arial"/>
          <w:sz w:val="28"/>
          <w:szCs w:val="28"/>
        </w:rPr>
        <w:t xml:space="preserve">l Semanario Judicial de la Federación </w:t>
      </w:r>
      <w:r w:rsidR="00FD5D1B" w:rsidRPr="00446890">
        <w:rPr>
          <w:rFonts w:ascii="Arial" w:hAnsi="Arial" w:cs="Arial"/>
          <w:sz w:val="28"/>
          <w:szCs w:val="28"/>
        </w:rPr>
        <w:t>es</w:t>
      </w:r>
      <w:r w:rsidR="000A3A2E" w:rsidRPr="00446890">
        <w:rPr>
          <w:rFonts w:ascii="Arial" w:hAnsi="Arial" w:cs="Arial"/>
          <w:sz w:val="28"/>
          <w:szCs w:val="28"/>
        </w:rPr>
        <w:t xml:space="preserve"> un sistema digital de compilación</w:t>
      </w:r>
      <w:r w:rsidR="00AC6E6C" w:rsidRPr="00446890">
        <w:rPr>
          <w:rFonts w:ascii="Arial" w:hAnsi="Arial" w:cs="Arial"/>
          <w:sz w:val="28"/>
          <w:szCs w:val="28"/>
        </w:rPr>
        <w:t>, sistematización</w:t>
      </w:r>
      <w:r w:rsidR="000A3A2E" w:rsidRPr="00446890">
        <w:rPr>
          <w:rFonts w:ascii="Arial" w:hAnsi="Arial" w:cs="Arial"/>
          <w:sz w:val="28"/>
          <w:szCs w:val="28"/>
        </w:rPr>
        <w:t xml:space="preserve"> y difusión de </w:t>
      </w:r>
      <w:r w:rsidR="007E4DFE" w:rsidRPr="00446890">
        <w:rPr>
          <w:rFonts w:ascii="Arial" w:hAnsi="Arial" w:cs="Arial"/>
          <w:sz w:val="28"/>
          <w:szCs w:val="28"/>
        </w:rPr>
        <w:t xml:space="preserve">los criterios obligatorios y relevantes </w:t>
      </w:r>
      <w:r w:rsidR="000A3A2E" w:rsidRPr="00446890">
        <w:rPr>
          <w:rFonts w:ascii="Arial" w:hAnsi="Arial" w:cs="Arial"/>
          <w:sz w:val="28"/>
          <w:szCs w:val="28"/>
        </w:rPr>
        <w:t>emitid</w:t>
      </w:r>
      <w:r w:rsidR="007E4DFE" w:rsidRPr="00446890">
        <w:rPr>
          <w:rFonts w:ascii="Arial" w:hAnsi="Arial" w:cs="Arial"/>
          <w:sz w:val="28"/>
          <w:szCs w:val="28"/>
        </w:rPr>
        <w:t>o</w:t>
      </w:r>
      <w:r w:rsidR="000A3A2E" w:rsidRPr="00446890">
        <w:rPr>
          <w:rFonts w:ascii="Arial" w:hAnsi="Arial" w:cs="Arial"/>
          <w:sz w:val="28"/>
          <w:szCs w:val="28"/>
        </w:rPr>
        <w:t xml:space="preserve">s por los órganos </w:t>
      </w:r>
      <w:r w:rsidR="00AC6E6C" w:rsidRPr="00446890">
        <w:rPr>
          <w:rFonts w:ascii="Arial" w:hAnsi="Arial" w:cs="Arial"/>
          <w:sz w:val="28"/>
          <w:szCs w:val="28"/>
        </w:rPr>
        <w:t xml:space="preserve">competentes </w:t>
      </w:r>
      <w:r w:rsidR="000A3A2E" w:rsidRPr="00446890">
        <w:rPr>
          <w:rFonts w:ascii="Arial" w:hAnsi="Arial" w:cs="Arial"/>
          <w:sz w:val="28"/>
          <w:szCs w:val="28"/>
        </w:rPr>
        <w:t>del Poder Judicial de la Federación</w:t>
      </w:r>
      <w:r w:rsidR="007E4DFE" w:rsidRPr="00446890">
        <w:rPr>
          <w:rFonts w:ascii="Arial" w:hAnsi="Arial" w:cs="Arial"/>
          <w:sz w:val="28"/>
          <w:szCs w:val="28"/>
        </w:rPr>
        <w:t>, a través de la publicación semanal de tesis jurisprudenciales, tesis aisladas y sentencias en</w:t>
      </w:r>
      <w:r w:rsidR="000A7ACA" w:rsidRPr="00446890">
        <w:rPr>
          <w:rFonts w:ascii="Arial" w:hAnsi="Arial" w:cs="Arial"/>
          <w:sz w:val="28"/>
          <w:szCs w:val="28"/>
        </w:rPr>
        <w:t xml:space="preserve"> la página de Internet de la Suprema Corte de Justicia de la Nación</w:t>
      </w:r>
      <w:r w:rsidR="000A3A2E" w:rsidRPr="00446890">
        <w:rPr>
          <w:rFonts w:ascii="Arial" w:hAnsi="Arial" w:cs="Arial"/>
          <w:sz w:val="28"/>
          <w:szCs w:val="28"/>
        </w:rPr>
        <w:t>.</w:t>
      </w:r>
    </w:p>
    <w:p w14:paraId="0B6AFE5B" w14:textId="77777777" w:rsidR="00EC5468" w:rsidRDefault="00EC5468" w:rsidP="00D41819">
      <w:pPr>
        <w:pStyle w:val="NormalWeb"/>
        <w:spacing w:before="0" w:beforeAutospacing="0" w:after="0" w:afterAutospacing="0" w:line="480" w:lineRule="auto"/>
        <w:ind w:left="142" w:firstLine="709"/>
        <w:jc w:val="both"/>
        <w:rPr>
          <w:rFonts w:ascii="Arial" w:hAnsi="Arial" w:cs="Arial"/>
          <w:sz w:val="28"/>
          <w:szCs w:val="28"/>
        </w:rPr>
      </w:pPr>
    </w:p>
    <w:p w14:paraId="3159F8E4" w14:textId="0FAA1818" w:rsidR="004311DE" w:rsidRPr="00446890" w:rsidRDefault="004311DE"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sz w:val="28"/>
          <w:szCs w:val="28"/>
        </w:rPr>
        <w:t>La Gaceta del Semanario Judicial de la Federación se publicará de manera electrónica mensualmente</w:t>
      </w:r>
      <w:r w:rsidR="006B3C91" w:rsidRPr="00446890">
        <w:rPr>
          <w:rFonts w:ascii="Arial" w:hAnsi="Arial" w:cs="Arial"/>
          <w:sz w:val="28"/>
          <w:szCs w:val="28"/>
        </w:rPr>
        <w:t xml:space="preserve"> y contendrá la información señalada en el párrafo anterior, </w:t>
      </w:r>
      <w:r w:rsidR="00EA60A7" w:rsidRPr="00446890">
        <w:rPr>
          <w:rFonts w:ascii="Arial" w:hAnsi="Arial" w:cs="Arial"/>
          <w:sz w:val="28"/>
          <w:szCs w:val="28"/>
        </w:rPr>
        <w:t>así como la normativa,</w:t>
      </w:r>
      <w:r w:rsidR="006B3C91" w:rsidRPr="00446890">
        <w:rPr>
          <w:rFonts w:ascii="Arial" w:hAnsi="Arial" w:cs="Arial"/>
          <w:sz w:val="28"/>
          <w:szCs w:val="28"/>
        </w:rPr>
        <w:t xml:space="preserve"> acuerdos y demás información que se ordene publicar</w:t>
      </w:r>
      <w:r w:rsidR="00D73CF0" w:rsidRPr="00446890">
        <w:rPr>
          <w:rFonts w:ascii="Arial" w:hAnsi="Arial" w:cs="Arial"/>
          <w:sz w:val="28"/>
          <w:szCs w:val="28"/>
        </w:rPr>
        <w:t>.</w:t>
      </w:r>
    </w:p>
    <w:p w14:paraId="63AE0D61" w14:textId="77777777" w:rsidR="004311DE" w:rsidRPr="00446890" w:rsidRDefault="004311DE" w:rsidP="00D41819">
      <w:pPr>
        <w:pStyle w:val="Estilo"/>
        <w:spacing w:line="480" w:lineRule="auto"/>
        <w:rPr>
          <w:rFonts w:cs="Arial"/>
          <w:sz w:val="28"/>
          <w:szCs w:val="28"/>
        </w:rPr>
      </w:pPr>
    </w:p>
    <w:p w14:paraId="2F46D75A" w14:textId="1B1D70A5" w:rsidR="006523C9" w:rsidRPr="00446890" w:rsidRDefault="006523C9"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CUARTO</w:t>
      </w:r>
      <w:r w:rsidRPr="00446890">
        <w:rPr>
          <w:rFonts w:ascii="Arial" w:hAnsi="Arial" w:cs="Arial"/>
          <w:b/>
          <w:bCs/>
          <w:sz w:val="28"/>
          <w:szCs w:val="28"/>
        </w:rPr>
        <w:t>.</w:t>
      </w:r>
      <w:r w:rsidRPr="00446890">
        <w:rPr>
          <w:rFonts w:ascii="Arial" w:hAnsi="Arial" w:cs="Arial"/>
          <w:sz w:val="28"/>
          <w:szCs w:val="28"/>
        </w:rPr>
        <w:t xml:space="preserve"> Los viernes de cada semana se publicarán las tesis jurisprudenciales y aisladas del Pleno de la Suprema Corte de Justicia de la Nación, de sus Salas, de los Plenos Regionales y de los Tribunales Colegiados de Circuito; </w:t>
      </w:r>
      <w:r w:rsidR="00DC1BC4" w:rsidRPr="00446890">
        <w:rPr>
          <w:rFonts w:ascii="Arial" w:hAnsi="Arial" w:cs="Arial"/>
          <w:sz w:val="28"/>
          <w:szCs w:val="28"/>
        </w:rPr>
        <w:t xml:space="preserve">así como las sentencias </w:t>
      </w:r>
      <w:r w:rsidRPr="00446890">
        <w:rPr>
          <w:rFonts w:ascii="Arial" w:hAnsi="Arial" w:cs="Arial"/>
          <w:sz w:val="28"/>
          <w:szCs w:val="28"/>
        </w:rPr>
        <w:t xml:space="preserve">dictadas en controversias constitucionales, en acciones de inconstitucionalidad y en declaratorias generales de inconstitucionalidad, recibidas hasta las quince horas del miércoles de la misma semana, que cumplan con los requisitos necesarios para su </w:t>
      </w:r>
      <w:r w:rsidRPr="00446890">
        <w:rPr>
          <w:rFonts w:ascii="Arial" w:hAnsi="Arial" w:cs="Arial"/>
          <w:sz w:val="28"/>
          <w:szCs w:val="28"/>
        </w:rPr>
        <w:lastRenderedPageBreak/>
        <w:t>publicación, así como la demás información que se estime pertinente difundir a través de dicho medio digital.</w:t>
      </w:r>
    </w:p>
    <w:p w14:paraId="7F2BEC70" w14:textId="77777777" w:rsidR="004A48AD" w:rsidRPr="00446890" w:rsidRDefault="004A48AD" w:rsidP="00D41819">
      <w:pPr>
        <w:pStyle w:val="Estilo"/>
        <w:spacing w:line="480" w:lineRule="auto"/>
        <w:rPr>
          <w:rFonts w:cs="Arial"/>
          <w:sz w:val="28"/>
          <w:szCs w:val="28"/>
          <w:lang w:val="es-ES"/>
        </w:rPr>
      </w:pPr>
    </w:p>
    <w:p w14:paraId="531A7993" w14:textId="36322101" w:rsidR="004A48AD" w:rsidRPr="00446890" w:rsidRDefault="004A48AD"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sz w:val="28"/>
          <w:szCs w:val="28"/>
        </w:rPr>
        <w:t xml:space="preserve">Si el viernes es inhábil, el Semanario Judicial de la Federación se publicará el viernes siguiente. Si el miércoles a que se refiere el párrafo anterior es inhábil en términos de lo previsto en los artículos 19 de la Ley de Amparo y 163 de la Ley Orgánica del Poder Judicial de la Federación, o cuando el Pleno de la Suprema Corte de Justicia de la Nación así lo determine, se incorporarán al Semanario Judicial de la Federación las tesis </w:t>
      </w:r>
      <w:r w:rsidR="0069633D" w:rsidRPr="00446890">
        <w:rPr>
          <w:rFonts w:ascii="Arial" w:hAnsi="Arial" w:cs="Arial"/>
          <w:sz w:val="28"/>
          <w:szCs w:val="28"/>
        </w:rPr>
        <w:t xml:space="preserve">y las </w:t>
      </w:r>
      <w:r w:rsidR="00DC1BC4" w:rsidRPr="00446890">
        <w:rPr>
          <w:rFonts w:ascii="Arial" w:hAnsi="Arial" w:cs="Arial"/>
          <w:sz w:val="28"/>
          <w:szCs w:val="28"/>
        </w:rPr>
        <w:t xml:space="preserve">sentencias </w:t>
      </w:r>
      <w:r w:rsidRPr="00446890">
        <w:rPr>
          <w:rFonts w:ascii="Arial" w:hAnsi="Arial" w:cs="Arial"/>
          <w:sz w:val="28"/>
          <w:szCs w:val="28"/>
        </w:rPr>
        <w:t>recibidas hasta las quince horas del día hábil anterior.</w:t>
      </w:r>
    </w:p>
    <w:p w14:paraId="39B6E407" w14:textId="77777777" w:rsidR="008974F0" w:rsidRPr="00446890" w:rsidRDefault="008974F0" w:rsidP="00D41819">
      <w:pPr>
        <w:pStyle w:val="Estilo"/>
        <w:spacing w:line="480" w:lineRule="auto"/>
        <w:rPr>
          <w:rFonts w:cs="Arial"/>
          <w:b/>
          <w:sz w:val="28"/>
          <w:szCs w:val="28"/>
        </w:rPr>
      </w:pPr>
    </w:p>
    <w:p w14:paraId="3856C266" w14:textId="5E9EDFD6" w:rsidR="006A1343" w:rsidRPr="00446890" w:rsidRDefault="00E72FE0"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QUINTO</w:t>
      </w:r>
      <w:r w:rsidR="000A3A2E" w:rsidRPr="00446890">
        <w:rPr>
          <w:rFonts w:ascii="Arial" w:hAnsi="Arial" w:cs="Arial"/>
          <w:b/>
          <w:sz w:val="28"/>
          <w:szCs w:val="28"/>
        </w:rPr>
        <w:t>.</w:t>
      </w:r>
      <w:r w:rsidR="000A3A2E" w:rsidRPr="00446890">
        <w:rPr>
          <w:rFonts w:ascii="Arial" w:hAnsi="Arial" w:cs="Arial"/>
          <w:sz w:val="28"/>
          <w:szCs w:val="28"/>
        </w:rPr>
        <w:t xml:space="preserve"> En el Semanario Judicial de la Federación</w:t>
      </w:r>
      <w:r w:rsidR="004C0429" w:rsidRPr="00446890">
        <w:rPr>
          <w:rFonts w:ascii="Arial" w:hAnsi="Arial" w:cs="Arial"/>
          <w:sz w:val="28"/>
          <w:szCs w:val="28"/>
        </w:rPr>
        <w:t xml:space="preserve"> y en su Gaceta</w:t>
      </w:r>
      <w:r w:rsidR="000A3A2E" w:rsidRPr="00446890">
        <w:rPr>
          <w:rFonts w:ascii="Arial" w:hAnsi="Arial" w:cs="Arial"/>
          <w:sz w:val="28"/>
          <w:szCs w:val="28"/>
        </w:rPr>
        <w:t xml:space="preserve"> se sistematizará la información </w:t>
      </w:r>
      <w:r w:rsidR="00A62BC4" w:rsidRPr="00446890">
        <w:rPr>
          <w:rFonts w:ascii="Arial" w:hAnsi="Arial" w:cs="Arial"/>
          <w:sz w:val="28"/>
          <w:szCs w:val="28"/>
        </w:rPr>
        <w:t>conforme a</w:t>
      </w:r>
      <w:r w:rsidR="009721A5" w:rsidRPr="00446890">
        <w:rPr>
          <w:rFonts w:ascii="Arial" w:hAnsi="Arial" w:cs="Arial"/>
          <w:sz w:val="28"/>
          <w:szCs w:val="28"/>
        </w:rPr>
        <w:t xml:space="preserve"> lo</w:t>
      </w:r>
      <w:r w:rsidR="00A62BC4" w:rsidRPr="00446890">
        <w:rPr>
          <w:rFonts w:ascii="Arial" w:hAnsi="Arial" w:cs="Arial"/>
          <w:sz w:val="28"/>
          <w:szCs w:val="28"/>
        </w:rPr>
        <w:t xml:space="preserve"> siguiente</w:t>
      </w:r>
      <w:r w:rsidR="000A3A2E" w:rsidRPr="00446890">
        <w:rPr>
          <w:rFonts w:ascii="Arial" w:hAnsi="Arial" w:cs="Arial"/>
          <w:sz w:val="28"/>
          <w:szCs w:val="28"/>
        </w:rPr>
        <w:t>:</w:t>
      </w:r>
    </w:p>
    <w:p w14:paraId="736CA56F" w14:textId="77777777" w:rsidR="00095D3D" w:rsidRPr="00446890" w:rsidRDefault="00095D3D" w:rsidP="00D41819">
      <w:pPr>
        <w:pStyle w:val="Estilo"/>
        <w:spacing w:line="480" w:lineRule="auto"/>
        <w:rPr>
          <w:rFonts w:cs="Arial"/>
          <w:sz w:val="28"/>
          <w:szCs w:val="28"/>
        </w:rPr>
      </w:pPr>
    </w:p>
    <w:p w14:paraId="2A13801F"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Primera Parte.</w:t>
      </w:r>
      <w:r w:rsidRPr="00446890">
        <w:rPr>
          <w:rFonts w:cs="Arial"/>
          <w:sz w:val="28"/>
          <w:szCs w:val="28"/>
        </w:rPr>
        <w:t xml:space="preserve"> Pleno de la Suprema Corte de Justicia de la Nación.</w:t>
      </w:r>
    </w:p>
    <w:p w14:paraId="4926F536" w14:textId="77777777" w:rsidR="00626DDD" w:rsidRPr="00446890" w:rsidRDefault="00626DDD" w:rsidP="00D41819">
      <w:pPr>
        <w:pStyle w:val="Estilo"/>
        <w:spacing w:line="480" w:lineRule="auto"/>
        <w:rPr>
          <w:rFonts w:cs="Arial"/>
          <w:sz w:val="28"/>
          <w:szCs w:val="28"/>
        </w:rPr>
      </w:pPr>
    </w:p>
    <w:p w14:paraId="7699EB2F"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Sección Primera.</w:t>
      </w:r>
      <w:r w:rsidRPr="00446890">
        <w:rPr>
          <w:rFonts w:cs="Arial"/>
          <w:sz w:val="28"/>
          <w:szCs w:val="28"/>
        </w:rPr>
        <w:t xml:space="preserve"> Jurisprudencia.</w:t>
      </w:r>
    </w:p>
    <w:p w14:paraId="09E070B9" w14:textId="14F799F1" w:rsidR="00A62BC4" w:rsidRPr="00446890" w:rsidRDefault="00A62BC4" w:rsidP="00D41819">
      <w:pPr>
        <w:pStyle w:val="Estilo"/>
        <w:spacing w:line="480" w:lineRule="auto"/>
        <w:rPr>
          <w:rFonts w:cs="Arial"/>
          <w:color w:val="000000" w:themeColor="text1"/>
          <w:sz w:val="28"/>
          <w:szCs w:val="28"/>
        </w:rPr>
      </w:pPr>
      <w:r w:rsidRPr="00446890">
        <w:rPr>
          <w:rFonts w:cs="Arial"/>
          <w:i/>
          <w:iCs/>
          <w:color w:val="000000" w:themeColor="text1"/>
          <w:sz w:val="28"/>
          <w:szCs w:val="28"/>
        </w:rPr>
        <w:t>Subsección 1.</w:t>
      </w:r>
      <w:r w:rsidRPr="00446890">
        <w:rPr>
          <w:rFonts w:cs="Arial"/>
          <w:color w:val="000000" w:themeColor="text1"/>
          <w:sz w:val="28"/>
          <w:szCs w:val="28"/>
        </w:rPr>
        <w:t xml:space="preserve"> Por</w:t>
      </w:r>
      <w:r w:rsidR="0069633D" w:rsidRPr="00446890">
        <w:rPr>
          <w:rFonts w:cs="Arial"/>
          <w:color w:val="000000" w:themeColor="text1"/>
          <w:sz w:val="28"/>
          <w:szCs w:val="28"/>
        </w:rPr>
        <w:t xml:space="preserve"> precedentes</w:t>
      </w:r>
      <w:r w:rsidRPr="00446890">
        <w:rPr>
          <w:rFonts w:cs="Arial"/>
          <w:color w:val="000000" w:themeColor="text1"/>
          <w:sz w:val="28"/>
          <w:szCs w:val="28"/>
        </w:rPr>
        <w:t>.</w:t>
      </w:r>
    </w:p>
    <w:p w14:paraId="02512C6C" w14:textId="76520685" w:rsidR="00A62BC4" w:rsidRPr="00446890" w:rsidRDefault="00A62BC4" w:rsidP="00D41819">
      <w:pPr>
        <w:pStyle w:val="Estilo"/>
        <w:spacing w:line="480" w:lineRule="auto"/>
        <w:rPr>
          <w:rFonts w:cs="Arial"/>
          <w:color w:val="000000" w:themeColor="text1"/>
          <w:sz w:val="28"/>
          <w:szCs w:val="28"/>
        </w:rPr>
      </w:pPr>
      <w:r w:rsidRPr="00446890">
        <w:rPr>
          <w:rFonts w:cs="Arial"/>
          <w:color w:val="000000" w:themeColor="text1"/>
          <w:sz w:val="28"/>
          <w:szCs w:val="28"/>
        </w:rPr>
        <w:lastRenderedPageBreak/>
        <w:t xml:space="preserve">Se publicarán las </w:t>
      </w:r>
      <w:r w:rsidR="00DC1BC4" w:rsidRPr="00446890">
        <w:rPr>
          <w:rFonts w:cs="Arial"/>
          <w:color w:val="000000" w:themeColor="text1"/>
          <w:sz w:val="28"/>
          <w:szCs w:val="28"/>
        </w:rPr>
        <w:t xml:space="preserve">sentencias </w:t>
      </w:r>
      <w:r w:rsidR="0069633D" w:rsidRPr="00446890">
        <w:rPr>
          <w:rFonts w:cs="Arial"/>
          <w:color w:val="000000" w:themeColor="text1"/>
          <w:sz w:val="28"/>
          <w:szCs w:val="28"/>
        </w:rPr>
        <w:t>dictadas en cualquier asunto de la competencia del Pleno de la Suprema Corte de Justicia de la Nación</w:t>
      </w:r>
      <w:r w:rsidRPr="00446890">
        <w:rPr>
          <w:rFonts w:cs="Arial"/>
          <w:color w:val="000000" w:themeColor="text1"/>
          <w:sz w:val="28"/>
          <w:szCs w:val="28"/>
        </w:rPr>
        <w:t xml:space="preserve">, incluidos los votos correspondientes, que </w:t>
      </w:r>
      <w:r w:rsidR="0069633D" w:rsidRPr="00446890">
        <w:rPr>
          <w:rFonts w:cs="Arial"/>
          <w:color w:val="000000" w:themeColor="text1"/>
          <w:sz w:val="28"/>
          <w:szCs w:val="28"/>
        </w:rPr>
        <w:t>contengan razones aprobadas por cuando menos ocho votos</w:t>
      </w:r>
      <w:r w:rsidRPr="00446890">
        <w:rPr>
          <w:rFonts w:cs="Arial"/>
          <w:color w:val="000000" w:themeColor="text1"/>
          <w:sz w:val="28"/>
          <w:szCs w:val="28"/>
        </w:rPr>
        <w:t>, así como las respectivas tesis jurisprudenciales.</w:t>
      </w:r>
    </w:p>
    <w:p w14:paraId="7F21DC16"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Subsección 2.</w:t>
      </w:r>
      <w:r w:rsidRPr="00446890">
        <w:rPr>
          <w:rFonts w:cs="Arial"/>
          <w:sz w:val="28"/>
          <w:szCs w:val="28"/>
        </w:rPr>
        <w:t xml:space="preserve"> Por </w:t>
      </w:r>
      <w:r w:rsidR="006416BA" w:rsidRPr="00446890">
        <w:rPr>
          <w:rFonts w:cs="Arial"/>
          <w:sz w:val="28"/>
          <w:szCs w:val="28"/>
        </w:rPr>
        <w:t>contradicción de tesis</w:t>
      </w:r>
      <w:r w:rsidRPr="00446890">
        <w:rPr>
          <w:rFonts w:cs="Arial"/>
          <w:sz w:val="28"/>
          <w:szCs w:val="28"/>
        </w:rPr>
        <w:t>.</w:t>
      </w:r>
    </w:p>
    <w:p w14:paraId="51052251" w14:textId="77777777" w:rsidR="00A62BC4" w:rsidRPr="00446890" w:rsidRDefault="00A62BC4" w:rsidP="00D41819">
      <w:pPr>
        <w:pStyle w:val="Estilo"/>
        <w:spacing w:line="480" w:lineRule="auto"/>
        <w:rPr>
          <w:rFonts w:cs="Arial"/>
          <w:sz w:val="28"/>
          <w:szCs w:val="28"/>
        </w:rPr>
      </w:pPr>
      <w:r w:rsidRPr="00446890">
        <w:rPr>
          <w:rFonts w:cs="Arial"/>
          <w:sz w:val="28"/>
          <w:szCs w:val="28"/>
        </w:rPr>
        <w:t>Se publicarán las sentencias, así como las tesis respectivas, incluyendo los votos recibidos oportunamente.</w:t>
      </w:r>
    </w:p>
    <w:p w14:paraId="10CAE039" w14:textId="497C1DD6" w:rsidR="004C2060" w:rsidRPr="00446890" w:rsidRDefault="004C2060" w:rsidP="00D41819">
      <w:pPr>
        <w:pStyle w:val="Estilo"/>
        <w:spacing w:line="480" w:lineRule="auto"/>
        <w:rPr>
          <w:rFonts w:cs="Arial"/>
          <w:sz w:val="28"/>
          <w:szCs w:val="28"/>
        </w:rPr>
      </w:pPr>
      <w:r w:rsidRPr="00446890">
        <w:rPr>
          <w:rFonts w:cs="Arial"/>
          <w:i/>
          <w:iCs/>
          <w:sz w:val="28"/>
          <w:szCs w:val="28"/>
        </w:rPr>
        <w:t xml:space="preserve">Subsección </w:t>
      </w:r>
      <w:r w:rsidR="00DC1BC4" w:rsidRPr="00446890">
        <w:rPr>
          <w:rFonts w:cs="Arial"/>
          <w:i/>
          <w:iCs/>
          <w:sz w:val="28"/>
          <w:szCs w:val="28"/>
        </w:rPr>
        <w:t>3</w:t>
      </w:r>
      <w:r w:rsidRPr="00446890">
        <w:rPr>
          <w:rFonts w:cs="Arial"/>
          <w:i/>
          <w:iCs/>
          <w:sz w:val="28"/>
          <w:szCs w:val="28"/>
        </w:rPr>
        <w:t>.</w:t>
      </w:r>
      <w:r w:rsidRPr="00446890">
        <w:rPr>
          <w:rFonts w:cs="Arial"/>
          <w:sz w:val="28"/>
          <w:szCs w:val="28"/>
        </w:rPr>
        <w:t xml:space="preserve"> Sentencias que interrumpen jurisprudencia sin la votación idónea para integrarla.</w:t>
      </w:r>
    </w:p>
    <w:p w14:paraId="76B288C3" w14:textId="232F18A8" w:rsidR="00A62BC4" w:rsidRPr="00446890" w:rsidRDefault="00A62BC4" w:rsidP="00D41819">
      <w:pPr>
        <w:pStyle w:val="Estilo"/>
        <w:spacing w:line="480" w:lineRule="auto"/>
        <w:rPr>
          <w:rFonts w:cs="Arial"/>
          <w:sz w:val="28"/>
          <w:szCs w:val="28"/>
        </w:rPr>
      </w:pPr>
      <w:r w:rsidRPr="00446890">
        <w:rPr>
          <w:rFonts w:cs="Arial"/>
          <w:sz w:val="28"/>
          <w:szCs w:val="28"/>
        </w:rPr>
        <w:t xml:space="preserve">Se publicarán las </w:t>
      </w:r>
      <w:r w:rsidR="00DC1BC4" w:rsidRPr="00446890">
        <w:rPr>
          <w:rFonts w:cs="Arial"/>
          <w:sz w:val="28"/>
          <w:szCs w:val="28"/>
        </w:rPr>
        <w:t xml:space="preserve">sentencias </w:t>
      </w:r>
      <w:r w:rsidRPr="00446890">
        <w:rPr>
          <w:rFonts w:cs="Arial"/>
          <w:sz w:val="28"/>
          <w:szCs w:val="28"/>
        </w:rPr>
        <w:t>respectivas y, en su caso, las tesis correspondientes</w:t>
      </w:r>
      <w:r w:rsidR="00DC1BC4" w:rsidRPr="00446890">
        <w:rPr>
          <w:rFonts w:cs="Arial"/>
          <w:sz w:val="28"/>
          <w:szCs w:val="28"/>
        </w:rPr>
        <w:t xml:space="preserve">. Cuando se resuelvan dos o más sólo </w:t>
      </w:r>
      <w:r w:rsidR="000E38EB">
        <w:rPr>
          <w:rFonts w:cs="Arial"/>
          <w:sz w:val="28"/>
          <w:szCs w:val="28"/>
        </w:rPr>
        <w:t xml:space="preserve">se publicará </w:t>
      </w:r>
      <w:r w:rsidR="00DC1BC4" w:rsidRPr="00446890">
        <w:rPr>
          <w:rFonts w:cs="Arial"/>
          <w:sz w:val="28"/>
          <w:szCs w:val="28"/>
        </w:rPr>
        <w:t>la primera.</w:t>
      </w:r>
    </w:p>
    <w:p w14:paraId="3A359E32" w14:textId="37B805B0" w:rsidR="00A62BC4" w:rsidRPr="00446890" w:rsidRDefault="00A62BC4" w:rsidP="00D41819">
      <w:pPr>
        <w:pStyle w:val="Estilo"/>
        <w:spacing w:line="480" w:lineRule="auto"/>
        <w:rPr>
          <w:rFonts w:cs="Arial"/>
          <w:sz w:val="28"/>
          <w:szCs w:val="28"/>
        </w:rPr>
      </w:pPr>
      <w:r w:rsidRPr="00446890">
        <w:rPr>
          <w:rFonts w:cs="Arial"/>
          <w:i/>
          <w:iCs/>
          <w:sz w:val="28"/>
          <w:szCs w:val="28"/>
        </w:rPr>
        <w:t xml:space="preserve">Subsección </w:t>
      </w:r>
      <w:r w:rsidR="00DC1BC4" w:rsidRPr="00446890">
        <w:rPr>
          <w:rFonts w:cs="Arial"/>
          <w:i/>
          <w:iCs/>
          <w:sz w:val="28"/>
          <w:szCs w:val="28"/>
        </w:rPr>
        <w:t>4</w:t>
      </w:r>
      <w:r w:rsidRPr="00446890">
        <w:rPr>
          <w:rFonts w:cs="Arial"/>
          <w:i/>
          <w:iCs/>
          <w:sz w:val="28"/>
          <w:szCs w:val="28"/>
        </w:rPr>
        <w:t>.</w:t>
      </w:r>
      <w:r w:rsidRPr="00446890">
        <w:rPr>
          <w:rFonts w:cs="Arial"/>
          <w:sz w:val="28"/>
          <w:szCs w:val="28"/>
        </w:rPr>
        <w:t xml:space="preserve"> </w:t>
      </w:r>
      <w:r w:rsidR="00DC1BC4" w:rsidRPr="00446890">
        <w:rPr>
          <w:rFonts w:cs="Arial"/>
          <w:sz w:val="28"/>
          <w:szCs w:val="28"/>
        </w:rPr>
        <w:t xml:space="preserve">Sentencias </w:t>
      </w:r>
      <w:r w:rsidRPr="00446890">
        <w:rPr>
          <w:rFonts w:cs="Arial"/>
          <w:sz w:val="28"/>
          <w:szCs w:val="28"/>
        </w:rPr>
        <w:t xml:space="preserve">dictadas en controversias constitucionales y </w:t>
      </w:r>
      <w:r w:rsidR="003013EB" w:rsidRPr="00446890">
        <w:rPr>
          <w:rFonts w:cs="Arial"/>
          <w:sz w:val="28"/>
          <w:szCs w:val="28"/>
        </w:rPr>
        <w:t xml:space="preserve">en </w:t>
      </w:r>
      <w:r w:rsidRPr="00446890">
        <w:rPr>
          <w:rFonts w:cs="Arial"/>
          <w:sz w:val="28"/>
          <w:szCs w:val="28"/>
        </w:rPr>
        <w:t>acciones de inconstitucionalidad que contienen criterios vinculatorios, en términos del artículo 43 de la Ley Reglamentaria de las Fracciones I y II del Artículo 105 de la Constitución Política de los Estados Unidos Mexicanos.</w:t>
      </w:r>
    </w:p>
    <w:p w14:paraId="3602B9A8" w14:textId="54772649" w:rsidR="00A62BC4" w:rsidRPr="00446890" w:rsidRDefault="00A62BC4" w:rsidP="00D41819">
      <w:pPr>
        <w:pStyle w:val="Estilo"/>
        <w:spacing w:line="480" w:lineRule="auto"/>
        <w:rPr>
          <w:rFonts w:cs="Arial"/>
          <w:sz w:val="28"/>
          <w:szCs w:val="28"/>
        </w:rPr>
      </w:pPr>
      <w:r w:rsidRPr="00446890">
        <w:rPr>
          <w:rFonts w:cs="Arial"/>
          <w:sz w:val="28"/>
          <w:szCs w:val="28"/>
        </w:rPr>
        <w:t xml:space="preserve">Se publicarán las </w:t>
      </w:r>
      <w:r w:rsidR="00DC1BC4" w:rsidRPr="00446890">
        <w:rPr>
          <w:rFonts w:cs="Arial"/>
          <w:sz w:val="28"/>
          <w:szCs w:val="28"/>
        </w:rPr>
        <w:t xml:space="preserve">sentencias </w:t>
      </w:r>
      <w:r w:rsidRPr="00446890">
        <w:rPr>
          <w:rFonts w:cs="Arial"/>
          <w:sz w:val="28"/>
          <w:szCs w:val="28"/>
        </w:rPr>
        <w:t>que contengan criterios aprobados por cuando menos ocho votos, incluyendo los votos recibidos oportunamente.</w:t>
      </w:r>
    </w:p>
    <w:p w14:paraId="2199458A" w14:textId="1FF392A4" w:rsidR="00F8067C" w:rsidRPr="00446890" w:rsidRDefault="00F8067C" w:rsidP="00D41819">
      <w:pPr>
        <w:pStyle w:val="Estilo"/>
        <w:spacing w:line="480" w:lineRule="auto"/>
        <w:rPr>
          <w:rFonts w:cs="Arial"/>
          <w:sz w:val="28"/>
          <w:szCs w:val="28"/>
        </w:rPr>
      </w:pPr>
      <w:r w:rsidRPr="00446890">
        <w:rPr>
          <w:rFonts w:cs="Arial"/>
          <w:sz w:val="28"/>
          <w:szCs w:val="28"/>
        </w:rPr>
        <w:lastRenderedPageBreak/>
        <w:t>Cuando la Suprema Corte de Justicia de la Nación resuelva dos o más controversias constitucionales o acciones de inconstitucionalidad referidas al mismo tema o disposición legal, su Presidente podrá, en términos de lo dispuesto en el artículo 44 de la Ley Reglamentaria de las Fracciones I y II del Artículo 105 de la Constitución Política de los Estados Unidos Mexicanos y con la pertinencia razonable, ordenar la publicación íntegra de la primera sentencia recaída en dichas controversias o acciones, así como de los puntos resolutivos, con las anotaciones conducentes y los respectivos datos de identificación de las sentencias dictadas en las demás.</w:t>
      </w:r>
    </w:p>
    <w:p w14:paraId="100D7B01" w14:textId="243D2D16" w:rsidR="004C0429" w:rsidRPr="00446890" w:rsidRDefault="004C0429" w:rsidP="00D41819">
      <w:pPr>
        <w:pStyle w:val="Estilo"/>
        <w:spacing w:line="480" w:lineRule="auto"/>
        <w:rPr>
          <w:rFonts w:cs="Arial"/>
          <w:sz w:val="28"/>
          <w:szCs w:val="28"/>
        </w:rPr>
      </w:pPr>
      <w:r w:rsidRPr="00446890">
        <w:rPr>
          <w:rFonts w:cs="Arial"/>
          <w:i/>
          <w:iCs/>
          <w:sz w:val="28"/>
          <w:szCs w:val="28"/>
        </w:rPr>
        <w:t xml:space="preserve">Subsección </w:t>
      </w:r>
      <w:r w:rsidR="00DC1BC4" w:rsidRPr="00446890">
        <w:rPr>
          <w:rFonts w:cs="Arial"/>
          <w:i/>
          <w:iCs/>
          <w:sz w:val="28"/>
          <w:szCs w:val="28"/>
        </w:rPr>
        <w:t>5</w:t>
      </w:r>
      <w:r w:rsidR="0096559C" w:rsidRPr="00446890">
        <w:rPr>
          <w:rFonts w:cs="Arial"/>
          <w:i/>
          <w:iCs/>
          <w:sz w:val="28"/>
          <w:szCs w:val="28"/>
        </w:rPr>
        <w:t>.</w:t>
      </w:r>
      <w:r w:rsidRPr="00446890">
        <w:rPr>
          <w:rFonts w:cs="Arial"/>
          <w:sz w:val="28"/>
          <w:szCs w:val="28"/>
        </w:rPr>
        <w:t xml:space="preserve"> </w:t>
      </w:r>
      <w:r w:rsidR="00DC1BC4" w:rsidRPr="00446890">
        <w:rPr>
          <w:rFonts w:cs="Arial"/>
          <w:sz w:val="28"/>
          <w:szCs w:val="28"/>
        </w:rPr>
        <w:t xml:space="preserve">Sentencias </w:t>
      </w:r>
      <w:r w:rsidRPr="00446890">
        <w:rPr>
          <w:rFonts w:cs="Arial"/>
          <w:sz w:val="28"/>
          <w:szCs w:val="28"/>
        </w:rPr>
        <w:t xml:space="preserve">dictadas en declaratorias generales de inconstitucionalidad. </w:t>
      </w:r>
    </w:p>
    <w:p w14:paraId="70348DDB" w14:textId="5E4D64D5" w:rsidR="004C0429" w:rsidRPr="00446890" w:rsidRDefault="004C0429" w:rsidP="00D41819">
      <w:pPr>
        <w:pStyle w:val="Estilo"/>
        <w:spacing w:line="480" w:lineRule="auto"/>
        <w:rPr>
          <w:rFonts w:cs="Arial"/>
          <w:sz w:val="28"/>
          <w:szCs w:val="28"/>
        </w:rPr>
      </w:pPr>
      <w:r w:rsidRPr="00446890">
        <w:rPr>
          <w:rFonts w:cs="Arial"/>
          <w:sz w:val="28"/>
          <w:szCs w:val="28"/>
        </w:rPr>
        <w:t>Se publicarán las sentencias y, en su caso, los votos recibidos oportunamente</w:t>
      </w:r>
      <w:r w:rsidR="003013EB" w:rsidRPr="00446890">
        <w:rPr>
          <w:rFonts w:cs="Arial"/>
          <w:sz w:val="28"/>
          <w:szCs w:val="28"/>
        </w:rPr>
        <w:t>.</w:t>
      </w:r>
    </w:p>
    <w:p w14:paraId="2B33091D" w14:textId="77777777" w:rsidR="004C0429" w:rsidRPr="00446890" w:rsidRDefault="004C0429" w:rsidP="00D41819">
      <w:pPr>
        <w:pStyle w:val="Estilo"/>
        <w:spacing w:line="480" w:lineRule="auto"/>
        <w:rPr>
          <w:rFonts w:cs="Arial"/>
          <w:sz w:val="28"/>
          <w:szCs w:val="28"/>
        </w:rPr>
      </w:pPr>
    </w:p>
    <w:p w14:paraId="5FF16F6E" w14:textId="46C38B05" w:rsidR="00A62BC4" w:rsidRPr="00446890" w:rsidRDefault="00A62BC4" w:rsidP="00D41819">
      <w:pPr>
        <w:pStyle w:val="Estilo"/>
        <w:spacing w:line="480" w:lineRule="auto"/>
        <w:rPr>
          <w:rFonts w:cs="Arial"/>
          <w:sz w:val="28"/>
          <w:szCs w:val="28"/>
        </w:rPr>
      </w:pPr>
      <w:r w:rsidRPr="00446890">
        <w:rPr>
          <w:rFonts w:cs="Arial"/>
          <w:i/>
          <w:iCs/>
          <w:sz w:val="28"/>
          <w:szCs w:val="28"/>
        </w:rPr>
        <w:t>Sección Segunda.</w:t>
      </w:r>
      <w:r w:rsidRPr="00446890">
        <w:rPr>
          <w:rFonts w:cs="Arial"/>
          <w:sz w:val="28"/>
          <w:szCs w:val="28"/>
        </w:rPr>
        <w:t xml:space="preserve"> </w:t>
      </w:r>
      <w:r w:rsidR="00DC1BC4" w:rsidRPr="00446890">
        <w:rPr>
          <w:rFonts w:cs="Arial"/>
          <w:sz w:val="28"/>
          <w:szCs w:val="28"/>
        </w:rPr>
        <w:t xml:space="preserve">Sentencias </w:t>
      </w:r>
      <w:r w:rsidRPr="00446890">
        <w:rPr>
          <w:rFonts w:cs="Arial"/>
          <w:sz w:val="28"/>
          <w:szCs w:val="28"/>
        </w:rPr>
        <w:t>y tesis que no integran jurisprudencia.</w:t>
      </w:r>
    </w:p>
    <w:p w14:paraId="4C4CBD41" w14:textId="75E0CD49" w:rsidR="00A62BC4" w:rsidRPr="00446890" w:rsidRDefault="00A62BC4" w:rsidP="00D41819">
      <w:pPr>
        <w:pStyle w:val="Estilo"/>
        <w:spacing w:line="480" w:lineRule="auto"/>
        <w:rPr>
          <w:rFonts w:cs="Arial"/>
          <w:sz w:val="28"/>
          <w:szCs w:val="28"/>
        </w:rPr>
      </w:pPr>
      <w:r w:rsidRPr="00446890">
        <w:rPr>
          <w:rFonts w:cs="Arial"/>
          <w:i/>
          <w:iCs/>
          <w:sz w:val="28"/>
          <w:szCs w:val="28"/>
        </w:rPr>
        <w:t>Subsección 1.</w:t>
      </w:r>
      <w:r w:rsidRPr="00446890">
        <w:rPr>
          <w:rFonts w:cs="Arial"/>
          <w:sz w:val="28"/>
          <w:szCs w:val="28"/>
        </w:rPr>
        <w:t xml:space="preserve"> Tesis aisladas y, en su caso,</w:t>
      </w:r>
      <w:r w:rsidR="00DC1BC4" w:rsidRPr="00446890">
        <w:rPr>
          <w:rFonts w:cs="Arial"/>
          <w:sz w:val="28"/>
          <w:szCs w:val="28"/>
        </w:rPr>
        <w:t xml:space="preserve"> sentencias</w:t>
      </w:r>
      <w:r w:rsidRPr="00446890">
        <w:rPr>
          <w:rFonts w:cs="Arial"/>
          <w:sz w:val="28"/>
          <w:szCs w:val="28"/>
        </w:rPr>
        <w:t>.</w:t>
      </w:r>
    </w:p>
    <w:p w14:paraId="37054ED7" w14:textId="277AE774" w:rsidR="00A62BC4" w:rsidRPr="00446890" w:rsidRDefault="00A62BC4" w:rsidP="00D41819">
      <w:pPr>
        <w:pStyle w:val="Estilo"/>
        <w:spacing w:line="480" w:lineRule="auto"/>
        <w:rPr>
          <w:rFonts w:cs="Arial"/>
          <w:sz w:val="28"/>
          <w:szCs w:val="28"/>
        </w:rPr>
      </w:pPr>
      <w:r w:rsidRPr="00446890">
        <w:rPr>
          <w:rFonts w:cs="Arial"/>
          <w:sz w:val="28"/>
          <w:szCs w:val="28"/>
        </w:rPr>
        <w:t xml:space="preserve">Se publicarán las tesis aisladas y, en su caso, las </w:t>
      </w:r>
      <w:r w:rsidR="00DC1BC4" w:rsidRPr="00446890">
        <w:rPr>
          <w:rFonts w:cs="Arial"/>
          <w:sz w:val="28"/>
          <w:szCs w:val="28"/>
        </w:rPr>
        <w:t xml:space="preserve">sentencias </w:t>
      </w:r>
      <w:r w:rsidRPr="00446890">
        <w:rPr>
          <w:rFonts w:cs="Arial"/>
          <w:sz w:val="28"/>
          <w:szCs w:val="28"/>
        </w:rPr>
        <w:t>respectivas que determine el Pleno.</w:t>
      </w:r>
    </w:p>
    <w:p w14:paraId="61AE5AFB" w14:textId="7375BD44" w:rsidR="00A62BC4" w:rsidRPr="00446890" w:rsidRDefault="00A62BC4" w:rsidP="00D41819">
      <w:pPr>
        <w:pStyle w:val="Estilo"/>
        <w:spacing w:line="480" w:lineRule="auto"/>
        <w:rPr>
          <w:rFonts w:cs="Arial"/>
          <w:sz w:val="28"/>
          <w:szCs w:val="28"/>
        </w:rPr>
      </w:pPr>
      <w:r w:rsidRPr="00446890">
        <w:rPr>
          <w:rFonts w:cs="Arial"/>
          <w:i/>
          <w:iCs/>
          <w:sz w:val="28"/>
          <w:szCs w:val="28"/>
        </w:rPr>
        <w:lastRenderedPageBreak/>
        <w:t>Subsección 2.</w:t>
      </w:r>
      <w:r w:rsidRPr="00446890">
        <w:rPr>
          <w:rFonts w:cs="Arial"/>
          <w:sz w:val="28"/>
          <w:szCs w:val="28"/>
        </w:rPr>
        <w:t xml:space="preserve"> </w:t>
      </w:r>
      <w:r w:rsidR="00DC1BC4" w:rsidRPr="00446890">
        <w:rPr>
          <w:rFonts w:cs="Arial"/>
          <w:sz w:val="28"/>
          <w:szCs w:val="28"/>
        </w:rPr>
        <w:t xml:space="preserve">Sentencias </w:t>
      </w:r>
      <w:r w:rsidRPr="00446890">
        <w:rPr>
          <w:rFonts w:cs="Arial"/>
          <w:sz w:val="28"/>
          <w:szCs w:val="28"/>
        </w:rPr>
        <w:t>dictadas en controversias constitucionales y en acciones de inconstitucionalidad que no contienen criterios vinculatorios, en términos del artículo 43 de la Ley Reglamentaria de las Fracciones I y II del Artículo 105 de la Constitución Política de los Estados Unidos Mexicanos.</w:t>
      </w:r>
    </w:p>
    <w:p w14:paraId="78E536F5" w14:textId="0324133B" w:rsidR="00A62BC4" w:rsidRPr="00446890" w:rsidRDefault="00A62BC4" w:rsidP="00D41819">
      <w:pPr>
        <w:pStyle w:val="Estilo"/>
        <w:spacing w:line="480" w:lineRule="auto"/>
        <w:rPr>
          <w:rFonts w:cs="Arial"/>
          <w:sz w:val="28"/>
          <w:szCs w:val="28"/>
        </w:rPr>
      </w:pPr>
      <w:r w:rsidRPr="00446890">
        <w:rPr>
          <w:rFonts w:cs="Arial"/>
          <w:sz w:val="28"/>
          <w:szCs w:val="28"/>
        </w:rPr>
        <w:t xml:space="preserve">Se publicarán las </w:t>
      </w:r>
      <w:r w:rsidR="00DC1BC4" w:rsidRPr="00446890">
        <w:rPr>
          <w:rFonts w:cs="Arial"/>
          <w:sz w:val="28"/>
          <w:szCs w:val="28"/>
        </w:rPr>
        <w:t xml:space="preserve">sentencias </w:t>
      </w:r>
      <w:r w:rsidRPr="00446890">
        <w:rPr>
          <w:rFonts w:cs="Arial"/>
          <w:sz w:val="28"/>
          <w:szCs w:val="28"/>
        </w:rPr>
        <w:t>que no contengan criterios aprobados por cuando menos ocho votos, incluyendo los votos recibidos oportunamente.</w:t>
      </w:r>
    </w:p>
    <w:p w14:paraId="0C7A44CD" w14:textId="77777777" w:rsidR="00A62BC4" w:rsidRPr="00446890" w:rsidRDefault="00A62BC4" w:rsidP="00D41819">
      <w:pPr>
        <w:pStyle w:val="Estilo"/>
        <w:spacing w:line="480" w:lineRule="auto"/>
        <w:rPr>
          <w:rFonts w:cs="Arial"/>
          <w:sz w:val="28"/>
          <w:szCs w:val="28"/>
        </w:rPr>
      </w:pPr>
    </w:p>
    <w:p w14:paraId="49AE203F"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Segunda Parte.</w:t>
      </w:r>
      <w:r w:rsidRPr="00446890">
        <w:rPr>
          <w:rFonts w:cs="Arial"/>
          <w:sz w:val="28"/>
          <w:szCs w:val="28"/>
        </w:rPr>
        <w:t xml:space="preserve"> Primera Sala de la Suprema Corte de Justicia de la Nación.</w:t>
      </w:r>
    </w:p>
    <w:p w14:paraId="3817FE6F" w14:textId="77777777" w:rsidR="00357836" w:rsidRPr="00446890" w:rsidRDefault="00357836" w:rsidP="00D41819">
      <w:pPr>
        <w:pStyle w:val="Estilo"/>
        <w:spacing w:line="480" w:lineRule="auto"/>
        <w:rPr>
          <w:rFonts w:cs="Arial"/>
          <w:sz w:val="28"/>
          <w:szCs w:val="28"/>
        </w:rPr>
      </w:pPr>
    </w:p>
    <w:p w14:paraId="0B88B13C"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Sección Primera.</w:t>
      </w:r>
      <w:r w:rsidRPr="00446890">
        <w:rPr>
          <w:rFonts w:cs="Arial"/>
          <w:sz w:val="28"/>
          <w:szCs w:val="28"/>
        </w:rPr>
        <w:t xml:space="preserve"> Jurisprudencia.</w:t>
      </w:r>
    </w:p>
    <w:p w14:paraId="1603F429" w14:textId="4FB8E80E" w:rsidR="00A62BC4" w:rsidRPr="00446890" w:rsidRDefault="00A62BC4" w:rsidP="00D41819">
      <w:pPr>
        <w:pStyle w:val="Estilo"/>
        <w:tabs>
          <w:tab w:val="left" w:pos="6255"/>
        </w:tabs>
        <w:spacing w:line="480" w:lineRule="auto"/>
        <w:rPr>
          <w:rFonts w:cs="Arial"/>
          <w:sz w:val="28"/>
          <w:szCs w:val="28"/>
        </w:rPr>
      </w:pPr>
      <w:r w:rsidRPr="00446890">
        <w:rPr>
          <w:rFonts w:cs="Arial"/>
          <w:i/>
          <w:iCs/>
          <w:sz w:val="28"/>
          <w:szCs w:val="28"/>
        </w:rPr>
        <w:t>Subsección 1.</w:t>
      </w:r>
      <w:r w:rsidRPr="00446890">
        <w:rPr>
          <w:rFonts w:cs="Arial"/>
          <w:sz w:val="28"/>
          <w:szCs w:val="28"/>
        </w:rPr>
        <w:t xml:space="preserve"> Por</w:t>
      </w:r>
      <w:r w:rsidR="00280260" w:rsidRPr="00446890">
        <w:rPr>
          <w:rFonts w:cs="Arial"/>
          <w:sz w:val="28"/>
          <w:szCs w:val="28"/>
        </w:rPr>
        <w:t xml:space="preserve"> precedentes</w:t>
      </w:r>
      <w:r w:rsidRPr="00446890">
        <w:rPr>
          <w:rFonts w:cs="Arial"/>
          <w:sz w:val="28"/>
          <w:szCs w:val="28"/>
        </w:rPr>
        <w:t>.</w:t>
      </w:r>
    </w:p>
    <w:p w14:paraId="30BA8690"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Subsección 2.</w:t>
      </w:r>
      <w:r w:rsidRPr="00446890">
        <w:rPr>
          <w:rFonts w:cs="Arial"/>
          <w:sz w:val="28"/>
          <w:szCs w:val="28"/>
        </w:rPr>
        <w:t xml:space="preserve"> Por </w:t>
      </w:r>
      <w:r w:rsidR="00AB04FF" w:rsidRPr="00446890">
        <w:rPr>
          <w:rFonts w:cs="Arial"/>
          <w:sz w:val="28"/>
          <w:szCs w:val="28"/>
        </w:rPr>
        <w:t>contradicción de tesis</w:t>
      </w:r>
      <w:r w:rsidRPr="00446890">
        <w:rPr>
          <w:rFonts w:cs="Arial"/>
          <w:sz w:val="28"/>
          <w:szCs w:val="28"/>
        </w:rPr>
        <w:t>.</w:t>
      </w:r>
    </w:p>
    <w:p w14:paraId="015B9799" w14:textId="5A22359D" w:rsidR="00A62BC4" w:rsidRPr="00446890" w:rsidRDefault="00A62BC4" w:rsidP="00D41819">
      <w:pPr>
        <w:pStyle w:val="Estilo"/>
        <w:spacing w:line="480" w:lineRule="auto"/>
        <w:rPr>
          <w:rFonts w:cs="Arial"/>
          <w:sz w:val="28"/>
          <w:szCs w:val="28"/>
        </w:rPr>
      </w:pPr>
      <w:r w:rsidRPr="00446890">
        <w:rPr>
          <w:rFonts w:cs="Arial"/>
          <w:i/>
          <w:iCs/>
          <w:sz w:val="28"/>
          <w:szCs w:val="28"/>
        </w:rPr>
        <w:t xml:space="preserve">Subsección </w:t>
      </w:r>
      <w:r w:rsidR="00DC1BC4" w:rsidRPr="00446890">
        <w:rPr>
          <w:rFonts w:cs="Arial"/>
          <w:i/>
          <w:iCs/>
          <w:sz w:val="28"/>
          <w:szCs w:val="28"/>
        </w:rPr>
        <w:t>3</w:t>
      </w:r>
      <w:r w:rsidRPr="00446890">
        <w:rPr>
          <w:rFonts w:cs="Arial"/>
          <w:i/>
          <w:iCs/>
          <w:sz w:val="28"/>
          <w:szCs w:val="28"/>
        </w:rPr>
        <w:t>.</w:t>
      </w:r>
      <w:r w:rsidRPr="00446890">
        <w:rPr>
          <w:rFonts w:cs="Arial"/>
          <w:sz w:val="28"/>
          <w:szCs w:val="28"/>
        </w:rPr>
        <w:t xml:space="preserve"> Sentencias que interrumpen jurisprudencia</w:t>
      </w:r>
      <w:r w:rsidR="00280260" w:rsidRPr="00446890">
        <w:rPr>
          <w:rFonts w:cs="Arial"/>
          <w:sz w:val="28"/>
          <w:szCs w:val="28"/>
        </w:rPr>
        <w:t xml:space="preserve"> sin votación idónea para integrarla</w:t>
      </w:r>
      <w:r w:rsidR="003013EB" w:rsidRPr="00446890">
        <w:rPr>
          <w:rFonts w:cs="Arial"/>
          <w:sz w:val="28"/>
          <w:szCs w:val="28"/>
        </w:rPr>
        <w:t>.</w:t>
      </w:r>
    </w:p>
    <w:p w14:paraId="31D37D1C" w14:textId="77777777" w:rsidR="007646C3" w:rsidRPr="00446890" w:rsidRDefault="007646C3" w:rsidP="00D41819">
      <w:pPr>
        <w:pStyle w:val="Estilo"/>
        <w:spacing w:line="480" w:lineRule="auto"/>
        <w:rPr>
          <w:rFonts w:cs="Arial"/>
          <w:sz w:val="28"/>
          <w:szCs w:val="28"/>
        </w:rPr>
      </w:pPr>
    </w:p>
    <w:p w14:paraId="19735B50" w14:textId="2E52A2B1" w:rsidR="00A62BC4" w:rsidRPr="00446890" w:rsidRDefault="00A62BC4" w:rsidP="00D41819">
      <w:pPr>
        <w:pStyle w:val="Estilo"/>
        <w:spacing w:line="480" w:lineRule="auto"/>
        <w:rPr>
          <w:rFonts w:cs="Arial"/>
          <w:sz w:val="28"/>
          <w:szCs w:val="28"/>
        </w:rPr>
      </w:pPr>
      <w:r w:rsidRPr="00446890">
        <w:rPr>
          <w:rFonts w:cs="Arial"/>
          <w:i/>
          <w:iCs/>
          <w:sz w:val="28"/>
          <w:szCs w:val="28"/>
        </w:rPr>
        <w:t>Sección Segunda.</w:t>
      </w:r>
      <w:r w:rsidRPr="00446890">
        <w:rPr>
          <w:rFonts w:cs="Arial"/>
          <w:sz w:val="28"/>
          <w:szCs w:val="28"/>
        </w:rPr>
        <w:t xml:space="preserve"> </w:t>
      </w:r>
      <w:r w:rsidR="00DC1BC4" w:rsidRPr="00446890">
        <w:rPr>
          <w:rFonts w:cs="Arial"/>
          <w:sz w:val="28"/>
          <w:szCs w:val="28"/>
        </w:rPr>
        <w:t xml:space="preserve">Sentencias </w:t>
      </w:r>
      <w:r w:rsidRPr="00446890">
        <w:rPr>
          <w:rFonts w:cs="Arial"/>
          <w:sz w:val="28"/>
          <w:szCs w:val="28"/>
        </w:rPr>
        <w:t>y tesis que no integran jurisprudencia.</w:t>
      </w:r>
    </w:p>
    <w:p w14:paraId="7982DD9E" w14:textId="3F16BEF0" w:rsidR="00A62BC4" w:rsidRPr="00446890" w:rsidRDefault="00A62BC4" w:rsidP="00D41819">
      <w:pPr>
        <w:pStyle w:val="Estilo"/>
        <w:spacing w:line="480" w:lineRule="auto"/>
        <w:rPr>
          <w:rFonts w:cs="Arial"/>
          <w:sz w:val="28"/>
          <w:szCs w:val="28"/>
        </w:rPr>
      </w:pPr>
      <w:r w:rsidRPr="00446890">
        <w:rPr>
          <w:rFonts w:cs="Arial"/>
          <w:i/>
          <w:iCs/>
          <w:sz w:val="28"/>
          <w:szCs w:val="28"/>
        </w:rPr>
        <w:t>Subsección 1.</w:t>
      </w:r>
      <w:r w:rsidRPr="00446890">
        <w:rPr>
          <w:rFonts w:cs="Arial"/>
          <w:sz w:val="28"/>
          <w:szCs w:val="28"/>
        </w:rPr>
        <w:t xml:space="preserve"> Tesis aisladas y, en su caso,</w:t>
      </w:r>
      <w:r w:rsidR="00C62638" w:rsidRPr="00446890">
        <w:rPr>
          <w:rFonts w:cs="Arial"/>
          <w:sz w:val="28"/>
          <w:szCs w:val="28"/>
        </w:rPr>
        <w:t xml:space="preserve"> sentencias</w:t>
      </w:r>
      <w:r w:rsidRPr="00446890">
        <w:rPr>
          <w:rFonts w:cs="Arial"/>
          <w:sz w:val="28"/>
          <w:szCs w:val="28"/>
        </w:rPr>
        <w:t>.</w:t>
      </w:r>
    </w:p>
    <w:p w14:paraId="2C7CFEE2" w14:textId="088A8A44" w:rsidR="00A62BC4" w:rsidRPr="00446890" w:rsidRDefault="00A62BC4" w:rsidP="00D41819">
      <w:pPr>
        <w:pStyle w:val="Estilo"/>
        <w:spacing w:line="480" w:lineRule="auto"/>
        <w:rPr>
          <w:rFonts w:cs="Arial"/>
          <w:sz w:val="28"/>
          <w:szCs w:val="28"/>
        </w:rPr>
      </w:pPr>
      <w:r w:rsidRPr="00446890">
        <w:rPr>
          <w:rFonts w:cs="Arial"/>
          <w:i/>
          <w:iCs/>
          <w:sz w:val="28"/>
          <w:szCs w:val="28"/>
        </w:rPr>
        <w:lastRenderedPageBreak/>
        <w:t xml:space="preserve">Subsección 2. </w:t>
      </w:r>
      <w:r w:rsidR="00DC1BC4" w:rsidRPr="00446890">
        <w:rPr>
          <w:rFonts w:cs="Arial"/>
          <w:sz w:val="28"/>
          <w:szCs w:val="28"/>
        </w:rPr>
        <w:t xml:space="preserve">Sentencias </w:t>
      </w:r>
      <w:r w:rsidRPr="00446890">
        <w:rPr>
          <w:rFonts w:cs="Arial"/>
          <w:sz w:val="28"/>
          <w:szCs w:val="28"/>
        </w:rPr>
        <w:t>dictadas en controversias constitucionales y en acciones de inconstitucionalidad.</w:t>
      </w:r>
    </w:p>
    <w:p w14:paraId="524AE55D" w14:textId="77777777" w:rsidR="00A62BC4" w:rsidRPr="00446890" w:rsidRDefault="00A62BC4" w:rsidP="00D41819">
      <w:pPr>
        <w:pStyle w:val="Estilo"/>
        <w:spacing w:line="480" w:lineRule="auto"/>
        <w:rPr>
          <w:rFonts w:cs="Arial"/>
          <w:sz w:val="28"/>
          <w:szCs w:val="28"/>
        </w:rPr>
      </w:pPr>
      <w:r w:rsidRPr="00446890">
        <w:rPr>
          <w:rFonts w:cs="Arial"/>
          <w:sz w:val="28"/>
          <w:szCs w:val="28"/>
        </w:rPr>
        <w:t>Para cada sección y subsección se atenderá, según corresponda, a los criterios de publicación señalados para el Pleno de este Alto Tribunal.</w:t>
      </w:r>
    </w:p>
    <w:p w14:paraId="1E4E02A5" w14:textId="77777777" w:rsidR="00A62BC4" w:rsidRPr="00446890" w:rsidRDefault="00A62BC4" w:rsidP="00D41819">
      <w:pPr>
        <w:pStyle w:val="Estilo"/>
        <w:spacing w:line="480" w:lineRule="auto"/>
        <w:rPr>
          <w:rFonts w:cs="Arial"/>
          <w:sz w:val="28"/>
          <w:szCs w:val="28"/>
        </w:rPr>
      </w:pPr>
    </w:p>
    <w:p w14:paraId="31C82FF6"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Tercera Parte.</w:t>
      </w:r>
      <w:r w:rsidRPr="00446890">
        <w:rPr>
          <w:rFonts w:cs="Arial"/>
          <w:sz w:val="28"/>
          <w:szCs w:val="28"/>
        </w:rPr>
        <w:t xml:space="preserve"> Segunda Sala de la Suprema Corte de Justicia de la Nación.</w:t>
      </w:r>
    </w:p>
    <w:p w14:paraId="67E4B6CC" w14:textId="77777777" w:rsidR="00A62BC4" w:rsidRPr="00446890" w:rsidRDefault="00A62BC4" w:rsidP="00D41819">
      <w:pPr>
        <w:pStyle w:val="Estilo"/>
        <w:spacing w:line="480" w:lineRule="auto"/>
        <w:rPr>
          <w:rFonts w:cs="Arial"/>
          <w:sz w:val="28"/>
          <w:szCs w:val="28"/>
        </w:rPr>
      </w:pPr>
    </w:p>
    <w:p w14:paraId="4C45A66C"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Sección Primera.</w:t>
      </w:r>
      <w:r w:rsidRPr="00446890">
        <w:rPr>
          <w:rFonts w:cs="Arial"/>
          <w:sz w:val="28"/>
          <w:szCs w:val="28"/>
        </w:rPr>
        <w:t xml:space="preserve"> Jurisprudencia.</w:t>
      </w:r>
    </w:p>
    <w:p w14:paraId="270E4FCF" w14:textId="7BEE40FE" w:rsidR="00A62BC4" w:rsidRPr="00446890" w:rsidRDefault="00A62BC4" w:rsidP="00D41819">
      <w:pPr>
        <w:pStyle w:val="Estilo"/>
        <w:spacing w:line="480" w:lineRule="auto"/>
        <w:rPr>
          <w:rFonts w:cs="Arial"/>
          <w:sz w:val="28"/>
          <w:szCs w:val="28"/>
        </w:rPr>
      </w:pPr>
      <w:r w:rsidRPr="00446890">
        <w:rPr>
          <w:rFonts w:cs="Arial"/>
          <w:i/>
          <w:iCs/>
          <w:sz w:val="28"/>
          <w:szCs w:val="28"/>
        </w:rPr>
        <w:t>Subsección 1.</w:t>
      </w:r>
      <w:r w:rsidRPr="00446890">
        <w:rPr>
          <w:rFonts w:cs="Arial"/>
          <w:sz w:val="28"/>
          <w:szCs w:val="28"/>
        </w:rPr>
        <w:t xml:space="preserve"> Por</w:t>
      </w:r>
      <w:r w:rsidR="00280260" w:rsidRPr="00446890">
        <w:rPr>
          <w:rFonts w:cs="Arial"/>
          <w:sz w:val="28"/>
          <w:szCs w:val="28"/>
        </w:rPr>
        <w:t xml:space="preserve"> precedentes</w:t>
      </w:r>
      <w:r w:rsidRPr="00446890">
        <w:rPr>
          <w:rFonts w:cs="Arial"/>
          <w:sz w:val="28"/>
          <w:szCs w:val="28"/>
        </w:rPr>
        <w:t>.</w:t>
      </w:r>
    </w:p>
    <w:p w14:paraId="6B18721E"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Subsección 2.</w:t>
      </w:r>
      <w:r w:rsidRPr="00446890">
        <w:rPr>
          <w:rFonts w:cs="Arial"/>
          <w:sz w:val="28"/>
          <w:szCs w:val="28"/>
        </w:rPr>
        <w:t xml:space="preserve"> Por </w:t>
      </w:r>
      <w:r w:rsidR="00AB04FF" w:rsidRPr="00446890">
        <w:rPr>
          <w:rFonts w:cs="Arial"/>
          <w:sz w:val="28"/>
          <w:szCs w:val="28"/>
        </w:rPr>
        <w:t>contradicción de tesis</w:t>
      </w:r>
      <w:r w:rsidRPr="00446890">
        <w:rPr>
          <w:rFonts w:cs="Arial"/>
          <w:sz w:val="28"/>
          <w:szCs w:val="28"/>
        </w:rPr>
        <w:t>.</w:t>
      </w:r>
    </w:p>
    <w:p w14:paraId="363A634E" w14:textId="6D6FBA00" w:rsidR="00A62BC4" w:rsidRPr="00446890" w:rsidRDefault="00A62BC4" w:rsidP="00D41819">
      <w:pPr>
        <w:pStyle w:val="Estilo"/>
        <w:spacing w:line="480" w:lineRule="auto"/>
        <w:rPr>
          <w:rFonts w:cs="Arial"/>
          <w:sz w:val="28"/>
          <w:szCs w:val="28"/>
        </w:rPr>
      </w:pPr>
      <w:r w:rsidRPr="00446890">
        <w:rPr>
          <w:rFonts w:cs="Arial"/>
          <w:i/>
          <w:iCs/>
          <w:sz w:val="28"/>
          <w:szCs w:val="28"/>
        </w:rPr>
        <w:t>Subsección</w:t>
      </w:r>
      <w:r w:rsidR="00DC1BC4" w:rsidRPr="00446890">
        <w:rPr>
          <w:rFonts w:cs="Arial"/>
          <w:i/>
          <w:iCs/>
          <w:sz w:val="28"/>
          <w:szCs w:val="28"/>
        </w:rPr>
        <w:t xml:space="preserve"> 3</w:t>
      </w:r>
      <w:r w:rsidRPr="00446890">
        <w:rPr>
          <w:rFonts w:cs="Arial"/>
          <w:i/>
          <w:iCs/>
          <w:sz w:val="28"/>
          <w:szCs w:val="28"/>
        </w:rPr>
        <w:t>.</w:t>
      </w:r>
      <w:r w:rsidRPr="00446890">
        <w:rPr>
          <w:rFonts w:cs="Arial"/>
          <w:sz w:val="28"/>
          <w:szCs w:val="28"/>
        </w:rPr>
        <w:t xml:space="preserve"> Sentencias que interrumpen jurisprudencia</w:t>
      </w:r>
      <w:r w:rsidR="00280260" w:rsidRPr="00446890">
        <w:rPr>
          <w:rFonts w:cs="Arial"/>
          <w:sz w:val="28"/>
          <w:szCs w:val="28"/>
        </w:rPr>
        <w:t xml:space="preserve"> sin votación idónea para integrarla</w:t>
      </w:r>
      <w:r w:rsidR="003013EB" w:rsidRPr="00446890">
        <w:rPr>
          <w:rFonts w:cs="Arial"/>
          <w:sz w:val="28"/>
          <w:szCs w:val="28"/>
        </w:rPr>
        <w:t>.</w:t>
      </w:r>
    </w:p>
    <w:p w14:paraId="79006F6A" w14:textId="77777777" w:rsidR="00357836" w:rsidRPr="00446890" w:rsidRDefault="00357836" w:rsidP="00D41819">
      <w:pPr>
        <w:pStyle w:val="Estilo"/>
        <w:spacing w:line="480" w:lineRule="auto"/>
        <w:rPr>
          <w:rFonts w:cs="Arial"/>
          <w:sz w:val="28"/>
          <w:szCs w:val="28"/>
        </w:rPr>
      </w:pPr>
    </w:p>
    <w:p w14:paraId="20BF2BAC" w14:textId="1BEA718D" w:rsidR="00A62BC4" w:rsidRPr="00446890" w:rsidRDefault="00A62BC4" w:rsidP="00D41819">
      <w:pPr>
        <w:pStyle w:val="Estilo"/>
        <w:spacing w:line="480" w:lineRule="auto"/>
        <w:rPr>
          <w:rFonts w:cs="Arial"/>
          <w:sz w:val="28"/>
          <w:szCs w:val="28"/>
        </w:rPr>
      </w:pPr>
      <w:r w:rsidRPr="00446890">
        <w:rPr>
          <w:rFonts w:cs="Arial"/>
          <w:i/>
          <w:iCs/>
          <w:sz w:val="28"/>
          <w:szCs w:val="28"/>
        </w:rPr>
        <w:t>Sección Segunda.</w:t>
      </w:r>
      <w:r w:rsidRPr="00446890">
        <w:rPr>
          <w:rFonts w:cs="Arial"/>
          <w:sz w:val="28"/>
          <w:szCs w:val="28"/>
        </w:rPr>
        <w:t xml:space="preserve"> </w:t>
      </w:r>
      <w:r w:rsidR="00DC1BC4" w:rsidRPr="00446890">
        <w:rPr>
          <w:rFonts w:cs="Arial"/>
          <w:sz w:val="28"/>
          <w:szCs w:val="28"/>
        </w:rPr>
        <w:t xml:space="preserve">Sentencias </w:t>
      </w:r>
      <w:r w:rsidRPr="00446890">
        <w:rPr>
          <w:rFonts w:cs="Arial"/>
          <w:sz w:val="28"/>
          <w:szCs w:val="28"/>
        </w:rPr>
        <w:t>y tesis que no integran jurisprudencia.</w:t>
      </w:r>
    </w:p>
    <w:p w14:paraId="60FB2A31" w14:textId="3F76B130" w:rsidR="00A62BC4" w:rsidRPr="00446890" w:rsidRDefault="00A62BC4" w:rsidP="00D41819">
      <w:pPr>
        <w:pStyle w:val="Estilo"/>
        <w:spacing w:line="480" w:lineRule="auto"/>
        <w:rPr>
          <w:rFonts w:cs="Arial"/>
          <w:sz w:val="28"/>
          <w:szCs w:val="28"/>
        </w:rPr>
      </w:pPr>
      <w:r w:rsidRPr="00446890">
        <w:rPr>
          <w:rFonts w:cs="Arial"/>
          <w:i/>
          <w:iCs/>
          <w:sz w:val="28"/>
          <w:szCs w:val="28"/>
        </w:rPr>
        <w:t xml:space="preserve">Subsección 1. </w:t>
      </w:r>
      <w:r w:rsidRPr="00446890">
        <w:rPr>
          <w:rFonts w:cs="Arial"/>
          <w:sz w:val="28"/>
          <w:szCs w:val="28"/>
        </w:rPr>
        <w:t>Tesis aisladas y, en su caso,</w:t>
      </w:r>
      <w:r w:rsidR="00DC1BC4" w:rsidRPr="00446890">
        <w:rPr>
          <w:rFonts w:cs="Arial"/>
          <w:sz w:val="28"/>
          <w:szCs w:val="28"/>
        </w:rPr>
        <w:t xml:space="preserve"> sentencias</w:t>
      </w:r>
      <w:r w:rsidRPr="00446890">
        <w:rPr>
          <w:rFonts w:cs="Arial"/>
          <w:sz w:val="28"/>
          <w:szCs w:val="28"/>
        </w:rPr>
        <w:t>.</w:t>
      </w:r>
    </w:p>
    <w:p w14:paraId="1E8E894C" w14:textId="6EDC2C4C" w:rsidR="00A62BC4" w:rsidRPr="00446890" w:rsidRDefault="00A62BC4" w:rsidP="00D41819">
      <w:pPr>
        <w:pStyle w:val="Estilo"/>
        <w:spacing w:line="480" w:lineRule="auto"/>
        <w:rPr>
          <w:rFonts w:cs="Arial"/>
          <w:sz w:val="28"/>
          <w:szCs w:val="28"/>
        </w:rPr>
      </w:pPr>
      <w:r w:rsidRPr="00446890">
        <w:rPr>
          <w:rFonts w:cs="Arial"/>
          <w:i/>
          <w:iCs/>
          <w:sz w:val="28"/>
          <w:szCs w:val="28"/>
        </w:rPr>
        <w:t>Subsección 2.</w:t>
      </w:r>
      <w:r w:rsidRPr="00446890">
        <w:rPr>
          <w:rFonts w:cs="Arial"/>
          <w:sz w:val="28"/>
          <w:szCs w:val="28"/>
        </w:rPr>
        <w:t xml:space="preserve"> </w:t>
      </w:r>
      <w:r w:rsidR="00DC1BC4" w:rsidRPr="00446890">
        <w:rPr>
          <w:rFonts w:cs="Arial"/>
          <w:sz w:val="28"/>
          <w:szCs w:val="28"/>
        </w:rPr>
        <w:t xml:space="preserve">Sentencias </w:t>
      </w:r>
      <w:r w:rsidRPr="00446890">
        <w:rPr>
          <w:rFonts w:cs="Arial"/>
          <w:sz w:val="28"/>
          <w:szCs w:val="28"/>
        </w:rPr>
        <w:t>dictadas en controversias constitucionales y en acciones de inconstitucionalidad.</w:t>
      </w:r>
    </w:p>
    <w:p w14:paraId="5D35E6E0" w14:textId="77777777" w:rsidR="00A62BC4" w:rsidRPr="00446890" w:rsidRDefault="00A62BC4" w:rsidP="00D41819">
      <w:pPr>
        <w:pStyle w:val="Estilo"/>
        <w:spacing w:line="480" w:lineRule="auto"/>
        <w:rPr>
          <w:rFonts w:cs="Arial"/>
          <w:sz w:val="28"/>
          <w:szCs w:val="28"/>
        </w:rPr>
      </w:pPr>
      <w:r w:rsidRPr="00446890">
        <w:rPr>
          <w:rFonts w:cs="Arial"/>
          <w:sz w:val="28"/>
          <w:szCs w:val="28"/>
        </w:rPr>
        <w:t>Para cada sección y subsección se atenderá, según corresponda, a los criterios de publicación señalados para el Pleno de este Alto Tribunal.</w:t>
      </w:r>
    </w:p>
    <w:p w14:paraId="72A02866" w14:textId="6FD882C0" w:rsidR="00A62BC4" w:rsidRPr="00446890" w:rsidRDefault="00A62BC4" w:rsidP="00D41819">
      <w:pPr>
        <w:pStyle w:val="Estilo"/>
        <w:spacing w:line="480" w:lineRule="auto"/>
        <w:rPr>
          <w:rFonts w:cs="Arial"/>
          <w:sz w:val="28"/>
          <w:szCs w:val="28"/>
        </w:rPr>
      </w:pPr>
      <w:r w:rsidRPr="00446890">
        <w:rPr>
          <w:rFonts w:cs="Arial"/>
          <w:i/>
          <w:iCs/>
          <w:sz w:val="28"/>
          <w:szCs w:val="28"/>
        </w:rPr>
        <w:lastRenderedPageBreak/>
        <w:t>Cuarta Parte.</w:t>
      </w:r>
      <w:r w:rsidRPr="00446890">
        <w:rPr>
          <w:rFonts w:cs="Arial"/>
          <w:sz w:val="28"/>
          <w:szCs w:val="28"/>
        </w:rPr>
        <w:t xml:space="preserve"> Plenos</w:t>
      </w:r>
      <w:r w:rsidR="00E72FE0" w:rsidRPr="00446890">
        <w:rPr>
          <w:rFonts w:cs="Arial"/>
          <w:sz w:val="28"/>
          <w:szCs w:val="28"/>
        </w:rPr>
        <w:t xml:space="preserve"> Regionales</w:t>
      </w:r>
      <w:r w:rsidRPr="00446890">
        <w:rPr>
          <w:rFonts w:cs="Arial"/>
          <w:sz w:val="28"/>
          <w:szCs w:val="28"/>
        </w:rPr>
        <w:t>.</w:t>
      </w:r>
    </w:p>
    <w:p w14:paraId="053AD54F" w14:textId="77777777" w:rsidR="00A62BC4" w:rsidRPr="00446890" w:rsidRDefault="00A62BC4" w:rsidP="00D41819">
      <w:pPr>
        <w:pStyle w:val="Estilo"/>
        <w:spacing w:line="480" w:lineRule="auto"/>
        <w:rPr>
          <w:rFonts w:cs="Arial"/>
          <w:sz w:val="28"/>
          <w:szCs w:val="28"/>
        </w:rPr>
      </w:pPr>
    </w:p>
    <w:p w14:paraId="3D15DBBE"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Sección Primera.</w:t>
      </w:r>
      <w:r w:rsidRPr="00446890">
        <w:rPr>
          <w:rFonts w:cs="Arial"/>
          <w:sz w:val="28"/>
          <w:szCs w:val="28"/>
        </w:rPr>
        <w:t xml:space="preserve"> Jurisprudencia.</w:t>
      </w:r>
    </w:p>
    <w:p w14:paraId="0A9BC9AA" w14:textId="5C3C8A44" w:rsidR="00A62BC4" w:rsidRPr="00446890" w:rsidRDefault="00A62BC4" w:rsidP="00D41819">
      <w:pPr>
        <w:pStyle w:val="Estilo"/>
        <w:spacing w:line="480" w:lineRule="auto"/>
        <w:rPr>
          <w:rFonts w:cs="Arial"/>
          <w:sz w:val="28"/>
          <w:szCs w:val="28"/>
        </w:rPr>
      </w:pPr>
      <w:r w:rsidRPr="00446890">
        <w:rPr>
          <w:rFonts w:cs="Arial"/>
          <w:i/>
          <w:iCs/>
          <w:sz w:val="28"/>
          <w:szCs w:val="28"/>
        </w:rPr>
        <w:t>Subsección 1.</w:t>
      </w:r>
      <w:r w:rsidRPr="00446890">
        <w:rPr>
          <w:rFonts w:cs="Arial"/>
          <w:sz w:val="28"/>
          <w:szCs w:val="28"/>
        </w:rPr>
        <w:t xml:space="preserve"> Por reiteración</w:t>
      </w:r>
      <w:r w:rsidR="00F35243" w:rsidRPr="00446890">
        <w:rPr>
          <w:rFonts w:cs="Arial"/>
          <w:sz w:val="28"/>
          <w:szCs w:val="28"/>
        </w:rPr>
        <w:t xml:space="preserve"> en conflictos competenciales</w:t>
      </w:r>
      <w:r w:rsidRPr="00446890">
        <w:rPr>
          <w:rFonts w:cs="Arial"/>
          <w:sz w:val="28"/>
          <w:szCs w:val="28"/>
        </w:rPr>
        <w:t>.</w:t>
      </w:r>
    </w:p>
    <w:p w14:paraId="159436BB"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Subsección 2.</w:t>
      </w:r>
      <w:r w:rsidRPr="00446890">
        <w:rPr>
          <w:rFonts w:cs="Arial"/>
          <w:sz w:val="28"/>
          <w:szCs w:val="28"/>
        </w:rPr>
        <w:t xml:space="preserve"> Por </w:t>
      </w:r>
      <w:r w:rsidR="00AB04FF" w:rsidRPr="00446890">
        <w:rPr>
          <w:rFonts w:cs="Arial"/>
          <w:sz w:val="28"/>
          <w:szCs w:val="28"/>
        </w:rPr>
        <w:t>contradicción de tesis</w:t>
      </w:r>
      <w:r w:rsidRPr="00446890">
        <w:rPr>
          <w:rFonts w:cs="Arial"/>
          <w:sz w:val="28"/>
          <w:szCs w:val="28"/>
        </w:rPr>
        <w:t>.</w:t>
      </w:r>
    </w:p>
    <w:p w14:paraId="2F8B1B6D" w14:textId="41C4215D" w:rsidR="00A62BC4" w:rsidRPr="00446890" w:rsidRDefault="00A62BC4" w:rsidP="00D41819">
      <w:pPr>
        <w:pStyle w:val="Estilo"/>
        <w:spacing w:line="480" w:lineRule="auto"/>
        <w:rPr>
          <w:rFonts w:cs="Arial"/>
          <w:sz w:val="28"/>
          <w:szCs w:val="28"/>
        </w:rPr>
      </w:pPr>
      <w:r w:rsidRPr="00446890">
        <w:rPr>
          <w:rFonts w:cs="Arial"/>
          <w:i/>
          <w:iCs/>
          <w:sz w:val="28"/>
          <w:szCs w:val="28"/>
        </w:rPr>
        <w:t xml:space="preserve">Subsección </w:t>
      </w:r>
      <w:r w:rsidR="00F35243" w:rsidRPr="00446890">
        <w:rPr>
          <w:rFonts w:cs="Arial"/>
          <w:i/>
          <w:iCs/>
          <w:sz w:val="28"/>
          <w:szCs w:val="28"/>
        </w:rPr>
        <w:t>3</w:t>
      </w:r>
      <w:r w:rsidRPr="00446890">
        <w:rPr>
          <w:rFonts w:cs="Arial"/>
          <w:i/>
          <w:iCs/>
          <w:sz w:val="28"/>
          <w:szCs w:val="28"/>
        </w:rPr>
        <w:t>.</w:t>
      </w:r>
      <w:r w:rsidRPr="00446890">
        <w:rPr>
          <w:rFonts w:cs="Arial"/>
          <w:sz w:val="28"/>
          <w:szCs w:val="28"/>
        </w:rPr>
        <w:t xml:space="preserve"> Sentencias que interrumpen jurisprudencia.</w:t>
      </w:r>
    </w:p>
    <w:p w14:paraId="06A7E304" w14:textId="77777777" w:rsidR="00A62BC4" w:rsidRPr="00446890" w:rsidRDefault="00A62BC4" w:rsidP="00D41819">
      <w:pPr>
        <w:pStyle w:val="Estilo"/>
        <w:spacing w:line="480" w:lineRule="auto"/>
        <w:rPr>
          <w:rFonts w:cs="Arial"/>
          <w:sz w:val="28"/>
          <w:szCs w:val="28"/>
        </w:rPr>
      </w:pPr>
    </w:p>
    <w:p w14:paraId="71BCCFB1" w14:textId="05FA17C1" w:rsidR="00A62BC4" w:rsidRPr="00446890" w:rsidRDefault="00A62BC4" w:rsidP="00D41819">
      <w:pPr>
        <w:pStyle w:val="Estilo"/>
        <w:spacing w:line="480" w:lineRule="auto"/>
        <w:rPr>
          <w:rFonts w:cs="Arial"/>
          <w:sz w:val="28"/>
          <w:szCs w:val="28"/>
        </w:rPr>
      </w:pPr>
      <w:r w:rsidRPr="00446890">
        <w:rPr>
          <w:rFonts w:cs="Arial"/>
          <w:i/>
          <w:iCs/>
          <w:sz w:val="28"/>
          <w:szCs w:val="28"/>
        </w:rPr>
        <w:t>Sección Segunda.</w:t>
      </w:r>
      <w:r w:rsidRPr="00446890">
        <w:rPr>
          <w:rFonts w:cs="Arial"/>
          <w:sz w:val="28"/>
          <w:szCs w:val="28"/>
        </w:rPr>
        <w:t xml:space="preserve"> </w:t>
      </w:r>
      <w:r w:rsidR="00F35243" w:rsidRPr="00446890">
        <w:rPr>
          <w:rFonts w:cs="Arial"/>
          <w:sz w:val="28"/>
          <w:szCs w:val="28"/>
        </w:rPr>
        <w:t xml:space="preserve">Sentencias </w:t>
      </w:r>
      <w:r w:rsidRPr="00446890">
        <w:rPr>
          <w:rFonts w:cs="Arial"/>
          <w:sz w:val="28"/>
          <w:szCs w:val="28"/>
        </w:rPr>
        <w:t>y tesis que no integran jurisprudencia.</w:t>
      </w:r>
    </w:p>
    <w:p w14:paraId="73789ED3" w14:textId="77777777" w:rsidR="00A62BC4" w:rsidRPr="00446890" w:rsidRDefault="00A62BC4" w:rsidP="00D41819">
      <w:pPr>
        <w:pStyle w:val="Estilo"/>
        <w:spacing w:line="480" w:lineRule="auto"/>
        <w:rPr>
          <w:rFonts w:cs="Arial"/>
          <w:sz w:val="28"/>
          <w:szCs w:val="28"/>
        </w:rPr>
      </w:pPr>
      <w:r w:rsidRPr="00446890">
        <w:rPr>
          <w:rFonts w:cs="Arial"/>
          <w:sz w:val="28"/>
          <w:szCs w:val="28"/>
        </w:rPr>
        <w:t>Para cada sección y subsección se atenderá, según corresponda, a los criterios de publicación señalados para el Pleno de este Alto Tribunal.</w:t>
      </w:r>
    </w:p>
    <w:p w14:paraId="757209A6" w14:textId="77777777" w:rsidR="004C0429" w:rsidRPr="00446890" w:rsidRDefault="004C0429" w:rsidP="00D41819">
      <w:pPr>
        <w:pStyle w:val="Estilo"/>
        <w:spacing w:line="480" w:lineRule="auto"/>
        <w:rPr>
          <w:rFonts w:cs="Arial"/>
          <w:sz w:val="28"/>
          <w:szCs w:val="28"/>
        </w:rPr>
      </w:pPr>
    </w:p>
    <w:p w14:paraId="32E90F08"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Quinta Parte.</w:t>
      </w:r>
      <w:r w:rsidRPr="00446890">
        <w:rPr>
          <w:rFonts w:cs="Arial"/>
          <w:sz w:val="28"/>
          <w:szCs w:val="28"/>
        </w:rPr>
        <w:t xml:space="preserve"> Tribunales Colegiados de Circuito.</w:t>
      </w:r>
    </w:p>
    <w:p w14:paraId="31F264C6" w14:textId="77777777" w:rsidR="00A62BC4" w:rsidRPr="00446890" w:rsidRDefault="00A62BC4" w:rsidP="00D41819">
      <w:pPr>
        <w:pStyle w:val="Estilo"/>
        <w:spacing w:line="480" w:lineRule="auto"/>
        <w:rPr>
          <w:rFonts w:cs="Arial"/>
          <w:sz w:val="28"/>
          <w:szCs w:val="28"/>
        </w:rPr>
      </w:pPr>
    </w:p>
    <w:p w14:paraId="3B10C29E"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Sección Primera.</w:t>
      </w:r>
      <w:r w:rsidRPr="00446890">
        <w:rPr>
          <w:rFonts w:cs="Arial"/>
          <w:sz w:val="28"/>
          <w:szCs w:val="28"/>
        </w:rPr>
        <w:t xml:space="preserve"> Jurisprudencia.</w:t>
      </w:r>
    </w:p>
    <w:p w14:paraId="0D06F434"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Subsección 1.</w:t>
      </w:r>
      <w:r w:rsidRPr="00446890">
        <w:rPr>
          <w:rFonts w:cs="Arial"/>
          <w:sz w:val="28"/>
          <w:szCs w:val="28"/>
        </w:rPr>
        <w:t xml:space="preserve"> Por reiteración.</w:t>
      </w:r>
    </w:p>
    <w:p w14:paraId="5ED32955"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 xml:space="preserve">Subsección 2. </w:t>
      </w:r>
      <w:r w:rsidRPr="00446890">
        <w:rPr>
          <w:rFonts w:cs="Arial"/>
          <w:sz w:val="28"/>
          <w:szCs w:val="28"/>
        </w:rPr>
        <w:t>Sentencias que interrumpen jurisprudencia.</w:t>
      </w:r>
    </w:p>
    <w:p w14:paraId="65E595CA" w14:textId="77777777" w:rsidR="00357836" w:rsidRPr="00446890" w:rsidRDefault="00357836" w:rsidP="00D41819">
      <w:pPr>
        <w:pStyle w:val="Estilo"/>
        <w:spacing w:line="480" w:lineRule="auto"/>
        <w:rPr>
          <w:rFonts w:cs="Arial"/>
          <w:sz w:val="28"/>
          <w:szCs w:val="28"/>
        </w:rPr>
      </w:pPr>
    </w:p>
    <w:p w14:paraId="33B06683" w14:textId="0333DEC1" w:rsidR="00A62BC4" w:rsidRPr="00446890" w:rsidRDefault="00A62BC4" w:rsidP="00D41819">
      <w:pPr>
        <w:pStyle w:val="Estilo"/>
        <w:spacing w:line="480" w:lineRule="auto"/>
        <w:rPr>
          <w:rFonts w:cs="Arial"/>
          <w:sz w:val="28"/>
          <w:szCs w:val="28"/>
        </w:rPr>
      </w:pPr>
      <w:r w:rsidRPr="00446890">
        <w:rPr>
          <w:rFonts w:cs="Arial"/>
          <w:i/>
          <w:iCs/>
          <w:sz w:val="28"/>
          <w:szCs w:val="28"/>
        </w:rPr>
        <w:t>Sección Segunda.</w:t>
      </w:r>
      <w:r w:rsidRPr="00446890">
        <w:rPr>
          <w:rFonts w:cs="Arial"/>
          <w:sz w:val="28"/>
          <w:szCs w:val="28"/>
        </w:rPr>
        <w:t xml:space="preserve"> </w:t>
      </w:r>
      <w:r w:rsidR="00F35243" w:rsidRPr="00446890">
        <w:rPr>
          <w:rFonts w:cs="Arial"/>
          <w:sz w:val="28"/>
          <w:szCs w:val="28"/>
        </w:rPr>
        <w:t xml:space="preserve">Sentencias </w:t>
      </w:r>
      <w:r w:rsidRPr="00446890">
        <w:rPr>
          <w:rFonts w:cs="Arial"/>
          <w:sz w:val="28"/>
          <w:szCs w:val="28"/>
        </w:rPr>
        <w:t>y tesis que no integran jurisprudencia.</w:t>
      </w:r>
    </w:p>
    <w:p w14:paraId="11597A4C" w14:textId="77777777" w:rsidR="00A62BC4" w:rsidRPr="00446890" w:rsidRDefault="00A62BC4" w:rsidP="00D41819">
      <w:pPr>
        <w:pStyle w:val="Estilo"/>
        <w:spacing w:line="480" w:lineRule="auto"/>
        <w:rPr>
          <w:rFonts w:cs="Arial"/>
          <w:sz w:val="28"/>
          <w:szCs w:val="28"/>
        </w:rPr>
      </w:pPr>
      <w:r w:rsidRPr="00446890">
        <w:rPr>
          <w:rFonts w:cs="Arial"/>
          <w:sz w:val="28"/>
          <w:szCs w:val="28"/>
        </w:rPr>
        <w:lastRenderedPageBreak/>
        <w:t>Para cada sección y subsección se atenderá, según corresponda, a los criterios de publicación señalados para el Pleno de este Alto Tribunal.</w:t>
      </w:r>
    </w:p>
    <w:p w14:paraId="30B56CC2" w14:textId="77777777" w:rsidR="00A62BC4" w:rsidRPr="00446890" w:rsidRDefault="00A62BC4" w:rsidP="00D41819">
      <w:pPr>
        <w:pStyle w:val="Estilo"/>
        <w:spacing w:line="480" w:lineRule="auto"/>
        <w:rPr>
          <w:rFonts w:cs="Arial"/>
          <w:sz w:val="28"/>
          <w:szCs w:val="28"/>
        </w:rPr>
      </w:pPr>
    </w:p>
    <w:p w14:paraId="3B1A1C54" w14:textId="3655A7D5" w:rsidR="00A62BC4" w:rsidRDefault="00A62BC4" w:rsidP="00D41819">
      <w:pPr>
        <w:pStyle w:val="Estilo"/>
        <w:spacing w:line="480" w:lineRule="auto"/>
        <w:rPr>
          <w:rFonts w:cs="Arial"/>
          <w:sz w:val="28"/>
          <w:szCs w:val="28"/>
        </w:rPr>
      </w:pPr>
      <w:r w:rsidRPr="00446890">
        <w:rPr>
          <w:rFonts w:cs="Arial"/>
          <w:i/>
          <w:iCs/>
          <w:sz w:val="28"/>
          <w:szCs w:val="28"/>
        </w:rPr>
        <w:t>Sexta Parte.</w:t>
      </w:r>
      <w:r w:rsidRPr="00446890">
        <w:rPr>
          <w:rFonts w:cs="Arial"/>
          <w:sz w:val="28"/>
          <w:szCs w:val="28"/>
        </w:rPr>
        <w:t xml:space="preserve"> Normativa</w:t>
      </w:r>
      <w:r w:rsidR="00AB04FF" w:rsidRPr="00446890">
        <w:rPr>
          <w:rFonts w:cs="Arial"/>
          <w:sz w:val="28"/>
          <w:szCs w:val="28"/>
        </w:rPr>
        <w:t>,</w:t>
      </w:r>
      <w:r w:rsidRPr="00446890">
        <w:rPr>
          <w:rFonts w:cs="Arial"/>
          <w:sz w:val="28"/>
          <w:szCs w:val="28"/>
        </w:rPr>
        <w:t xml:space="preserve"> Acuerdos </w:t>
      </w:r>
      <w:r w:rsidR="00AB04FF" w:rsidRPr="00446890">
        <w:rPr>
          <w:rFonts w:cs="Arial"/>
          <w:sz w:val="28"/>
          <w:szCs w:val="28"/>
        </w:rPr>
        <w:t>R</w:t>
      </w:r>
      <w:r w:rsidRPr="00446890">
        <w:rPr>
          <w:rFonts w:cs="Arial"/>
          <w:sz w:val="28"/>
          <w:szCs w:val="28"/>
        </w:rPr>
        <w:t>elevantes</w:t>
      </w:r>
      <w:r w:rsidR="00AB04FF" w:rsidRPr="00446890">
        <w:rPr>
          <w:rFonts w:cs="Arial"/>
          <w:sz w:val="28"/>
          <w:szCs w:val="28"/>
        </w:rPr>
        <w:t xml:space="preserve"> y Otros</w:t>
      </w:r>
      <w:r w:rsidRPr="00446890">
        <w:rPr>
          <w:rFonts w:cs="Arial"/>
          <w:sz w:val="28"/>
          <w:szCs w:val="28"/>
        </w:rPr>
        <w:t>.</w:t>
      </w:r>
    </w:p>
    <w:p w14:paraId="0F1468F5" w14:textId="77777777" w:rsidR="004E02B6" w:rsidRPr="00446890" w:rsidRDefault="004E02B6" w:rsidP="00D41819">
      <w:pPr>
        <w:pStyle w:val="Estilo"/>
        <w:spacing w:line="480" w:lineRule="auto"/>
        <w:rPr>
          <w:rFonts w:cs="Arial"/>
          <w:sz w:val="28"/>
          <w:szCs w:val="28"/>
        </w:rPr>
      </w:pPr>
    </w:p>
    <w:p w14:paraId="4A8ED2F7"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Sección Primera.</w:t>
      </w:r>
      <w:r w:rsidRPr="00446890">
        <w:rPr>
          <w:rFonts w:cs="Arial"/>
          <w:sz w:val="28"/>
          <w:szCs w:val="28"/>
        </w:rPr>
        <w:t xml:space="preserve"> Suprema Corte de Justicia de la Nación.</w:t>
      </w:r>
    </w:p>
    <w:p w14:paraId="64402CD0"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Subsección 1.</w:t>
      </w:r>
      <w:r w:rsidRPr="00446890">
        <w:rPr>
          <w:rFonts w:cs="Arial"/>
          <w:sz w:val="28"/>
          <w:szCs w:val="28"/>
        </w:rPr>
        <w:t xml:space="preserve"> Pleno.</w:t>
      </w:r>
    </w:p>
    <w:p w14:paraId="0D0414A9"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Subsección 2.</w:t>
      </w:r>
      <w:r w:rsidRPr="00446890">
        <w:rPr>
          <w:rFonts w:cs="Arial"/>
          <w:sz w:val="28"/>
          <w:szCs w:val="28"/>
        </w:rPr>
        <w:t xml:space="preserve"> </w:t>
      </w:r>
      <w:r w:rsidR="00AB04FF" w:rsidRPr="00446890">
        <w:rPr>
          <w:rFonts w:cs="Arial"/>
          <w:sz w:val="28"/>
          <w:szCs w:val="28"/>
        </w:rPr>
        <w:t>Salas</w:t>
      </w:r>
      <w:r w:rsidRPr="00446890">
        <w:rPr>
          <w:rFonts w:cs="Arial"/>
          <w:sz w:val="28"/>
          <w:szCs w:val="28"/>
        </w:rPr>
        <w:t>.</w:t>
      </w:r>
    </w:p>
    <w:p w14:paraId="70995CDA" w14:textId="77777777" w:rsidR="00AB04FF" w:rsidRPr="00446890" w:rsidRDefault="00AB04FF" w:rsidP="00D41819">
      <w:pPr>
        <w:pStyle w:val="Estilo"/>
        <w:spacing w:line="480" w:lineRule="auto"/>
        <w:rPr>
          <w:rFonts w:cs="Arial"/>
          <w:sz w:val="28"/>
          <w:szCs w:val="28"/>
        </w:rPr>
      </w:pPr>
      <w:r w:rsidRPr="00446890">
        <w:rPr>
          <w:rFonts w:cs="Arial"/>
          <w:i/>
          <w:iCs/>
          <w:sz w:val="28"/>
          <w:szCs w:val="28"/>
        </w:rPr>
        <w:t>Subsección 3.</w:t>
      </w:r>
      <w:r w:rsidRPr="00446890">
        <w:rPr>
          <w:rFonts w:cs="Arial"/>
          <w:sz w:val="28"/>
          <w:szCs w:val="28"/>
        </w:rPr>
        <w:t xml:space="preserve"> Ministro Presidente.</w:t>
      </w:r>
    </w:p>
    <w:p w14:paraId="468BFFA5" w14:textId="77777777" w:rsidR="00AB04FF" w:rsidRPr="00446890" w:rsidRDefault="00AB04FF" w:rsidP="00D41819">
      <w:pPr>
        <w:pStyle w:val="Estilo"/>
        <w:spacing w:line="480" w:lineRule="auto"/>
        <w:rPr>
          <w:rFonts w:cs="Arial"/>
          <w:sz w:val="28"/>
          <w:szCs w:val="28"/>
        </w:rPr>
      </w:pPr>
      <w:r w:rsidRPr="00446890">
        <w:rPr>
          <w:rFonts w:cs="Arial"/>
          <w:i/>
          <w:iCs/>
          <w:sz w:val="28"/>
          <w:szCs w:val="28"/>
        </w:rPr>
        <w:t>Subsección 4.</w:t>
      </w:r>
      <w:r w:rsidRPr="00446890">
        <w:rPr>
          <w:rFonts w:cs="Arial"/>
          <w:sz w:val="28"/>
          <w:szCs w:val="28"/>
        </w:rPr>
        <w:t xml:space="preserve"> Comités.</w:t>
      </w:r>
    </w:p>
    <w:p w14:paraId="773FB4C8" w14:textId="77777777" w:rsidR="000B6AFD" w:rsidRPr="00446890" w:rsidRDefault="000B6AFD" w:rsidP="00D41819">
      <w:pPr>
        <w:pStyle w:val="Estilo"/>
        <w:spacing w:line="480" w:lineRule="auto"/>
        <w:rPr>
          <w:rFonts w:cs="Arial"/>
          <w:i/>
          <w:iCs/>
          <w:sz w:val="28"/>
          <w:szCs w:val="28"/>
        </w:rPr>
      </w:pPr>
    </w:p>
    <w:p w14:paraId="03DB3EE0" w14:textId="40C8ED2D" w:rsidR="00A62BC4" w:rsidRPr="00446890" w:rsidRDefault="00A62BC4" w:rsidP="00D41819">
      <w:pPr>
        <w:pStyle w:val="Estilo"/>
        <w:spacing w:line="480" w:lineRule="auto"/>
        <w:rPr>
          <w:rFonts w:cs="Arial"/>
          <w:sz w:val="28"/>
          <w:szCs w:val="28"/>
        </w:rPr>
      </w:pPr>
      <w:r w:rsidRPr="00446890">
        <w:rPr>
          <w:rFonts w:cs="Arial"/>
          <w:i/>
          <w:iCs/>
          <w:sz w:val="28"/>
          <w:szCs w:val="28"/>
        </w:rPr>
        <w:t>Sección Segunda.</w:t>
      </w:r>
      <w:r w:rsidRPr="00446890">
        <w:rPr>
          <w:rFonts w:cs="Arial"/>
          <w:sz w:val="28"/>
          <w:szCs w:val="28"/>
        </w:rPr>
        <w:t xml:space="preserve"> Consejo de la Judicatura Federal.</w:t>
      </w:r>
    </w:p>
    <w:p w14:paraId="0D07DA5D" w14:textId="77777777" w:rsidR="00A62BC4" w:rsidRPr="00446890" w:rsidRDefault="00A62BC4" w:rsidP="00D41819">
      <w:pPr>
        <w:pStyle w:val="Estilo"/>
        <w:spacing w:line="480" w:lineRule="auto"/>
        <w:rPr>
          <w:rFonts w:cs="Arial"/>
          <w:sz w:val="28"/>
          <w:szCs w:val="28"/>
        </w:rPr>
      </w:pPr>
    </w:p>
    <w:p w14:paraId="0150E41A"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Sección Tercera.</w:t>
      </w:r>
      <w:r w:rsidRPr="00446890">
        <w:rPr>
          <w:rFonts w:cs="Arial"/>
          <w:sz w:val="28"/>
          <w:szCs w:val="28"/>
        </w:rPr>
        <w:t xml:space="preserve"> Acuerdos Generales Conjuntos.</w:t>
      </w:r>
    </w:p>
    <w:p w14:paraId="174B6368" w14:textId="77777777" w:rsidR="00A62BC4" w:rsidRPr="00446890" w:rsidRDefault="00A62BC4" w:rsidP="00D41819">
      <w:pPr>
        <w:pStyle w:val="Estilo"/>
        <w:spacing w:line="480" w:lineRule="auto"/>
        <w:rPr>
          <w:rFonts w:cs="Arial"/>
          <w:sz w:val="28"/>
          <w:szCs w:val="28"/>
        </w:rPr>
      </w:pPr>
    </w:p>
    <w:p w14:paraId="42315BD5" w14:textId="77777777" w:rsidR="00111DBC" w:rsidRPr="00446890" w:rsidRDefault="00111DBC" w:rsidP="00D41819">
      <w:pPr>
        <w:pStyle w:val="Estilo"/>
        <w:spacing w:line="480" w:lineRule="auto"/>
        <w:rPr>
          <w:rFonts w:cs="Arial"/>
          <w:sz w:val="28"/>
          <w:szCs w:val="28"/>
        </w:rPr>
      </w:pPr>
      <w:r w:rsidRPr="00446890">
        <w:rPr>
          <w:rFonts w:cs="Arial"/>
          <w:i/>
          <w:iCs/>
          <w:sz w:val="28"/>
          <w:szCs w:val="28"/>
        </w:rPr>
        <w:t>Séptima Parte.</w:t>
      </w:r>
      <w:r w:rsidRPr="00446890">
        <w:rPr>
          <w:rFonts w:cs="Arial"/>
          <w:sz w:val="28"/>
          <w:szCs w:val="28"/>
        </w:rPr>
        <w:t xml:space="preserve"> Sentencias relevantes dictadas por otros tribunales, previo acuerdo del Pleno o de alguna de las Salas de la Suprema Corte de Justicia de la Nación.</w:t>
      </w:r>
    </w:p>
    <w:p w14:paraId="7A9CD18E" w14:textId="77777777" w:rsidR="00357836" w:rsidRPr="00446890" w:rsidRDefault="00357836" w:rsidP="00D41819">
      <w:pPr>
        <w:pStyle w:val="Estilo"/>
        <w:spacing w:line="480" w:lineRule="auto"/>
        <w:rPr>
          <w:rFonts w:cs="Arial"/>
          <w:sz w:val="28"/>
          <w:szCs w:val="28"/>
        </w:rPr>
      </w:pPr>
    </w:p>
    <w:p w14:paraId="6D202E91" w14:textId="77777777" w:rsidR="00A62BC4" w:rsidRPr="00446890" w:rsidRDefault="00A62BC4" w:rsidP="00D41819">
      <w:pPr>
        <w:pStyle w:val="Estilo"/>
        <w:spacing w:line="480" w:lineRule="auto"/>
        <w:rPr>
          <w:rFonts w:cs="Arial"/>
          <w:sz w:val="28"/>
          <w:szCs w:val="28"/>
        </w:rPr>
      </w:pPr>
      <w:r w:rsidRPr="00446890">
        <w:rPr>
          <w:rFonts w:cs="Arial"/>
          <w:i/>
          <w:iCs/>
          <w:sz w:val="28"/>
          <w:szCs w:val="28"/>
        </w:rPr>
        <w:t xml:space="preserve">Octava Parte. </w:t>
      </w:r>
      <w:r w:rsidRPr="00446890">
        <w:rPr>
          <w:rFonts w:cs="Arial"/>
          <w:sz w:val="28"/>
          <w:szCs w:val="28"/>
        </w:rPr>
        <w:t>Sentencias de la Suprema Corte de Justicia de la Nación cuya publicación no es obligatoria y los votos respectivos.</w:t>
      </w:r>
    </w:p>
    <w:p w14:paraId="06A765CB" w14:textId="3E02C232" w:rsidR="00A62BC4" w:rsidRPr="00446890" w:rsidRDefault="00A62BC4" w:rsidP="00D41819">
      <w:pPr>
        <w:pStyle w:val="Estilo"/>
        <w:spacing w:line="480" w:lineRule="auto"/>
        <w:rPr>
          <w:rFonts w:cs="Arial"/>
          <w:sz w:val="28"/>
          <w:szCs w:val="28"/>
        </w:rPr>
      </w:pPr>
      <w:r w:rsidRPr="00446890">
        <w:rPr>
          <w:rFonts w:cs="Arial"/>
          <w:sz w:val="28"/>
          <w:szCs w:val="28"/>
        </w:rPr>
        <w:lastRenderedPageBreak/>
        <w:t xml:space="preserve">En esta sección se incluirán los votos emitidos respecto de </w:t>
      </w:r>
      <w:r w:rsidR="00C62638" w:rsidRPr="00446890">
        <w:rPr>
          <w:rFonts w:cs="Arial"/>
          <w:sz w:val="28"/>
          <w:szCs w:val="28"/>
        </w:rPr>
        <w:t xml:space="preserve">sentencias </w:t>
      </w:r>
      <w:r w:rsidRPr="00446890">
        <w:rPr>
          <w:rFonts w:cs="Arial"/>
          <w:sz w:val="28"/>
          <w:szCs w:val="28"/>
        </w:rPr>
        <w:t>cuya publicación no es obligatoria ni se ordenó por el Pleno o las Salas de este Alto Tribunal.</w:t>
      </w:r>
    </w:p>
    <w:p w14:paraId="5EF8CCA0" w14:textId="77777777" w:rsidR="00A62BC4" w:rsidRPr="00446890" w:rsidRDefault="00A62BC4" w:rsidP="00D41819">
      <w:pPr>
        <w:pStyle w:val="Estilo"/>
        <w:spacing w:line="480" w:lineRule="auto"/>
        <w:rPr>
          <w:rFonts w:cs="Arial"/>
          <w:sz w:val="28"/>
          <w:szCs w:val="28"/>
        </w:rPr>
      </w:pPr>
    </w:p>
    <w:p w14:paraId="09CEF297" w14:textId="77777777" w:rsidR="00111DBC" w:rsidRPr="00446890" w:rsidRDefault="00111DBC" w:rsidP="00D41819">
      <w:pPr>
        <w:pStyle w:val="Estilo"/>
        <w:spacing w:line="480" w:lineRule="auto"/>
        <w:rPr>
          <w:rFonts w:cs="Arial"/>
          <w:sz w:val="28"/>
          <w:szCs w:val="28"/>
        </w:rPr>
      </w:pPr>
      <w:r w:rsidRPr="00446890">
        <w:rPr>
          <w:rFonts w:cs="Arial"/>
          <w:i/>
          <w:iCs/>
          <w:sz w:val="28"/>
          <w:szCs w:val="28"/>
        </w:rPr>
        <w:t>Novena Parte.</w:t>
      </w:r>
      <w:r w:rsidRPr="00446890">
        <w:rPr>
          <w:rFonts w:cs="Arial"/>
          <w:sz w:val="28"/>
          <w:szCs w:val="28"/>
        </w:rPr>
        <w:t xml:space="preserve"> Índices.</w:t>
      </w:r>
    </w:p>
    <w:p w14:paraId="4061CAFB" w14:textId="77777777" w:rsidR="00111DBC" w:rsidRPr="00446890" w:rsidRDefault="00111DBC" w:rsidP="00D41819">
      <w:pPr>
        <w:pStyle w:val="Estilo"/>
        <w:spacing w:line="480" w:lineRule="auto"/>
        <w:rPr>
          <w:rFonts w:cs="Arial"/>
          <w:sz w:val="28"/>
          <w:szCs w:val="28"/>
        </w:rPr>
      </w:pPr>
      <w:r w:rsidRPr="00446890">
        <w:rPr>
          <w:rFonts w:cs="Arial"/>
          <w:sz w:val="28"/>
          <w:szCs w:val="28"/>
        </w:rPr>
        <w:t>Índice General Alfabético de Tesis de Jurisprudencia y Aisladas.</w:t>
      </w:r>
    </w:p>
    <w:p w14:paraId="02B4DA86" w14:textId="5DAB1335" w:rsidR="00111DBC" w:rsidRPr="00446890" w:rsidRDefault="00111DBC" w:rsidP="00D41819">
      <w:pPr>
        <w:pStyle w:val="Estilo"/>
        <w:spacing w:line="480" w:lineRule="auto"/>
        <w:rPr>
          <w:rFonts w:cs="Arial"/>
          <w:sz w:val="28"/>
          <w:szCs w:val="28"/>
        </w:rPr>
      </w:pPr>
      <w:r w:rsidRPr="00446890">
        <w:rPr>
          <w:rFonts w:cs="Arial"/>
          <w:sz w:val="28"/>
          <w:szCs w:val="28"/>
        </w:rPr>
        <w:t>Índice de</w:t>
      </w:r>
      <w:r w:rsidR="00C62638" w:rsidRPr="00446890">
        <w:rPr>
          <w:rFonts w:cs="Arial"/>
          <w:sz w:val="28"/>
          <w:szCs w:val="28"/>
        </w:rPr>
        <w:t xml:space="preserve"> sentencias</w:t>
      </w:r>
      <w:r w:rsidRPr="00446890">
        <w:rPr>
          <w:rFonts w:cs="Arial"/>
          <w:sz w:val="28"/>
          <w:szCs w:val="28"/>
        </w:rPr>
        <w:t>.</w:t>
      </w:r>
    </w:p>
    <w:p w14:paraId="6F300A43" w14:textId="77777777" w:rsidR="00111DBC" w:rsidRPr="00446890" w:rsidRDefault="00111DBC" w:rsidP="00D41819">
      <w:pPr>
        <w:pStyle w:val="Estilo"/>
        <w:spacing w:line="480" w:lineRule="auto"/>
        <w:rPr>
          <w:rFonts w:cs="Arial"/>
          <w:sz w:val="28"/>
          <w:szCs w:val="28"/>
        </w:rPr>
      </w:pPr>
      <w:r w:rsidRPr="00446890">
        <w:rPr>
          <w:rFonts w:cs="Arial"/>
          <w:sz w:val="28"/>
          <w:szCs w:val="28"/>
        </w:rPr>
        <w:t>Índice de Votos.</w:t>
      </w:r>
    </w:p>
    <w:p w14:paraId="2106A667" w14:textId="77777777" w:rsidR="00111DBC" w:rsidRPr="00446890" w:rsidRDefault="00111DBC" w:rsidP="00D41819">
      <w:pPr>
        <w:pStyle w:val="Estilo"/>
        <w:spacing w:line="480" w:lineRule="auto"/>
        <w:rPr>
          <w:rFonts w:cs="Arial"/>
          <w:sz w:val="28"/>
          <w:szCs w:val="28"/>
        </w:rPr>
      </w:pPr>
      <w:r w:rsidRPr="00446890">
        <w:rPr>
          <w:rFonts w:cs="Arial"/>
          <w:sz w:val="28"/>
          <w:szCs w:val="28"/>
        </w:rPr>
        <w:t>Índice de Acciones de Inconstitucionalidad y Controversias Constitucionales.</w:t>
      </w:r>
    </w:p>
    <w:p w14:paraId="172A83C7" w14:textId="77777777" w:rsidR="00111DBC" w:rsidRPr="00446890" w:rsidRDefault="00111DBC" w:rsidP="00D41819">
      <w:pPr>
        <w:pStyle w:val="Estilo"/>
        <w:spacing w:line="480" w:lineRule="auto"/>
        <w:rPr>
          <w:rFonts w:cs="Arial"/>
          <w:sz w:val="28"/>
          <w:szCs w:val="28"/>
        </w:rPr>
      </w:pPr>
      <w:r w:rsidRPr="00446890">
        <w:rPr>
          <w:rFonts w:cs="Arial"/>
          <w:sz w:val="28"/>
          <w:szCs w:val="28"/>
        </w:rPr>
        <w:t>Índice de Normativa, Acuerdos Relevantes y Otros de la Suprema Corte de Justicia de la Nación.</w:t>
      </w:r>
    </w:p>
    <w:p w14:paraId="550E3246" w14:textId="77777777" w:rsidR="00111DBC" w:rsidRPr="00446890" w:rsidRDefault="00111DBC" w:rsidP="00D41819">
      <w:pPr>
        <w:pStyle w:val="Estilo"/>
        <w:spacing w:line="480" w:lineRule="auto"/>
        <w:rPr>
          <w:rFonts w:cs="Arial"/>
          <w:sz w:val="28"/>
          <w:szCs w:val="28"/>
        </w:rPr>
      </w:pPr>
      <w:r w:rsidRPr="00446890">
        <w:rPr>
          <w:rFonts w:cs="Arial"/>
          <w:sz w:val="28"/>
          <w:szCs w:val="28"/>
        </w:rPr>
        <w:t>Índice de Normativa, Acuerdos Relevantes y Otros del Consejo de la Judicatura Federal.</w:t>
      </w:r>
    </w:p>
    <w:p w14:paraId="1CAB7E20" w14:textId="77777777" w:rsidR="00111DBC" w:rsidRPr="00446890" w:rsidRDefault="00111DBC" w:rsidP="00D41819">
      <w:pPr>
        <w:pStyle w:val="Estilo"/>
        <w:spacing w:line="480" w:lineRule="auto"/>
        <w:rPr>
          <w:rFonts w:cs="Arial"/>
          <w:sz w:val="28"/>
          <w:szCs w:val="28"/>
        </w:rPr>
      </w:pPr>
      <w:r w:rsidRPr="00446890">
        <w:rPr>
          <w:rFonts w:cs="Arial"/>
          <w:sz w:val="28"/>
          <w:szCs w:val="28"/>
        </w:rPr>
        <w:t>Índice de Normativa y Acuerdos Generales Conjuntos.</w:t>
      </w:r>
    </w:p>
    <w:p w14:paraId="7A124B2B" w14:textId="77777777" w:rsidR="00AB04FF" w:rsidRPr="00446890" w:rsidRDefault="00AB04FF" w:rsidP="00D41819">
      <w:pPr>
        <w:pStyle w:val="Estilo"/>
        <w:spacing w:line="480" w:lineRule="auto"/>
        <w:rPr>
          <w:rFonts w:cs="Arial"/>
          <w:sz w:val="28"/>
          <w:szCs w:val="28"/>
        </w:rPr>
      </w:pPr>
      <w:r w:rsidRPr="00446890">
        <w:rPr>
          <w:rFonts w:cs="Arial"/>
          <w:sz w:val="28"/>
          <w:szCs w:val="28"/>
        </w:rPr>
        <w:t xml:space="preserve">Índice </w:t>
      </w:r>
      <w:r w:rsidR="00D36495" w:rsidRPr="00446890">
        <w:rPr>
          <w:rFonts w:cs="Arial"/>
          <w:sz w:val="28"/>
          <w:szCs w:val="28"/>
        </w:rPr>
        <w:t>en</w:t>
      </w:r>
      <w:r w:rsidRPr="00446890">
        <w:rPr>
          <w:rFonts w:cs="Arial"/>
          <w:sz w:val="28"/>
          <w:szCs w:val="28"/>
        </w:rPr>
        <w:t xml:space="preserve"> Materia </w:t>
      </w:r>
      <w:r w:rsidR="00D36495" w:rsidRPr="00446890">
        <w:rPr>
          <w:rFonts w:cs="Arial"/>
          <w:sz w:val="28"/>
          <w:szCs w:val="28"/>
        </w:rPr>
        <w:t>Constitucional</w:t>
      </w:r>
      <w:r w:rsidRPr="00446890">
        <w:rPr>
          <w:rFonts w:cs="Arial"/>
          <w:sz w:val="28"/>
          <w:szCs w:val="28"/>
        </w:rPr>
        <w:t>.</w:t>
      </w:r>
    </w:p>
    <w:p w14:paraId="2ADA9DA5" w14:textId="77777777" w:rsidR="00D36495" w:rsidRPr="00446890" w:rsidRDefault="00AB04FF" w:rsidP="00D41819">
      <w:pPr>
        <w:pStyle w:val="Estilo"/>
        <w:spacing w:line="480" w:lineRule="auto"/>
        <w:rPr>
          <w:rFonts w:cs="Arial"/>
          <w:sz w:val="28"/>
          <w:szCs w:val="28"/>
        </w:rPr>
      </w:pPr>
      <w:r w:rsidRPr="00446890">
        <w:rPr>
          <w:rFonts w:cs="Arial"/>
          <w:sz w:val="28"/>
          <w:szCs w:val="28"/>
        </w:rPr>
        <w:t xml:space="preserve">Índice </w:t>
      </w:r>
      <w:r w:rsidR="00D36495" w:rsidRPr="00446890">
        <w:rPr>
          <w:rFonts w:cs="Arial"/>
          <w:sz w:val="28"/>
          <w:szCs w:val="28"/>
        </w:rPr>
        <w:t>en Materia Penal.</w:t>
      </w:r>
    </w:p>
    <w:p w14:paraId="1FDE8182" w14:textId="77777777" w:rsidR="00D36495" w:rsidRPr="00446890" w:rsidRDefault="00D36495" w:rsidP="00D41819">
      <w:pPr>
        <w:pStyle w:val="Estilo"/>
        <w:spacing w:line="480" w:lineRule="auto"/>
        <w:rPr>
          <w:rFonts w:cs="Arial"/>
          <w:sz w:val="28"/>
          <w:szCs w:val="28"/>
        </w:rPr>
      </w:pPr>
      <w:r w:rsidRPr="00446890">
        <w:rPr>
          <w:rFonts w:cs="Arial"/>
          <w:sz w:val="28"/>
          <w:szCs w:val="28"/>
        </w:rPr>
        <w:t>Índice en Materia Administrativa.</w:t>
      </w:r>
    </w:p>
    <w:p w14:paraId="361B2567" w14:textId="77777777" w:rsidR="00D36495" w:rsidRPr="00446890" w:rsidRDefault="00D36495" w:rsidP="00D41819">
      <w:pPr>
        <w:pStyle w:val="Estilo"/>
        <w:spacing w:line="480" w:lineRule="auto"/>
        <w:rPr>
          <w:rFonts w:cs="Arial"/>
          <w:sz w:val="28"/>
          <w:szCs w:val="28"/>
        </w:rPr>
      </w:pPr>
      <w:r w:rsidRPr="00446890">
        <w:rPr>
          <w:rFonts w:cs="Arial"/>
          <w:sz w:val="28"/>
          <w:szCs w:val="28"/>
        </w:rPr>
        <w:t>Índice en Materia Civil.</w:t>
      </w:r>
    </w:p>
    <w:p w14:paraId="4A76BDB4" w14:textId="77777777" w:rsidR="00D36495" w:rsidRPr="00446890" w:rsidRDefault="00D36495" w:rsidP="00D41819">
      <w:pPr>
        <w:pStyle w:val="Estilo"/>
        <w:spacing w:line="480" w:lineRule="auto"/>
        <w:rPr>
          <w:rFonts w:cs="Arial"/>
          <w:sz w:val="28"/>
          <w:szCs w:val="28"/>
        </w:rPr>
      </w:pPr>
      <w:r w:rsidRPr="00446890">
        <w:rPr>
          <w:rFonts w:cs="Arial"/>
          <w:sz w:val="28"/>
          <w:szCs w:val="28"/>
        </w:rPr>
        <w:t>Índice en Materia Laboral.</w:t>
      </w:r>
    </w:p>
    <w:p w14:paraId="485881B3" w14:textId="77777777" w:rsidR="00D36495" w:rsidRPr="00446890" w:rsidRDefault="00D36495" w:rsidP="00D41819">
      <w:pPr>
        <w:pStyle w:val="Estilo"/>
        <w:spacing w:line="480" w:lineRule="auto"/>
        <w:rPr>
          <w:rFonts w:cs="Arial"/>
          <w:sz w:val="28"/>
          <w:szCs w:val="28"/>
        </w:rPr>
      </w:pPr>
      <w:r w:rsidRPr="00446890">
        <w:rPr>
          <w:rFonts w:cs="Arial"/>
          <w:sz w:val="28"/>
          <w:szCs w:val="28"/>
        </w:rPr>
        <w:t>Índice en Materia Común.</w:t>
      </w:r>
    </w:p>
    <w:p w14:paraId="06748BAB" w14:textId="77777777" w:rsidR="00D36495" w:rsidRPr="00446890" w:rsidRDefault="00D36495" w:rsidP="00D41819">
      <w:pPr>
        <w:pStyle w:val="Estilo"/>
        <w:spacing w:line="480" w:lineRule="auto"/>
        <w:rPr>
          <w:rFonts w:cs="Arial"/>
          <w:sz w:val="28"/>
          <w:szCs w:val="28"/>
        </w:rPr>
      </w:pPr>
      <w:r w:rsidRPr="00446890">
        <w:rPr>
          <w:rFonts w:cs="Arial"/>
          <w:sz w:val="28"/>
          <w:szCs w:val="28"/>
        </w:rPr>
        <w:t>Índice de Jurisprudencia por Contradicción.</w:t>
      </w:r>
    </w:p>
    <w:p w14:paraId="401ED837" w14:textId="77777777" w:rsidR="00D36495" w:rsidRPr="00446890" w:rsidRDefault="00D36495" w:rsidP="00D41819">
      <w:pPr>
        <w:pStyle w:val="Estilo"/>
        <w:spacing w:line="480" w:lineRule="auto"/>
        <w:rPr>
          <w:rFonts w:cs="Arial"/>
          <w:sz w:val="28"/>
          <w:szCs w:val="28"/>
        </w:rPr>
      </w:pPr>
      <w:r w:rsidRPr="00446890">
        <w:rPr>
          <w:rFonts w:cs="Arial"/>
          <w:sz w:val="28"/>
          <w:szCs w:val="28"/>
        </w:rPr>
        <w:lastRenderedPageBreak/>
        <w:t>Tabla General Temática de Tesis de Jurisprudencia y Aisladas.</w:t>
      </w:r>
    </w:p>
    <w:p w14:paraId="7A599F8D" w14:textId="103916F4" w:rsidR="00AB04FF" w:rsidRPr="00446890" w:rsidRDefault="00D36495" w:rsidP="00D41819">
      <w:pPr>
        <w:pStyle w:val="Estilo"/>
        <w:spacing w:line="480" w:lineRule="auto"/>
        <w:rPr>
          <w:rFonts w:cs="Arial"/>
          <w:sz w:val="28"/>
          <w:szCs w:val="28"/>
        </w:rPr>
      </w:pPr>
      <w:r w:rsidRPr="00446890">
        <w:rPr>
          <w:rFonts w:cs="Arial"/>
          <w:sz w:val="28"/>
          <w:szCs w:val="28"/>
        </w:rPr>
        <w:t>Índice de Ordenamientos.</w:t>
      </w:r>
    </w:p>
    <w:p w14:paraId="5B4AE1CD" w14:textId="77777777" w:rsidR="00357836" w:rsidRPr="00446890" w:rsidRDefault="00357836" w:rsidP="00D41819">
      <w:pPr>
        <w:pStyle w:val="NormalWeb"/>
        <w:spacing w:before="0" w:beforeAutospacing="0" w:after="0" w:afterAutospacing="0" w:line="480" w:lineRule="auto"/>
        <w:ind w:left="142" w:firstLine="709"/>
        <w:jc w:val="both"/>
        <w:rPr>
          <w:rFonts w:ascii="Arial" w:hAnsi="Arial" w:cs="Arial"/>
          <w:b/>
          <w:sz w:val="28"/>
          <w:szCs w:val="28"/>
        </w:rPr>
      </w:pPr>
    </w:p>
    <w:p w14:paraId="62C55FCB" w14:textId="0CF042F5" w:rsidR="006A1343" w:rsidRPr="00446890" w:rsidRDefault="00E72FE0"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SEX</w:t>
      </w:r>
      <w:r w:rsidR="008974F0" w:rsidRPr="00446890">
        <w:rPr>
          <w:rFonts w:ascii="Arial" w:hAnsi="Arial" w:cs="Arial"/>
          <w:b/>
          <w:sz w:val="28"/>
          <w:szCs w:val="28"/>
        </w:rPr>
        <w:t>TO</w:t>
      </w:r>
      <w:r w:rsidR="000A3A2E" w:rsidRPr="00446890">
        <w:rPr>
          <w:rFonts w:ascii="Arial" w:hAnsi="Arial" w:cs="Arial"/>
          <w:b/>
          <w:sz w:val="28"/>
          <w:szCs w:val="28"/>
        </w:rPr>
        <w:t>.</w:t>
      </w:r>
      <w:r w:rsidR="000A3A2E" w:rsidRPr="00446890">
        <w:rPr>
          <w:rFonts w:ascii="Arial" w:hAnsi="Arial" w:cs="Arial"/>
          <w:sz w:val="28"/>
          <w:szCs w:val="28"/>
        </w:rPr>
        <w:t xml:space="preserve"> Los datos que deberá contener la información difundida en el Semanario Judicial de la Federación, tratándose de tesis jurisprudenciales y aisladas son, cuando menos, los siguientes:</w:t>
      </w:r>
    </w:p>
    <w:p w14:paraId="48F8E548" w14:textId="77777777" w:rsidR="006A1343" w:rsidRPr="00446890" w:rsidRDefault="006A1343" w:rsidP="00D41819">
      <w:pPr>
        <w:pStyle w:val="Estilo"/>
        <w:spacing w:line="480" w:lineRule="auto"/>
        <w:rPr>
          <w:rFonts w:cs="Arial"/>
          <w:sz w:val="28"/>
          <w:szCs w:val="28"/>
        </w:rPr>
      </w:pPr>
    </w:p>
    <w:p w14:paraId="0F80E2A3"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Número de registro digital que le corresponda en el sistema de compilación del Semanario Judicial de la Federación;</w:t>
      </w:r>
    </w:p>
    <w:p w14:paraId="5E8334C5" w14:textId="77777777" w:rsidR="006A1343" w:rsidRPr="00446890" w:rsidRDefault="006B3C91" w:rsidP="00D41819">
      <w:pPr>
        <w:pStyle w:val="Estilo"/>
        <w:numPr>
          <w:ilvl w:val="0"/>
          <w:numId w:val="1"/>
        </w:numPr>
        <w:spacing w:line="480" w:lineRule="auto"/>
        <w:ind w:left="1134" w:hanging="425"/>
        <w:rPr>
          <w:rFonts w:cs="Arial"/>
          <w:sz w:val="28"/>
          <w:szCs w:val="28"/>
        </w:rPr>
      </w:pPr>
      <w:r w:rsidRPr="00446890">
        <w:rPr>
          <w:rFonts w:cs="Arial"/>
          <w:sz w:val="28"/>
          <w:szCs w:val="28"/>
        </w:rPr>
        <w:t>N</w:t>
      </w:r>
      <w:r w:rsidR="000A3A2E" w:rsidRPr="00446890">
        <w:rPr>
          <w:rFonts w:cs="Arial"/>
          <w:sz w:val="28"/>
          <w:szCs w:val="28"/>
        </w:rPr>
        <w:t>úmero de identificación;</w:t>
      </w:r>
    </w:p>
    <w:p w14:paraId="6A8C5430"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Especificar si se trata de una tesis jurisprudencial o de una aislada;</w:t>
      </w:r>
    </w:p>
    <w:p w14:paraId="2486A17C"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La materia de derecho a la que corresponde el tema de la tesis;</w:t>
      </w:r>
    </w:p>
    <w:p w14:paraId="5BEDE90A"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Órgano emisor;</w:t>
      </w:r>
    </w:p>
    <w:p w14:paraId="5111FA0D"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Época a la que pertenece;</w:t>
      </w:r>
    </w:p>
    <w:p w14:paraId="39B2A143"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Tipo y número de asunto;</w:t>
      </w:r>
    </w:p>
    <w:p w14:paraId="14E14755" w14:textId="4969C732"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 xml:space="preserve">Nombre del promovente, de conformidad con </w:t>
      </w:r>
      <w:r w:rsidR="006E5415" w:rsidRPr="00446890">
        <w:rPr>
          <w:rFonts w:cs="Arial"/>
          <w:sz w:val="28"/>
          <w:szCs w:val="28"/>
        </w:rPr>
        <w:t>las dis</w:t>
      </w:r>
      <w:r w:rsidR="00CC697D" w:rsidRPr="00446890">
        <w:rPr>
          <w:rFonts w:cs="Arial"/>
          <w:sz w:val="28"/>
          <w:szCs w:val="28"/>
        </w:rPr>
        <w:t>posiciones aplicables en materia de transparencia y protección de datos personales;</w:t>
      </w:r>
    </w:p>
    <w:p w14:paraId="217A4001"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lastRenderedPageBreak/>
        <w:t>Nombre del ponente;</w:t>
      </w:r>
    </w:p>
    <w:p w14:paraId="69F61BB6"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Nombre del secretario proyectista;</w:t>
      </w:r>
    </w:p>
    <w:p w14:paraId="2191FB8C"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Fecha de la ejecutoria de la que deriva;</w:t>
      </w:r>
    </w:p>
    <w:p w14:paraId="786BE8F2"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Nombre del encargado del engrose</w:t>
      </w:r>
      <w:r w:rsidR="00A11EDF" w:rsidRPr="00446890">
        <w:rPr>
          <w:rFonts w:cs="Arial"/>
          <w:sz w:val="28"/>
          <w:szCs w:val="28"/>
        </w:rPr>
        <w:t>, en su caso</w:t>
      </w:r>
      <w:r w:rsidRPr="00446890">
        <w:rPr>
          <w:rFonts w:cs="Arial"/>
          <w:sz w:val="28"/>
          <w:szCs w:val="28"/>
        </w:rPr>
        <w:t>;</w:t>
      </w:r>
    </w:p>
    <w:p w14:paraId="5ED489DE"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Nombre del disidente, en su caso;</w:t>
      </w:r>
    </w:p>
    <w:p w14:paraId="1AB9F087"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Nombre del ausente, en su caso;</w:t>
      </w:r>
    </w:p>
    <w:p w14:paraId="6A4D2D94" w14:textId="7733E0A3"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La votación emitida. Tratándose de asuntos resueltos por la Suprema Corte de Justicia de la Nación y por los Plenos</w:t>
      </w:r>
      <w:r w:rsidR="00280260" w:rsidRPr="00446890">
        <w:rPr>
          <w:rFonts w:cs="Arial"/>
          <w:sz w:val="28"/>
          <w:szCs w:val="28"/>
        </w:rPr>
        <w:t xml:space="preserve"> Regionales</w:t>
      </w:r>
      <w:r w:rsidRPr="00446890">
        <w:rPr>
          <w:rFonts w:cs="Arial"/>
          <w:sz w:val="28"/>
          <w:szCs w:val="28"/>
        </w:rPr>
        <w:t>, se deberá señalar el nombre de los Ministros o de los Magistrados que intervinieron en ella, incluso cuando la votación sea unánime;</w:t>
      </w:r>
    </w:p>
    <w:p w14:paraId="2DDA6BFF" w14:textId="77777777"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Fecha y hora en que las tesis jurisprudenciales y aisladas sean ingresadas al Semanario Judicial de la Federación;</w:t>
      </w:r>
    </w:p>
    <w:p w14:paraId="2F6DD853" w14:textId="7C5A41CA" w:rsidR="006A1343" w:rsidRPr="00446890" w:rsidRDefault="000A3A2E" w:rsidP="00D41819">
      <w:pPr>
        <w:pStyle w:val="Estilo"/>
        <w:numPr>
          <w:ilvl w:val="0"/>
          <w:numId w:val="1"/>
        </w:numPr>
        <w:spacing w:line="480" w:lineRule="auto"/>
        <w:ind w:left="1134" w:hanging="425"/>
        <w:rPr>
          <w:rFonts w:cs="Arial"/>
          <w:sz w:val="28"/>
          <w:szCs w:val="28"/>
        </w:rPr>
      </w:pPr>
      <w:r w:rsidRPr="00446890">
        <w:rPr>
          <w:rFonts w:cs="Arial"/>
          <w:sz w:val="28"/>
          <w:szCs w:val="28"/>
        </w:rPr>
        <w:t xml:space="preserve">Fecha y hora en que las </w:t>
      </w:r>
      <w:r w:rsidR="00C62638" w:rsidRPr="00446890">
        <w:rPr>
          <w:rFonts w:cs="Arial"/>
          <w:sz w:val="28"/>
          <w:szCs w:val="28"/>
        </w:rPr>
        <w:t xml:space="preserve">sentencias </w:t>
      </w:r>
      <w:r w:rsidRPr="00446890">
        <w:rPr>
          <w:rFonts w:cs="Arial"/>
          <w:sz w:val="28"/>
          <w:szCs w:val="28"/>
        </w:rPr>
        <w:t>se ingresen al Semanario Judicial de la Federación, en su caso, los votos, y</w:t>
      </w:r>
    </w:p>
    <w:p w14:paraId="2410B4F5" w14:textId="3C20CB6F" w:rsidR="006A1343" w:rsidRPr="00446890" w:rsidRDefault="000A3A2E" w:rsidP="00D41819">
      <w:pPr>
        <w:pStyle w:val="Estilo"/>
        <w:numPr>
          <w:ilvl w:val="0"/>
          <w:numId w:val="1"/>
        </w:numPr>
        <w:spacing w:line="480" w:lineRule="auto"/>
        <w:ind w:left="1134" w:hanging="425"/>
        <w:rPr>
          <w:rFonts w:cs="Arial"/>
          <w:sz w:val="28"/>
          <w:szCs w:val="28"/>
          <w:u w:val="single"/>
        </w:rPr>
      </w:pPr>
      <w:r w:rsidRPr="00446890">
        <w:rPr>
          <w:rFonts w:cs="Arial"/>
          <w:sz w:val="28"/>
          <w:szCs w:val="28"/>
        </w:rPr>
        <w:t xml:space="preserve">Las notas que indiquen la fecha de publicación y de aplicación obligatoria de las tesis jurisprudenciales, así como las demás que resulten necesarias conforme </w:t>
      </w:r>
      <w:r w:rsidRPr="00446890">
        <w:rPr>
          <w:rFonts w:cs="Arial"/>
          <w:color w:val="000000" w:themeColor="text1"/>
          <w:sz w:val="28"/>
          <w:szCs w:val="28"/>
        </w:rPr>
        <w:t xml:space="preserve">a la tipología </w:t>
      </w:r>
      <w:r w:rsidR="00E217D7" w:rsidRPr="00446890">
        <w:rPr>
          <w:rFonts w:cs="Arial"/>
          <w:color w:val="000000" w:themeColor="text1"/>
          <w:sz w:val="28"/>
          <w:szCs w:val="28"/>
        </w:rPr>
        <w:t xml:space="preserve">elaborada y </w:t>
      </w:r>
      <w:r w:rsidRPr="00446890">
        <w:rPr>
          <w:rFonts w:cs="Arial"/>
          <w:color w:val="000000" w:themeColor="text1"/>
          <w:sz w:val="28"/>
          <w:szCs w:val="28"/>
        </w:rPr>
        <w:t xml:space="preserve">aprobada </w:t>
      </w:r>
      <w:r w:rsidR="00E217D7" w:rsidRPr="00446890">
        <w:rPr>
          <w:rFonts w:cs="Arial"/>
          <w:color w:val="000000" w:themeColor="text1"/>
          <w:sz w:val="28"/>
          <w:szCs w:val="28"/>
        </w:rPr>
        <w:t xml:space="preserve">conjuntamente por la Secretaría General </w:t>
      </w:r>
      <w:r w:rsidR="00E217D7" w:rsidRPr="00446890">
        <w:rPr>
          <w:rFonts w:cs="Arial"/>
          <w:color w:val="000000" w:themeColor="text1"/>
          <w:sz w:val="28"/>
          <w:szCs w:val="28"/>
        </w:rPr>
        <w:lastRenderedPageBreak/>
        <w:t xml:space="preserve">de Acuerdos y </w:t>
      </w:r>
      <w:r w:rsidR="0097186B" w:rsidRPr="00446890">
        <w:rPr>
          <w:rFonts w:cs="Arial"/>
          <w:color w:val="000000" w:themeColor="text1"/>
          <w:sz w:val="28"/>
          <w:szCs w:val="28"/>
        </w:rPr>
        <w:t xml:space="preserve">la </w:t>
      </w:r>
      <w:r w:rsidR="0097186B" w:rsidRPr="00446890">
        <w:rPr>
          <w:rFonts w:cs="Arial"/>
          <w:sz w:val="28"/>
          <w:szCs w:val="28"/>
        </w:rPr>
        <w:t>Dirección General de la Coordinación de Compilación y Sistematización de Tesis</w:t>
      </w:r>
      <w:r w:rsidR="00E217D7" w:rsidRPr="00446890">
        <w:rPr>
          <w:rFonts w:cs="Arial"/>
          <w:color w:val="000000" w:themeColor="text1"/>
          <w:sz w:val="28"/>
          <w:szCs w:val="28"/>
        </w:rPr>
        <w:t>.</w:t>
      </w:r>
    </w:p>
    <w:p w14:paraId="308AF248" w14:textId="77777777" w:rsidR="00217012" w:rsidRPr="00446890" w:rsidRDefault="00217012" w:rsidP="00D41819">
      <w:pPr>
        <w:pStyle w:val="Estilo"/>
        <w:spacing w:line="480" w:lineRule="auto"/>
        <w:rPr>
          <w:rFonts w:cs="Arial"/>
          <w:sz w:val="28"/>
          <w:szCs w:val="28"/>
        </w:rPr>
      </w:pPr>
    </w:p>
    <w:p w14:paraId="5D7D7EDC" w14:textId="77777777" w:rsidR="00217012" w:rsidRPr="00446890" w:rsidRDefault="00217012"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sz w:val="28"/>
          <w:szCs w:val="28"/>
        </w:rPr>
        <w:t>Cuando en dichas sentencias se declare la invalidez de normas generales, el Presidente de la Suprema Corte de Justicia de la Nación ordenará que las publicaciones también se hagan en el Diario Oficial de la Federación y en el órgano oficial en que tales normas se hayan publicado.</w:t>
      </w:r>
    </w:p>
    <w:p w14:paraId="32789B6F" w14:textId="77777777" w:rsidR="00217012" w:rsidRPr="00446890" w:rsidRDefault="00217012" w:rsidP="00D41819">
      <w:pPr>
        <w:pStyle w:val="Estilo"/>
        <w:spacing w:line="480" w:lineRule="auto"/>
        <w:rPr>
          <w:rFonts w:cs="Arial"/>
          <w:sz w:val="28"/>
          <w:szCs w:val="28"/>
        </w:rPr>
      </w:pPr>
    </w:p>
    <w:p w14:paraId="57EFBF2C" w14:textId="77777777" w:rsidR="00217012" w:rsidRPr="00446890" w:rsidRDefault="00217012"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sz w:val="28"/>
          <w:szCs w:val="28"/>
        </w:rPr>
        <w:t xml:space="preserve">Las sentencias dictadas en acciones de inconstitucionalidad y en controversias constitucionales no se publicarán, generalmente, cuando en aquéllas se determine el sobreseimiento por alguna de las Salas de la Suprema Corte de Justicia de la Nación, en ejercicio de la competencia delegada por el Pleno, dado que en ese supuesto no habrá pronunciamiento sobre la validez de los actos controvertidos ni el fallo tendrá efectos sobre las partes o respecto de los tribunales mencionados en el artículo 43 de la Ley Reglamentaria </w:t>
      </w:r>
      <w:r w:rsidR="008E4C58" w:rsidRPr="00446890">
        <w:rPr>
          <w:rFonts w:ascii="Arial" w:hAnsi="Arial" w:cs="Arial"/>
          <w:sz w:val="28"/>
          <w:szCs w:val="28"/>
        </w:rPr>
        <w:t>de las Fracciones I y II del Artículo 105 de la Constitución Política de los Estados Unidos Mexicanos</w:t>
      </w:r>
      <w:r w:rsidRPr="00446890">
        <w:rPr>
          <w:rFonts w:ascii="Arial" w:hAnsi="Arial" w:cs="Arial"/>
          <w:sz w:val="28"/>
          <w:szCs w:val="28"/>
        </w:rPr>
        <w:t>.</w:t>
      </w:r>
    </w:p>
    <w:p w14:paraId="722A510A" w14:textId="77777777" w:rsidR="00E72FE0" w:rsidRPr="00446890" w:rsidRDefault="00E72FE0" w:rsidP="00D41819">
      <w:pPr>
        <w:pStyle w:val="NormalWeb"/>
        <w:spacing w:before="0" w:beforeAutospacing="0" w:after="0" w:afterAutospacing="0" w:line="480" w:lineRule="auto"/>
        <w:ind w:left="142" w:firstLine="709"/>
        <w:jc w:val="both"/>
        <w:rPr>
          <w:rFonts w:ascii="Arial" w:hAnsi="Arial" w:cs="Arial"/>
          <w:b/>
          <w:sz w:val="28"/>
          <w:szCs w:val="28"/>
        </w:rPr>
      </w:pPr>
    </w:p>
    <w:p w14:paraId="2385F0A0" w14:textId="5A37B58F" w:rsidR="006A1343" w:rsidRPr="00446890" w:rsidRDefault="00E72FE0"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lastRenderedPageBreak/>
        <w:t>SÉPTIMO</w:t>
      </w:r>
      <w:r w:rsidR="000A3A2E" w:rsidRPr="00446890">
        <w:rPr>
          <w:rFonts w:ascii="Arial" w:hAnsi="Arial" w:cs="Arial"/>
          <w:b/>
          <w:sz w:val="28"/>
          <w:szCs w:val="28"/>
        </w:rPr>
        <w:t>.</w:t>
      </w:r>
      <w:r w:rsidR="000A3A2E" w:rsidRPr="00446890">
        <w:rPr>
          <w:rFonts w:ascii="Arial" w:hAnsi="Arial" w:cs="Arial"/>
          <w:sz w:val="28"/>
          <w:szCs w:val="28"/>
        </w:rPr>
        <w:t xml:space="preserve"> El sistema de compilación del Semanario Judicial de la Federación contendrá los </w:t>
      </w:r>
      <w:r w:rsidR="007F570F" w:rsidRPr="00446890">
        <w:rPr>
          <w:rFonts w:ascii="Arial" w:hAnsi="Arial" w:cs="Arial"/>
          <w:sz w:val="28"/>
          <w:szCs w:val="28"/>
        </w:rPr>
        <w:t xml:space="preserve">apartados </w:t>
      </w:r>
      <w:r w:rsidR="00B3533C" w:rsidRPr="00446890">
        <w:rPr>
          <w:rFonts w:ascii="Arial" w:hAnsi="Arial" w:cs="Arial"/>
          <w:sz w:val="28"/>
          <w:szCs w:val="28"/>
        </w:rPr>
        <w:t xml:space="preserve">e índices </w:t>
      </w:r>
      <w:r w:rsidR="000A3A2E" w:rsidRPr="00446890">
        <w:rPr>
          <w:rFonts w:ascii="Arial" w:hAnsi="Arial" w:cs="Arial"/>
          <w:sz w:val="28"/>
          <w:szCs w:val="28"/>
        </w:rPr>
        <w:t>del programa que resulten indispensables para la localización de la información difundida.</w:t>
      </w:r>
    </w:p>
    <w:p w14:paraId="646CE458" w14:textId="77777777" w:rsidR="006A1343" w:rsidRPr="00446890" w:rsidRDefault="006A1343" w:rsidP="00D41819">
      <w:pPr>
        <w:pStyle w:val="Estilo"/>
        <w:spacing w:line="480" w:lineRule="auto"/>
        <w:rPr>
          <w:rFonts w:cs="Arial"/>
          <w:sz w:val="28"/>
          <w:szCs w:val="28"/>
        </w:rPr>
      </w:pPr>
    </w:p>
    <w:p w14:paraId="4080E2FA" w14:textId="5BEFEC74" w:rsidR="006A1343" w:rsidRPr="00446890" w:rsidRDefault="00E72FE0"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OCTAVO</w:t>
      </w:r>
      <w:r w:rsidR="000A3A2E" w:rsidRPr="00446890">
        <w:rPr>
          <w:rFonts w:ascii="Arial" w:hAnsi="Arial" w:cs="Arial"/>
          <w:b/>
          <w:sz w:val="28"/>
          <w:szCs w:val="28"/>
        </w:rPr>
        <w:t>.</w:t>
      </w:r>
      <w:r w:rsidR="008974F0" w:rsidRPr="00446890">
        <w:rPr>
          <w:rFonts w:ascii="Arial" w:hAnsi="Arial" w:cs="Arial"/>
          <w:b/>
          <w:sz w:val="28"/>
          <w:szCs w:val="28"/>
        </w:rPr>
        <w:t xml:space="preserve"> </w:t>
      </w:r>
      <w:r w:rsidR="000A3A2E" w:rsidRPr="00446890">
        <w:rPr>
          <w:rFonts w:ascii="Arial" w:hAnsi="Arial" w:cs="Arial"/>
          <w:sz w:val="28"/>
          <w:szCs w:val="28"/>
        </w:rPr>
        <w:t xml:space="preserve">Los Plenos </w:t>
      </w:r>
      <w:r w:rsidRPr="00446890">
        <w:rPr>
          <w:rFonts w:ascii="Arial" w:hAnsi="Arial" w:cs="Arial"/>
          <w:sz w:val="28"/>
          <w:szCs w:val="28"/>
        </w:rPr>
        <w:t xml:space="preserve">Regionales </w:t>
      </w:r>
      <w:r w:rsidR="000A3A2E" w:rsidRPr="00446890">
        <w:rPr>
          <w:rFonts w:ascii="Arial" w:hAnsi="Arial" w:cs="Arial"/>
          <w:sz w:val="28"/>
          <w:szCs w:val="28"/>
        </w:rPr>
        <w:t xml:space="preserve">y los Tribunales Colegiados de Circuito, por conducto de su Presidente, podrán solicitar </w:t>
      </w:r>
      <w:r w:rsidR="00EA60A7" w:rsidRPr="00446890">
        <w:rPr>
          <w:rFonts w:ascii="Arial" w:hAnsi="Arial" w:cs="Arial"/>
          <w:sz w:val="28"/>
          <w:szCs w:val="28"/>
        </w:rPr>
        <w:t>que</w:t>
      </w:r>
      <w:r w:rsidR="000A3A2E" w:rsidRPr="00446890">
        <w:rPr>
          <w:rFonts w:ascii="Arial" w:hAnsi="Arial" w:cs="Arial"/>
          <w:sz w:val="28"/>
          <w:szCs w:val="28"/>
        </w:rPr>
        <w:t xml:space="preserve"> la </w:t>
      </w:r>
      <w:r w:rsidR="00FE2CFB" w:rsidRPr="00446890">
        <w:rPr>
          <w:rFonts w:ascii="Arial" w:hAnsi="Arial" w:cs="Arial"/>
          <w:sz w:val="28"/>
          <w:szCs w:val="28"/>
        </w:rPr>
        <w:t xml:space="preserve">Dirección General de la </w:t>
      </w:r>
      <w:r w:rsidR="000A3A2E" w:rsidRPr="00446890">
        <w:rPr>
          <w:rFonts w:ascii="Arial" w:hAnsi="Arial" w:cs="Arial"/>
          <w:sz w:val="28"/>
          <w:szCs w:val="28"/>
        </w:rPr>
        <w:t>Coordinación de Compilación y Sistematización de Tesis</w:t>
      </w:r>
      <w:r w:rsidR="00EA60A7" w:rsidRPr="00446890">
        <w:rPr>
          <w:rFonts w:ascii="Arial" w:hAnsi="Arial" w:cs="Arial"/>
          <w:sz w:val="28"/>
          <w:szCs w:val="28"/>
        </w:rPr>
        <w:t xml:space="preserve"> informe</w:t>
      </w:r>
      <w:r w:rsidR="000A3A2E" w:rsidRPr="00446890">
        <w:rPr>
          <w:rFonts w:ascii="Arial" w:hAnsi="Arial" w:cs="Arial"/>
          <w:sz w:val="28"/>
          <w:szCs w:val="28"/>
        </w:rPr>
        <w:t xml:space="preserve"> sobre las tesis que hubieren remitido para su publicación, si después de quince días naturales ello no ha acontecido.</w:t>
      </w:r>
    </w:p>
    <w:p w14:paraId="2B9076F3" w14:textId="77777777" w:rsidR="006A1343" w:rsidRPr="00446890" w:rsidRDefault="006A1343" w:rsidP="00D41819">
      <w:pPr>
        <w:pStyle w:val="Estilo"/>
        <w:spacing w:line="480" w:lineRule="auto"/>
        <w:rPr>
          <w:rFonts w:cs="Arial"/>
          <w:sz w:val="28"/>
          <w:szCs w:val="28"/>
        </w:rPr>
      </w:pPr>
    </w:p>
    <w:p w14:paraId="603011DB" w14:textId="73B299C1" w:rsidR="006A1343" w:rsidRPr="00446890" w:rsidRDefault="00E72FE0"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NOVEN</w:t>
      </w:r>
      <w:r w:rsidR="008974F0" w:rsidRPr="00446890">
        <w:rPr>
          <w:rFonts w:ascii="Arial" w:hAnsi="Arial" w:cs="Arial"/>
          <w:b/>
          <w:sz w:val="28"/>
          <w:szCs w:val="28"/>
        </w:rPr>
        <w:t>O</w:t>
      </w:r>
      <w:r w:rsidR="008974F0" w:rsidRPr="00446890">
        <w:rPr>
          <w:rFonts w:ascii="Arial" w:hAnsi="Arial" w:cs="Arial"/>
          <w:b/>
          <w:bCs/>
          <w:sz w:val="28"/>
          <w:szCs w:val="28"/>
        </w:rPr>
        <w:t>.</w:t>
      </w:r>
      <w:r w:rsidR="008974F0" w:rsidRPr="00446890">
        <w:rPr>
          <w:rFonts w:ascii="Arial" w:hAnsi="Arial" w:cs="Arial"/>
          <w:sz w:val="28"/>
          <w:szCs w:val="28"/>
        </w:rPr>
        <w:t xml:space="preserve"> </w:t>
      </w:r>
      <w:r w:rsidR="000A3A2E" w:rsidRPr="00446890">
        <w:rPr>
          <w:rFonts w:ascii="Arial" w:hAnsi="Arial" w:cs="Arial"/>
          <w:sz w:val="28"/>
          <w:szCs w:val="28"/>
        </w:rPr>
        <w:t>Tanto en el Semanario Judicial de la Federación como en su Gaceta, a cada ejecutoria dictada en una controversia constitucional y en una acción de inconstitucionalidad, se agregará una nota que indique la fecha y hora de su incorporación en aquél y del momento a partir del cual el respectivo criterio se considera de aplicación obligatoria.</w:t>
      </w:r>
    </w:p>
    <w:p w14:paraId="2F29E6A3" w14:textId="77777777" w:rsidR="006A1343" w:rsidRPr="00446890" w:rsidRDefault="006A1343" w:rsidP="00D41819">
      <w:pPr>
        <w:pStyle w:val="Estilo"/>
        <w:spacing w:line="480" w:lineRule="auto"/>
        <w:rPr>
          <w:rFonts w:cs="Arial"/>
          <w:sz w:val="28"/>
          <w:szCs w:val="28"/>
        </w:rPr>
      </w:pPr>
    </w:p>
    <w:p w14:paraId="7581BA27" w14:textId="54C705A6" w:rsidR="006A1343" w:rsidRPr="00446890" w:rsidRDefault="000A3A2E"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sz w:val="28"/>
          <w:szCs w:val="28"/>
        </w:rPr>
        <w:t xml:space="preserve">Se considerará de aplicación obligatoria un criterio jurisprudencial a partir del lunes hábil siguiente, al día en </w:t>
      </w:r>
      <w:r w:rsidRPr="00446890">
        <w:rPr>
          <w:rFonts w:ascii="Arial" w:hAnsi="Arial" w:cs="Arial"/>
          <w:sz w:val="28"/>
          <w:szCs w:val="28"/>
        </w:rPr>
        <w:lastRenderedPageBreak/>
        <w:t xml:space="preserve">que la tesis </w:t>
      </w:r>
      <w:r w:rsidR="008A3360" w:rsidRPr="00446890">
        <w:rPr>
          <w:rFonts w:ascii="Arial" w:hAnsi="Arial" w:cs="Arial"/>
          <w:sz w:val="28"/>
          <w:szCs w:val="28"/>
        </w:rPr>
        <w:t xml:space="preserve">jurisprudencial </w:t>
      </w:r>
      <w:r w:rsidRPr="00446890">
        <w:rPr>
          <w:rFonts w:ascii="Arial" w:hAnsi="Arial" w:cs="Arial"/>
          <w:sz w:val="28"/>
          <w:szCs w:val="28"/>
        </w:rPr>
        <w:t xml:space="preserve">o la </w:t>
      </w:r>
      <w:r w:rsidR="008A3360" w:rsidRPr="00446890">
        <w:rPr>
          <w:rFonts w:ascii="Arial" w:hAnsi="Arial" w:cs="Arial"/>
          <w:sz w:val="28"/>
          <w:szCs w:val="28"/>
        </w:rPr>
        <w:t>sentencia cuyas razones constituyan jurisprudencia</w:t>
      </w:r>
      <w:r w:rsidRPr="00446890">
        <w:rPr>
          <w:rFonts w:ascii="Arial" w:hAnsi="Arial" w:cs="Arial"/>
          <w:sz w:val="28"/>
          <w:szCs w:val="28"/>
        </w:rPr>
        <w:t xml:space="preserve">, sea </w:t>
      </w:r>
      <w:r w:rsidR="008A3360" w:rsidRPr="00446890">
        <w:rPr>
          <w:rFonts w:ascii="Arial" w:hAnsi="Arial" w:cs="Arial"/>
          <w:sz w:val="28"/>
          <w:szCs w:val="28"/>
        </w:rPr>
        <w:t>publicada en el</w:t>
      </w:r>
      <w:r w:rsidRPr="00446890">
        <w:rPr>
          <w:rFonts w:ascii="Arial" w:hAnsi="Arial" w:cs="Arial"/>
          <w:sz w:val="28"/>
          <w:szCs w:val="28"/>
        </w:rPr>
        <w:t xml:space="preserve"> Semanario Judicial de la Federación.</w:t>
      </w:r>
    </w:p>
    <w:p w14:paraId="28E48A4B" w14:textId="77777777" w:rsidR="0069633D" w:rsidRPr="00446890" w:rsidRDefault="0069633D" w:rsidP="00C62638">
      <w:pPr>
        <w:pStyle w:val="NormalWeb"/>
        <w:spacing w:before="0" w:beforeAutospacing="0" w:after="0" w:afterAutospacing="0" w:line="480" w:lineRule="auto"/>
        <w:jc w:val="both"/>
        <w:rPr>
          <w:rFonts w:ascii="Arial" w:hAnsi="Arial" w:cs="Arial"/>
          <w:sz w:val="28"/>
          <w:szCs w:val="28"/>
        </w:rPr>
      </w:pPr>
    </w:p>
    <w:p w14:paraId="6784458C" w14:textId="0C6DE809" w:rsidR="006A1343" w:rsidRPr="00446890" w:rsidRDefault="000A3A2E"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sz w:val="28"/>
          <w:szCs w:val="28"/>
        </w:rPr>
        <w:t xml:space="preserve">Lo anterior, sin menoscabo de que las partes puedan invocar un criterio jurisprudencial, tomando en cuenta lo previsto en </w:t>
      </w:r>
      <w:r w:rsidR="00C9008F" w:rsidRPr="00446890">
        <w:rPr>
          <w:rFonts w:ascii="Arial" w:hAnsi="Arial" w:cs="Arial"/>
          <w:sz w:val="28"/>
          <w:szCs w:val="28"/>
        </w:rPr>
        <w:t>el</w:t>
      </w:r>
      <w:r w:rsidRPr="00446890">
        <w:rPr>
          <w:rFonts w:ascii="Arial" w:hAnsi="Arial" w:cs="Arial"/>
          <w:sz w:val="28"/>
          <w:szCs w:val="28"/>
        </w:rPr>
        <w:t xml:space="preserve"> artículo 221, parte final, de la Ley de Amparo </w:t>
      </w:r>
      <w:r w:rsidR="00C9008F" w:rsidRPr="00446890">
        <w:rPr>
          <w:rFonts w:ascii="Arial" w:hAnsi="Arial" w:cs="Arial"/>
          <w:sz w:val="28"/>
          <w:szCs w:val="28"/>
        </w:rPr>
        <w:t xml:space="preserve">o las razones contenidas en los considerandos que funden los resolutivos de las sentencias aprobadas por cuando menos ocho votos, conforme al artículo </w:t>
      </w:r>
      <w:r w:rsidRPr="00446890">
        <w:rPr>
          <w:rFonts w:ascii="Arial" w:hAnsi="Arial" w:cs="Arial"/>
          <w:sz w:val="28"/>
          <w:szCs w:val="28"/>
        </w:rPr>
        <w:t>43 de la Ley Reglamentaria de las Fracciones I y II del Artículo 105 de la Constitución Política de los Estados Unidos Mexicanos, cuando no se haya difundido en el Semanario Judicial de la Federación la tesis respectiva o la ejecutoria dictada en una controversia constitucional o en una acción de inconstitucionalidad</w:t>
      </w:r>
      <w:r w:rsidR="00AF1CB7" w:rsidRPr="00446890">
        <w:rPr>
          <w:rFonts w:ascii="Arial" w:hAnsi="Arial" w:cs="Arial"/>
          <w:sz w:val="28"/>
          <w:szCs w:val="28"/>
        </w:rPr>
        <w:t>.</w:t>
      </w:r>
    </w:p>
    <w:p w14:paraId="50FD7351" w14:textId="1CD36B3C" w:rsidR="0069633D" w:rsidRPr="00446890" w:rsidRDefault="0069633D" w:rsidP="00D41819">
      <w:pPr>
        <w:pStyle w:val="NormalWeb"/>
        <w:spacing w:before="0" w:beforeAutospacing="0" w:after="0" w:afterAutospacing="0" w:line="480" w:lineRule="auto"/>
        <w:ind w:left="142" w:firstLine="709"/>
        <w:jc w:val="both"/>
        <w:rPr>
          <w:rFonts w:ascii="Arial" w:hAnsi="Arial" w:cs="Arial"/>
          <w:sz w:val="28"/>
          <w:szCs w:val="28"/>
        </w:rPr>
      </w:pPr>
    </w:p>
    <w:p w14:paraId="586CF7C1" w14:textId="0AEB26A0" w:rsidR="006A1343" w:rsidRPr="00446890" w:rsidRDefault="00B97A47" w:rsidP="00C62638">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bCs/>
          <w:sz w:val="28"/>
          <w:szCs w:val="28"/>
        </w:rPr>
        <w:t>DÉCIMO.</w:t>
      </w:r>
      <w:r w:rsidRPr="00446890">
        <w:rPr>
          <w:rFonts w:ascii="Arial" w:hAnsi="Arial" w:cs="Arial"/>
          <w:sz w:val="28"/>
          <w:szCs w:val="28"/>
        </w:rPr>
        <w:t xml:space="preserve"> </w:t>
      </w:r>
      <w:r w:rsidR="000A3A2E" w:rsidRPr="00446890">
        <w:rPr>
          <w:rFonts w:ascii="Arial" w:hAnsi="Arial" w:cs="Arial"/>
          <w:sz w:val="28"/>
          <w:szCs w:val="28"/>
        </w:rPr>
        <w:t xml:space="preserve">La </w:t>
      </w:r>
      <w:r w:rsidR="00A11281" w:rsidRPr="00446890">
        <w:rPr>
          <w:rFonts w:ascii="Arial" w:hAnsi="Arial" w:cs="Arial"/>
          <w:sz w:val="28"/>
          <w:szCs w:val="28"/>
        </w:rPr>
        <w:t xml:space="preserve">Dirección General de la </w:t>
      </w:r>
      <w:r w:rsidR="000A3A2E" w:rsidRPr="00446890">
        <w:rPr>
          <w:rFonts w:ascii="Arial" w:hAnsi="Arial" w:cs="Arial"/>
          <w:sz w:val="28"/>
          <w:szCs w:val="28"/>
        </w:rPr>
        <w:t>Coordinación de Compila</w:t>
      </w:r>
      <w:r w:rsidR="002975E3" w:rsidRPr="00446890">
        <w:rPr>
          <w:rFonts w:ascii="Arial" w:hAnsi="Arial" w:cs="Arial"/>
          <w:sz w:val="28"/>
          <w:szCs w:val="28"/>
        </w:rPr>
        <w:t>ción y Sistematización de Tesis</w:t>
      </w:r>
      <w:r w:rsidR="000A3A2E" w:rsidRPr="00446890">
        <w:rPr>
          <w:rFonts w:ascii="Arial" w:hAnsi="Arial" w:cs="Arial"/>
          <w:sz w:val="28"/>
          <w:szCs w:val="28"/>
        </w:rPr>
        <w:t xml:space="preserve"> llevar</w:t>
      </w:r>
      <w:r w:rsidR="00A11281" w:rsidRPr="00446890">
        <w:rPr>
          <w:rFonts w:ascii="Arial" w:hAnsi="Arial" w:cs="Arial"/>
          <w:sz w:val="28"/>
          <w:szCs w:val="28"/>
        </w:rPr>
        <w:t>á</w:t>
      </w:r>
      <w:r w:rsidR="000A3A2E" w:rsidRPr="00446890">
        <w:rPr>
          <w:rFonts w:ascii="Arial" w:hAnsi="Arial" w:cs="Arial"/>
          <w:sz w:val="28"/>
          <w:szCs w:val="28"/>
        </w:rPr>
        <w:t xml:space="preserve"> el seguimiento puntual de los precedentes sustentados por el Pleno y las Salas</w:t>
      </w:r>
      <w:r w:rsidR="00A11281" w:rsidRPr="00446890">
        <w:rPr>
          <w:rFonts w:ascii="Arial" w:hAnsi="Arial" w:cs="Arial"/>
          <w:sz w:val="28"/>
          <w:szCs w:val="28"/>
        </w:rPr>
        <w:t xml:space="preserve"> de la Suprema Corte, de los Plenos </w:t>
      </w:r>
      <w:r w:rsidR="00E72FE0" w:rsidRPr="00446890">
        <w:rPr>
          <w:rFonts w:ascii="Arial" w:hAnsi="Arial" w:cs="Arial"/>
          <w:sz w:val="28"/>
          <w:szCs w:val="28"/>
        </w:rPr>
        <w:t xml:space="preserve">Regionales </w:t>
      </w:r>
      <w:r w:rsidR="00A11281" w:rsidRPr="00446890">
        <w:rPr>
          <w:rFonts w:ascii="Arial" w:hAnsi="Arial" w:cs="Arial"/>
          <w:sz w:val="28"/>
          <w:szCs w:val="28"/>
        </w:rPr>
        <w:t>y de los Tribunales Colegiados de Circuito</w:t>
      </w:r>
      <w:r w:rsidR="000A3A2E" w:rsidRPr="00446890">
        <w:rPr>
          <w:rFonts w:ascii="Arial" w:hAnsi="Arial" w:cs="Arial"/>
          <w:sz w:val="28"/>
          <w:szCs w:val="28"/>
        </w:rPr>
        <w:t xml:space="preserve">, con el objeto de que una vez integrada jurisprudencia por </w:t>
      </w:r>
      <w:r w:rsidR="007F4758" w:rsidRPr="00446890">
        <w:rPr>
          <w:rFonts w:ascii="Arial" w:hAnsi="Arial" w:cs="Arial"/>
          <w:sz w:val="28"/>
          <w:szCs w:val="28"/>
        </w:rPr>
        <w:lastRenderedPageBreak/>
        <w:t xml:space="preserve">precedentes o por </w:t>
      </w:r>
      <w:r w:rsidR="000A3A2E" w:rsidRPr="00446890">
        <w:rPr>
          <w:rFonts w:ascii="Arial" w:hAnsi="Arial" w:cs="Arial"/>
          <w:sz w:val="28"/>
          <w:szCs w:val="28"/>
        </w:rPr>
        <w:t>reiteración</w:t>
      </w:r>
      <w:r w:rsidR="00D93453" w:rsidRPr="00446890">
        <w:rPr>
          <w:rFonts w:ascii="Arial" w:hAnsi="Arial" w:cs="Arial"/>
          <w:sz w:val="28"/>
          <w:szCs w:val="28"/>
        </w:rPr>
        <w:t>,</w:t>
      </w:r>
      <w:r w:rsidR="007F4758" w:rsidRPr="00446890">
        <w:rPr>
          <w:rFonts w:ascii="Arial" w:hAnsi="Arial" w:cs="Arial"/>
          <w:sz w:val="28"/>
          <w:szCs w:val="28"/>
        </w:rPr>
        <w:t xml:space="preserve"> según corresponda,</w:t>
      </w:r>
      <w:r w:rsidR="000A3A2E" w:rsidRPr="00446890">
        <w:rPr>
          <w:rFonts w:ascii="Arial" w:hAnsi="Arial" w:cs="Arial"/>
          <w:sz w:val="28"/>
          <w:szCs w:val="28"/>
        </w:rPr>
        <w:t xml:space="preserve"> </w:t>
      </w:r>
      <w:r w:rsidR="007F4758" w:rsidRPr="00446890">
        <w:rPr>
          <w:rFonts w:ascii="Arial" w:hAnsi="Arial" w:cs="Arial"/>
          <w:sz w:val="28"/>
          <w:szCs w:val="28"/>
        </w:rPr>
        <w:t>lo</w:t>
      </w:r>
      <w:r w:rsidR="002975E3" w:rsidRPr="00446890">
        <w:rPr>
          <w:rFonts w:ascii="Arial" w:hAnsi="Arial" w:cs="Arial"/>
          <w:sz w:val="28"/>
          <w:szCs w:val="28"/>
        </w:rPr>
        <w:t xml:space="preserve"> comunique a las Secretarías de Acuerdos respectivas y éstas </w:t>
      </w:r>
      <w:r w:rsidR="000A3A2E" w:rsidRPr="00446890">
        <w:rPr>
          <w:rFonts w:ascii="Arial" w:hAnsi="Arial" w:cs="Arial"/>
          <w:sz w:val="28"/>
          <w:szCs w:val="28"/>
        </w:rPr>
        <w:t xml:space="preserve">lo certifiquen </w:t>
      </w:r>
      <w:r w:rsidR="002975E3" w:rsidRPr="00446890">
        <w:rPr>
          <w:rFonts w:ascii="Arial" w:hAnsi="Arial" w:cs="Arial"/>
          <w:sz w:val="28"/>
          <w:szCs w:val="28"/>
        </w:rPr>
        <w:t>e</w:t>
      </w:r>
      <w:r w:rsidR="000A3A2E" w:rsidRPr="00446890">
        <w:rPr>
          <w:rFonts w:ascii="Arial" w:hAnsi="Arial" w:cs="Arial"/>
          <w:sz w:val="28"/>
          <w:szCs w:val="28"/>
        </w:rPr>
        <w:t xml:space="preserve"> informen de inmediato al órgano emisor, y se lleve a cabo lo necesario para </w:t>
      </w:r>
      <w:r w:rsidR="007F4758" w:rsidRPr="00446890">
        <w:rPr>
          <w:rFonts w:ascii="Arial" w:hAnsi="Arial" w:cs="Arial"/>
          <w:sz w:val="28"/>
          <w:szCs w:val="28"/>
        </w:rPr>
        <w:t xml:space="preserve">la aprobación de la tesis respectiva y </w:t>
      </w:r>
      <w:r w:rsidR="000A3A2E" w:rsidRPr="00446890">
        <w:rPr>
          <w:rFonts w:ascii="Arial" w:hAnsi="Arial" w:cs="Arial"/>
          <w:sz w:val="28"/>
          <w:szCs w:val="28"/>
        </w:rPr>
        <w:t>su difusión en el Semanario Judicial de la Federación.</w:t>
      </w:r>
    </w:p>
    <w:p w14:paraId="67699688" w14:textId="77777777" w:rsidR="00ED6734" w:rsidRPr="00446890" w:rsidRDefault="00ED6734" w:rsidP="00D41819">
      <w:pPr>
        <w:pStyle w:val="Estilo"/>
        <w:spacing w:line="480" w:lineRule="auto"/>
        <w:rPr>
          <w:rFonts w:cs="Arial"/>
          <w:sz w:val="28"/>
          <w:szCs w:val="28"/>
        </w:rPr>
      </w:pPr>
    </w:p>
    <w:p w14:paraId="58C0BD11" w14:textId="196A18A3" w:rsidR="006A1343" w:rsidRPr="00446890" w:rsidRDefault="00C62638"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DÉCIMO PRIMERO</w:t>
      </w:r>
      <w:r w:rsidR="00ED6734" w:rsidRPr="00446890">
        <w:rPr>
          <w:rFonts w:ascii="Arial" w:hAnsi="Arial" w:cs="Arial"/>
          <w:b/>
          <w:sz w:val="28"/>
          <w:szCs w:val="28"/>
        </w:rPr>
        <w:t>.</w:t>
      </w:r>
      <w:r w:rsidR="00ED6734" w:rsidRPr="00446890">
        <w:rPr>
          <w:rFonts w:ascii="Arial" w:hAnsi="Arial" w:cs="Arial"/>
          <w:sz w:val="28"/>
          <w:szCs w:val="28"/>
        </w:rPr>
        <w:t xml:space="preserve"> </w:t>
      </w:r>
      <w:r w:rsidR="00AC13FF" w:rsidRPr="00446890">
        <w:rPr>
          <w:rFonts w:ascii="Arial" w:hAnsi="Arial" w:cs="Arial"/>
          <w:sz w:val="28"/>
          <w:szCs w:val="28"/>
        </w:rPr>
        <w:t>L</w:t>
      </w:r>
      <w:r w:rsidR="00ED6734" w:rsidRPr="00446890">
        <w:rPr>
          <w:rFonts w:ascii="Arial" w:hAnsi="Arial" w:cs="Arial"/>
          <w:sz w:val="28"/>
          <w:szCs w:val="28"/>
        </w:rPr>
        <w:t xml:space="preserve">a Dirección General de la Coordinación de Compilación y Sistematización de Tesis, con apoyo de la Dirección General de Tecnologías de la Información, será responsable de integrar y administrar el sistema de consulta y difusión del Semanario Judicial de la Federación, con el objeto de </w:t>
      </w:r>
      <w:r w:rsidR="00141CE2" w:rsidRPr="00446890">
        <w:rPr>
          <w:rFonts w:ascii="Arial" w:hAnsi="Arial" w:cs="Arial"/>
          <w:sz w:val="28"/>
          <w:szCs w:val="28"/>
        </w:rPr>
        <w:t xml:space="preserve">promover </w:t>
      </w:r>
      <w:r w:rsidR="00D93453" w:rsidRPr="00446890">
        <w:rPr>
          <w:rFonts w:ascii="Arial" w:hAnsi="Arial" w:cs="Arial"/>
          <w:sz w:val="28"/>
          <w:szCs w:val="28"/>
        </w:rPr>
        <w:t xml:space="preserve">su </w:t>
      </w:r>
      <w:r w:rsidR="00141CE2" w:rsidRPr="00446890">
        <w:rPr>
          <w:rFonts w:ascii="Arial" w:hAnsi="Arial" w:cs="Arial"/>
          <w:sz w:val="28"/>
          <w:szCs w:val="28"/>
        </w:rPr>
        <w:t xml:space="preserve">acceso </w:t>
      </w:r>
      <w:r w:rsidR="005029CE" w:rsidRPr="00446890">
        <w:rPr>
          <w:rFonts w:ascii="Arial" w:hAnsi="Arial" w:cs="Arial"/>
          <w:sz w:val="28"/>
          <w:szCs w:val="28"/>
        </w:rPr>
        <w:t>al público</w:t>
      </w:r>
      <w:r w:rsidR="00F8193E" w:rsidRPr="00446890">
        <w:rPr>
          <w:rFonts w:ascii="Arial" w:hAnsi="Arial" w:cs="Arial"/>
          <w:sz w:val="28"/>
          <w:szCs w:val="28"/>
        </w:rPr>
        <w:t>,</w:t>
      </w:r>
      <w:r w:rsidR="00141CE2" w:rsidRPr="00446890">
        <w:rPr>
          <w:rFonts w:ascii="Arial" w:hAnsi="Arial" w:cs="Arial"/>
          <w:sz w:val="28"/>
          <w:szCs w:val="28"/>
        </w:rPr>
        <w:t xml:space="preserve"> mediante el uso de recursos y herramientas tecnológicas.</w:t>
      </w:r>
    </w:p>
    <w:p w14:paraId="449A7C2C" w14:textId="77777777" w:rsidR="002B49DB" w:rsidRPr="00446890" w:rsidRDefault="002B49DB" w:rsidP="00D41819">
      <w:pPr>
        <w:pStyle w:val="Estilo"/>
        <w:spacing w:line="480" w:lineRule="auto"/>
        <w:rPr>
          <w:rFonts w:cs="Arial"/>
          <w:b/>
          <w:sz w:val="28"/>
          <w:szCs w:val="28"/>
        </w:rPr>
      </w:pPr>
    </w:p>
    <w:p w14:paraId="219ECBF4" w14:textId="77777777" w:rsidR="006A1343" w:rsidRPr="00446890" w:rsidRDefault="000A3A2E" w:rsidP="00D41819">
      <w:pPr>
        <w:pStyle w:val="NormalWeb"/>
        <w:spacing w:before="0" w:beforeAutospacing="0" w:after="0" w:afterAutospacing="0" w:line="480" w:lineRule="auto"/>
        <w:ind w:left="142" w:firstLine="709"/>
        <w:jc w:val="center"/>
        <w:rPr>
          <w:rFonts w:ascii="Arial" w:hAnsi="Arial" w:cs="Arial"/>
          <w:b/>
          <w:sz w:val="28"/>
          <w:szCs w:val="28"/>
        </w:rPr>
      </w:pPr>
      <w:r w:rsidRPr="00446890">
        <w:rPr>
          <w:rFonts w:ascii="Arial" w:hAnsi="Arial" w:cs="Arial"/>
          <w:b/>
          <w:sz w:val="28"/>
          <w:szCs w:val="28"/>
        </w:rPr>
        <w:t>TRANSITORIOS:</w:t>
      </w:r>
    </w:p>
    <w:p w14:paraId="64030CB5" w14:textId="77777777" w:rsidR="006A1343" w:rsidRPr="00446890" w:rsidRDefault="006A1343" w:rsidP="00D41819">
      <w:pPr>
        <w:pStyle w:val="Estilo"/>
        <w:spacing w:line="480" w:lineRule="auto"/>
        <w:rPr>
          <w:rFonts w:cs="Arial"/>
          <w:sz w:val="28"/>
          <w:szCs w:val="28"/>
        </w:rPr>
      </w:pPr>
    </w:p>
    <w:p w14:paraId="640B5704" w14:textId="66026F04" w:rsidR="006A1343" w:rsidRPr="00446890" w:rsidRDefault="000A3A2E"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PRIMERO.</w:t>
      </w:r>
      <w:r w:rsidRPr="00446890">
        <w:rPr>
          <w:rFonts w:ascii="Arial" w:hAnsi="Arial" w:cs="Arial"/>
          <w:sz w:val="28"/>
          <w:szCs w:val="28"/>
        </w:rPr>
        <w:t xml:space="preserve"> El presente Acuerdo General entrará en vigor </w:t>
      </w:r>
      <w:r w:rsidR="00B21695" w:rsidRPr="00446890">
        <w:rPr>
          <w:rFonts w:ascii="Arial" w:hAnsi="Arial" w:cs="Arial"/>
          <w:sz w:val="28"/>
          <w:szCs w:val="28"/>
        </w:rPr>
        <w:t xml:space="preserve">el primero de </w:t>
      </w:r>
      <w:r w:rsidR="00AC13FF" w:rsidRPr="00446890">
        <w:rPr>
          <w:rFonts w:ascii="Arial" w:hAnsi="Arial" w:cs="Arial"/>
          <w:sz w:val="28"/>
          <w:szCs w:val="28"/>
        </w:rPr>
        <w:t>mayo</w:t>
      </w:r>
      <w:r w:rsidR="00B21695" w:rsidRPr="00446890">
        <w:rPr>
          <w:rFonts w:ascii="Arial" w:hAnsi="Arial" w:cs="Arial"/>
          <w:sz w:val="28"/>
          <w:szCs w:val="28"/>
        </w:rPr>
        <w:t xml:space="preserve"> de dos mil veintiuno.</w:t>
      </w:r>
    </w:p>
    <w:p w14:paraId="22161770" w14:textId="77777777" w:rsidR="006A1343" w:rsidRPr="00446890" w:rsidRDefault="006A1343" w:rsidP="00D41819">
      <w:pPr>
        <w:pStyle w:val="Estilo"/>
        <w:spacing w:line="480" w:lineRule="auto"/>
        <w:rPr>
          <w:rFonts w:cs="Arial"/>
          <w:sz w:val="28"/>
          <w:szCs w:val="28"/>
        </w:rPr>
      </w:pPr>
    </w:p>
    <w:p w14:paraId="35FC4D7B" w14:textId="40B628D8" w:rsidR="00A67C66" w:rsidRPr="00446890" w:rsidRDefault="00A67C66"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SEGUNDO.</w:t>
      </w:r>
      <w:r w:rsidRPr="00446890">
        <w:rPr>
          <w:rFonts w:ascii="Arial" w:hAnsi="Arial" w:cs="Arial"/>
          <w:sz w:val="28"/>
          <w:szCs w:val="28"/>
        </w:rPr>
        <w:t xml:space="preserve"> Se abroga el Acuerdo General número 16/2019, de veintiocho de noviembre de dos mil </w:t>
      </w:r>
      <w:r w:rsidRPr="00446890">
        <w:rPr>
          <w:rFonts w:ascii="Arial" w:hAnsi="Arial" w:cs="Arial"/>
          <w:sz w:val="28"/>
          <w:szCs w:val="28"/>
        </w:rPr>
        <w:lastRenderedPageBreak/>
        <w:t>diecinueve, así como todas las disposiciones emitidas con anterioridad que se opongan a lo establecido en este Acuerdo General.</w:t>
      </w:r>
    </w:p>
    <w:p w14:paraId="2749BAFD" w14:textId="5297518D" w:rsidR="00C62638" w:rsidRPr="00446890" w:rsidRDefault="00C62638" w:rsidP="00D41819">
      <w:pPr>
        <w:pStyle w:val="NormalWeb"/>
        <w:spacing w:before="0" w:beforeAutospacing="0" w:after="0" w:afterAutospacing="0" w:line="480" w:lineRule="auto"/>
        <w:ind w:left="142" w:firstLine="709"/>
        <w:jc w:val="both"/>
        <w:rPr>
          <w:rFonts w:ascii="Arial" w:hAnsi="Arial" w:cs="Arial"/>
          <w:sz w:val="28"/>
          <w:szCs w:val="28"/>
        </w:rPr>
      </w:pPr>
    </w:p>
    <w:p w14:paraId="12207FAB" w14:textId="57CFA47B" w:rsidR="00C62638" w:rsidRPr="00446890" w:rsidRDefault="00C62638"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bCs/>
          <w:sz w:val="28"/>
          <w:szCs w:val="28"/>
        </w:rPr>
        <w:t xml:space="preserve">TERCERO. </w:t>
      </w:r>
      <w:r w:rsidRPr="00446890">
        <w:rPr>
          <w:rFonts w:ascii="Arial" w:hAnsi="Arial" w:cs="Arial"/>
          <w:sz w:val="28"/>
          <w:szCs w:val="28"/>
        </w:rPr>
        <w:t>La jurisprudencia por sustitución que emitan el Pleno o las Salas de la Suprema Corte de Justicia de la Nación o los Plenos de Circuito a partir de la entrada en vigor de</w:t>
      </w:r>
      <w:r w:rsidR="00EA25E4" w:rsidRPr="00446890">
        <w:rPr>
          <w:rFonts w:ascii="Arial" w:hAnsi="Arial" w:cs="Arial"/>
          <w:sz w:val="28"/>
          <w:szCs w:val="28"/>
        </w:rPr>
        <w:t>l presente</w:t>
      </w:r>
      <w:r w:rsidRPr="00446890">
        <w:rPr>
          <w:rFonts w:ascii="Arial" w:hAnsi="Arial" w:cs="Arial"/>
          <w:sz w:val="28"/>
          <w:szCs w:val="28"/>
        </w:rPr>
        <w:t xml:space="preserve"> Acuerdo General y hasta el inicio de vigencia de las leyes secundarias referidas en el artículo </w:t>
      </w:r>
      <w:r w:rsidR="008F41B5" w:rsidRPr="00446890">
        <w:rPr>
          <w:rFonts w:ascii="Arial" w:hAnsi="Arial" w:cs="Arial"/>
          <w:sz w:val="28"/>
          <w:szCs w:val="28"/>
        </w:rPr>
        <w:t>S</w:t>
      </w:r>
      <w:r w:rsidRPr="00446890">
        <w:rPr>
          <w:rFonts w:ascii="Arial" w:hAnsi="Arial" w:cs="Arial"/>
          <w:sz w:val="28"/>
          <w:szCs w:val="28"/>
        </w:rPr>
        <w:t xml:space="preserve">egundo </w:t>
      </w:r>
      <w:r w:rsidR="008F41B5" w:rsidRPr="00446890">
        <w:rPr>
          <w:rFonts w:ascii="Arial" w:hAnsi="Arial" w:cs="Arial"/>
          <w:sz w:val="28"/>
          <w:szCs w:val="28"/>
        </w:rPr>
        <w:t>T</w:t>
      </w:r>
      <w:r w:rsidRPr="00446890">
        <w:rPr>
          <w:rFonts w:ascii="Arial" w:hAnsi="Arial" w:cs="Arial"/>
          <w:sz w:val="28"/>
          <w:szCs w:val="28"/>
        </w:rPr>
        <w:t>ransitorio de la reforma constitucional publicada el once de marzo de dos mil veintiuno en el Diario Oficial de la Federación, se publicará en la subsección especial que para tal efecto se establezca.</w:t>
      </w:r>
    </w:p>
    <w:p w14:paraId="10369B6D" w14:textId="77777777" w:rsidR="006F597D" w:rsidRPr="00446890" w:rsidRDefault="006F597D" w:rsidP="00D41819">
      <w:pPr>
        <w:pStyle w:val="Estilo"/>
        <w:spacing w:line="480" w:lineRule="auto"/>
        <w:rPr>
          <w:rFonts w:cs="Arial"/>
          <w:sz w:val="28"/>
          <w:szCs w:val="28"/>
          <w:lang w:val="es-ES"/>
        </w:rPr>
      </w:pPr>
    </w:p>
    <w:p w14:paraId="19F553CE" w14:textId="38556DA7" w:rsidR="00EB5C59" w:rsidRPr="00446890" w:rsidRDefault="00C62638"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rPr>
        <w:t>CUART</w:t>
      </w:r>
      <w:r w:rsidR="00CE1B23" w:rsidRPr="00446890">
        <w:rPr>
          <w:rFonts w:ascii="Arial" w:hAnsi="Arial" w:cs="Arial"/>
          <w:b/>
          <w:sz w:val="28"/>
          <w:szCs w:val="28"/>
        </w:rPr>
        <w:t>O</w:t>
      </w:r>
      <w:r w:rsidR="00EB5C59" w:rsidRPr="00446890">
        <w:rPr>
          <w:rFonts w:ascii="Arial" w:hAnsi="Arial" w:cs="Arial"/>
          <w:b/>
          <w:sz w:val="28"/>
          <w:szCs w:val="28"/>
        </w:rPr>
        <w:t>.</w:t>
      </w:r>
      <w:r w:rsidR="00EB5C59" w:rsidRPr="00446890">
        <w:rPr>
          <w:rFonts w:ascii="Arial" w:hAnsi="Arial" w:cs="Arial"/>
          <w:sz w:val="28"/>
          <w:szCs w:val="28"/>
        </w:rPr>
        <w:t xml:space="preserve"> </w:t>
      </w:r>
      <w:r w:rsidR="004B705D" w:rsidRPr="00446890">
        <w:rPr>
          <w:rFonts w:ascii="Arial" w:hAnsi="Arial" w:cs="Arial"/>
          <w:sz w:val="28"/>
          <w:szCs w:val="28"/>
        </w:rPr>
        <w:t xml:space="preserve">A efecto de contar con </w:t>
      </w:r>
      <w:r w:rsidR="002840B6" w:rsidRPr="00446890">
        <w:rPr>
          <w:rFonts w:ascii="Arial" w:hAnsi="Arial" w:cs="Arial"/>
          <w:sz w:val="28"/>
          <w:szCs w:val="28"/>
        </w:rPr>
        <w:t>una</w:t>
      </w:r>
      <w:r w:rsidR="004B705D" w:rsidRPr="00446890">
        <w:rPr>
          <w:rFonts w:ascii="Arial" w:hAnsi="Arial" w:cs="Arial"/>
          <w:sz w:val="28"/>
          <w:szCs w:val="28"/>
        </w:rPr>
        <w:t xml:space="preserve"> reserva histórica</w:t>
      </w:r>
      <w:r w:rsidR="00505800" w:rsidRPr="00446890">
        <w:rPr>
          <w:rFonts w:ascii="Arial" w:hAnsi="Arial" w:cs="Arial"/>
          <w:sz w:val="28"/>
          <w:szCs w:val="28"/>
        </w:rPr>
        <w:t xml:space="preserve"> en términos del artículo 6, fracción XVIII, de la Ley General de Bienes Nacionales</w:t>
      </w:r>
      <w:r w:rsidR="004B705D" w:rsidRPr="00446890">
        <w:rPr>
          <w:rFonts w:ascii="Arial" w:hAnsi="Arial" w:cs="Arial"/>
          <w:sz w:val="28"/>
          <w:szCs w:val="28"/>
        </w:rPr>
        <w:t>, se elaborará</w:t>
      </w:r>
      <w:r w:rsidR="00921ECD" w:rsidRPr="00446890">
        <w:rPr>
          <w:rFonts w:ascii="Arial" w:hAnsi="Arial" w:cs="Arial"/>
          <w:sz w:val="28"/>
          <w:szCs w:val="28"/>
        </w:rPr>
        <w:t>n</w:t>
      </w:r>
      <w:r w:rsidR="004B705D" w:rsidRPr="00446890">
        <w:rPr>
          <w:rFonts w:ascii="Arial" w:hAnsi="Arial" w:cs="Arial"/>
          <w:sz w:val="28"/>
          <w:szCs w:val="28"/>
        </w:rPr>
        <w:t xml:space="preserve"> </w:t>
      </w:r>
      <w:r w:rsidR="00D93453" w:rsidRPr="00446890">
        <w:rPr>
          <w:rFonts w:ascii="Arial" w:hAnsi="Arial" w:cs="Arial"/>
          <w:sz w:val="28"/>
          <w:szCs w:val="28"/>
        </w:rPr>
        <w:t xml:space="preserve">mensualmente </w:t>
      </w:r>
      <w:r w:rsidR="00921ECD" w:rsidRPr="00446890">
        <w:rPr>
          <w:rFonts w:ascii="Arial" w:hAnsi="Arial" w:cs="Arial"/>
          <w:sz w:val="28"/>
          <w:szCs w:val="28"/>
        </w:rPr>
        <w:t>tres</w:t>
      </w:r>
      <w:r w:rsidR="004B705D" w:rsidRPr="00446890">
        <w:rPr>
          <w:rFonts w:ascii="Arial" w:hAnsi="Arial" w:cs="Arial"/>
          <w:sz w:val="28"/>
          <w:szCs w:val="28"/>
        </w:rPr>
        <w:t xml:space="preserve"> ejemplar</w:t>
      </w:r>
      <w:r w:rsidR="00921ECD" w:rsidRPr="00446890">
        <w:rPr>
          <w:rFonts w:ascii="Arial" w:hAnsi="Arial" w:cs="Arial"/>
          <w:sz w:val="28"/>
          <w:szCs w:val="28"/>
        </w:rPr>
        <w:t>es</w:t>
      </w:r>
      <w:r w:rsidR="004B705D" w:rsidRPr="00446890">
        <w:rPr>
          <w:rFonts w:ascii="Arial" w:hAnsi="Arial" w:cs="Arial"/>
          <w:sz w:val="28"/>
          <w:szCs w:val="28"/>
        </w:rPr>
        <w:t xml:space="preserve"> impreso</w:t>
      </w:r>
      <w:r w:rsidR="00921ECD" w:rsidRPr="00446890">
        <w:rPr>
          <w:rFonts w:ascii="Arial" w:hAnsi="Arial" w:cs="Arial"/>
          <w:sz w:val="28"/>
          <w:szCs w:val="28"/>
        </w:rPr>
        <w:t>s</w:t>
      </w:r>
      <w:r w:rsidR="004B705D" w:rsidRPr="00446890">
        <w:rPr>
          <w:rFonts w:ascii="Arial" w:hAnsi="Arial" w:cs="Arial"/>
          <w:sz w:val="28"/>
          <w:szCs w:val="28"/>
        </w:rPr>
        <w:t xml:space="preserve"> de l</w:t>
      </w:r>
      <w:r w:rsidR="00EB5C59" w:rsidRPr="00446890">
        <w:rPr>
          <w:rFonts w:ascii="Arial" w:hAnsi="Arial" w:cs="Arial"/>
          <w:sz w:val="28"/>
          <w:szCs w:val="28"/>
        </w:rPr>
        <w:t>a Gaceta del Semanario Judicial de</w:t>
      </w:r>
      <w:r w:rsidR="00FF212A" w:rsidRPr="00446890">
        <w:rPr>
          <w:rFonts w:ascii="Arial" w:hAnsi="Arial" w:cs="Arial"/>
          <w:sz w:val="28"/>
          <w:szCs w:val="28"/>
        </w:rPr>
        <w:t xml:space="preserve"> </w:t>
      </w:r>
      <w:r w:rsidR="00EB5C59" w:rsidRPr="00446890">
        <w:rPr>
          <w:rFonts w:ascii="Arial" w:hAnsi="Arial" w:cs="Arial"/>
          <w:sz w:val="28"/>
          <w:szCs w:val="28"/>
        </w:rPr>
        <w:t>la Federación</w:t>
      </w:r>
      <w:r w:rsidR="00921ECD" w:rsidRPr="00446890">
        <w:rPr>
          <w:rFonts w:ascii="Arial" w:hAnsi="Arial" w:cs="Arial"/>
          <w:sz w:val="28"/>
          <w:szCs w:val="28"/>
        </w:rPr>
        <w:t xml:space="preserve"> que se resguardarán de la siguiente forma: un ejemplar por el Archivo General de la Nación, un ejemplar por el Centro de Documentación y Análisis, Archivos y Compilación de Leyes y un ejemplar </w:t>
      </w:r>
      <w:r w:rsidR="00921ECD" w:rsidRPr="00446890">
        <w:rPr>
          <w:rFonts w:ascii="Arial" w:hAnsi="Arial" w:cs="Arial"/>
          <w:sz w:val="28"/>
          <w:szCs w:val="28"/>
        </w:rPr>
        <w:lastRenderedPageBreak/>
        <w:t>por la Dirección General de la Coordinación de Compilación y Sistematización de Tesis</w:t>
      </w:r>
      <w:r w:rsidR="00EB5C59" w:rsidRPr="00446890">
        <w:rPr>
          <w:rFonts w:ascii="Arial" w:hAnsi="Arial" w:cs="Arial"/>
          <w:sz w:val="28"/>
          <w:szCs w:val="28"/>
        </w:rPr>
        <w:t>.</w:t>
      </w:r>
    </w:p>
    <w:p w14:paraId="5192C7B2" w14:textId="0703E2AA" w:rsidR="001D6FE1" w:rsidRPr="00446890" w:rsidRDefault="001D6FE1" w:rsidP="00D41819">
      <w:pPr>
        <w:pStyle w:val="NormalWeb"/>
        <w:spacing w:before="0" w:beforeAutospacing="0" w:after="0" w:afterAutospacing="0" w:line="480" w:lineRule="auto"/>
        <w:ind w:left="142" w:firstLine="709"/>
        <w:jc w:val="both"/>
        <w:rPr>
          <w:rFonts w:ascii="Arial" w:hAnsi="Arial" w:cs="Arial"/>
          <w:sz w:val="28"/>
          <w:szCs w:val="28"/>
        </w:rPr>
      </w:pPr>
    </w:p>
    <w:p w14:paraId="3B1B55EC" w14:textId="0B91D939" w:rsidR="001D6FE1" w:rsidRPr="00446890" w:rsidRDefault="00C62638"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bCs/>
          <w:sz w:val="28"/>
          <w:szCs w:val="28"/>
        </w:rPr>
        <w:t>QUIN</w:t>
      </w:r>
      <w:r w:rsidR="001D6FE1" w:rsidRPr="00446890">
        <w:rPr>
          <w:rFonts w:ascii="Arial" w:hAnsi="Arial" w:cs="Arial"/>
          <w:b/>
          <w:bCs/>
          <w:sz w:val="28"/>
          <w:szCs w:val="28"/>
        </w:rPr>
        <w:t xml:space="preserve">TO. </w:t>
      </w:r>
      <w:r w:rsidR="001D6FE1" w:rsidRPr="00446890">
        <w:rPr>
          <w:rFonts w:ascii="Arial" w:hAnsi="Arial" w:cs="Arial"/>
          <w:sz w:val="28"/>
          <w:szCs w:val="28"/>
        </w:rPr>
        <w:t xml:space="preserve">En tanto entran en funciones los Plenos Regionales del Poder Judicial de la Federación, atendiendo a lo previsto en los artículos transitorios Segundo, Tercero y Quinto del Decreto mencionado en el </w:t>
      </w:r>
      <w:r w:rsidR="00A67C66" w:rsidRPr="00446890">
        <w:rPr>
          <w:rFonts w:ascii="Arial" w:hAnsi="Arial" w:cs="Arial"/>
          <w:sz w:val="28"/>
          <w:szCs w:val="28"/>
        </w:rPr>
        <w:t>C</w:t>
      </w:r>
      <w:r w:rsidR="001D6FE1" w:rsidRPr="00446890">
        <w:rPr>
          <w:rFonts w:ascii="Arial" w:hAnsi="Arial" w:cs="Arial"/>
          <w:sz w:val="28"/>
          <w:szCs w:val="28"/>
        </w:rPr>
        <w:t xml:space="preserve">onsiderando </w:t>
      </w:r>
      <w:r w:rsidR="00A67C66" w:rsidRPr="00446890">
        <w:rPr>
          <w:rFonts w:ascii="Arial" w:hAnsi="Arial" w:cs="Arial"/>
          <w:sz w:val="28"/>
          <w:szCs w:val="28"/>
        </w:rPr>
        <w:t>P</w:t>
      </w:r>
      <w:r w:rsidR="001D6FE1" w:rsidRPr="00446890">
        <w:rPr>
          <w:rFonts w:ascii="Arial" w:hAnsi="Arial" w:cs="Arial"/>
          <w:sz w:val="28"/>
          <w:szCs w:val="28"/>
        </w:rPr>
        <w:t xml:space="preserve">rimero de este Acuerdo General, la jurisprudencia emitida por aquéllos a la que se refiere </w:t>
      </w:r>
      <w:r w:rsidR="00B5593A" w:rsidRPr="00446890">
        <w:rPr>
          <w:rFonts w:ascii="Arial" w:hAnsi="Arial" w:cs="Arial"/>
          <w:sz w:val="28"/>
          <w:szCs w:val="28"/>
        </w:rPr>
        <w:t xml:space="preserve">en </w:t>
      </w:r>
      <w:r w:rsidR="001D6FE1" w:rsidRPr="00446890">
        <w:rPr>
          <w:rFonts w:ascii="Arial" w:hAnsi="Arial" w:cs="Arial"/>
          <w:sz w:val="28"/>
          <w:szCs w:val="28"/>
        </w:rPr>
        <w:t>este instrumento normativo será la fijada por los Plenos de Circuito.</w:t>
      </w:r>
    </w:p>
    <w:p w14:paraId="739CC9F1" w14:textId="77777777" w:rsidR="00EB5C59" w:rsidRPr="00446890" w:rsidRDefault="00EB5C59" w:rsidP="00D41819">
      <w:pPr>
        <w:pStyle w:val="Estilo"/>
        <w:spacing w:line="480" w:lineRule="auto"/>
        <w:rPr>
          <w:rFonts w:cs="Arial"/>
          <w:sz w:val="28"/>
          <w:szCs w:val="28"/>
        </w:rPr>
      </w:pPr>
    </w:p>
    <w:p w14:paraId="359466EE" w14:textId="0CB6A2A5" w:rsidR="00107634" w:rsidRPr="00446890" w:rsidRDefault="00C62638" w:rsidP="00D41819">
      <w:pPr>
        <w:pStyle w:val="NormalWeb"/>
        <w:spacing w:before="0" w:beforeAutospacing="0" w:after="0" w:afterAutospacing="0" w:line="480" w:lineRule="auto"/>
        <w:ind w:left="142" w:firstLine="709"/>
        <w:jc w:val="both"/>
        <w:rPr>
          <w:rFonts w:ascii="Arial" w:hAnsi="Arial" w:cs="Arial"/>
          <w:sz w:val="28"/>
          <w:szCs w:val="28"/>
        </w:rPr>
      </w:pPr>
      <w:r w:rsidRPr="00446890">
        <w:rPr>
          <w:rFonts w:ascii="Arial" w:hAnsi="Arial" w:cs="Arial"/>
          <w:b/>
          <w:sz w:val="28"/>
          <w:szCs w:val="28"/>
          <w:lang w:val="es-MX"/>
        </w:rPr>
        <w:t>SEX</w:t>
      </w:r>
      <w:r w:rsidR="007C1160" w:rsidRPr="00446890">
        <w:rPr>
          <w:rFonts w:ascii="Arial" w:hAnsi="Arial" w:cs="Arial"/>
          <w:b/>
          <w:sz w:val="28"/>
          <w:szCs w:val="28"/>
          <w:lang w:val="es-MX"/>
        </w:rPr>
        <w:t>TO</w:t>
      </w:r>
      <w:r w:rsidR="006652D9" w:rsidRPr="00446890">
        <w:rPr>
          <w:rFonts w:ascii="Arial" w:hAnsi="Arial" w:cs="Arial"/>
          <w:b/>
          <w:sz w:val="28"/>
          <w:szCs w:val="28"/>
          <w:lang w:val="es-MX"/>
        </w:rPr>
        <w:t>.</w:t>
      </w:r>
      <w:r w:rsidR="006652D9" w:rsidRPr="00446890">
        <w:rPr>
          <w:rFonts w:ascii="Arial" w:hAnsi="Arial" w:cs="Arial"/>
          <w:sz w:val="28"/>
          <w:szCs w:val="28"/>
          <w:lang w:val="es-MX"/>
        </w:rPr>
        <w:t xml:space="preserve"> Publíquese el presente Acuerdo General en el Diario Oficial de la Federación; en el Semanario Judicial de la Federación y, </w:t>
      </w:r>
      <w:r w:rsidR="006652D9" w:rsidRPr="00446890">
        <w:rPr>
          <w:rFonts w:ascii="Arial" w:hAnsi="Arial" w:cs="Arial"/>
          <w:sz w:val="28"/>
          <w:szCs w:val="28"/>
        </w:rPr>
        <w:t>en términos de lo dispuesto en los artículos 70, fracción I, de la Ley General de Transparencia y Acceso a la Información Pública, y 71, fracción VI, de la Ley Federal de Transparencia y Acceso a la Información Pública, en medios electrónicos de consulta pública.</w:t>
      </w:r>
    </w:p>
    <w:p w14:paraId="558A5AAC" w14:textId="37C5644F" w:rsidR="000C12F9" w:rsidRPr="00446890" w:rsidRDefault="000C12F9" w:rsidP="00D41819">
      <w:pPr>
        <w:pStyle w:val="NormalWeb"/>
        <w:spacing w:before="0" w:beforeAutospacing="0" w:after="0" w:afterAutospacing="0" w:line="480" w:lineRule="auto"/>
        <w:ind w:left="142" w:firstLine="709"/>
        <w:jc w:val="both"/>
        <w:rPr>
          <w:rFonts w:ascii="Arial" w:hAnsi="Arial" w:cs="Arial"/>
          <w:sz w:val="28"/>
          <w:szCs w:val="28"/>
        </w:rPr>
      </w:pPr>
    </w:p>
    <w:p w14:paraId="751AEE33" w14:textId="77777777" w:rsidR="000C12F9" w:rsidRPr="00446890" w:rsidRDefault="000C12F9" w:rsidP="000C12F9">
      <w:pPr>
        <w:spacing w:after="0" w:line="240" w:lineRule="auto"/>
        <w:ind w:left="142"/>
        <w:jc w:val="center"/>
        <w:rPr>
          <w:rFonts w:ascii="Arial" w:hAnsi="Arial" w:cs="Arial"/>
          <w:color w:val="000000"/>
          <w:sz w:val="28"/>
          <w:szCs w:val="28"/>
        </w:rPr>
      </w:pPr>
      <w:r w:rsidRPr="00446890">
        <w:rPr>
          <w:rFonts w:ascii="Arial" w:hAnsi="Arial" w:cs="Arial"/>
          <w:b/>
          <w:sz w:val="28"/>
          <w:szCs w:val="28"/>
        </w:rPr>
        <w:t>EL PRESIDENTE DE LA SUPREMA CORTE</w:t>
      </w:r>
    </w:p>
    <w:p w14:paraId="25310321" w14:textId="77777777" w:rsidR="000C12F9" w:rsidRPr="00446890" w:rsidRDefault="000C12F9" w:rsidP="000C12F9">
      <w:pPr>
        <w:spacing w:after="0" w:line="240" w:lineRule="auto"/>
        <w:ind w:left="142"/>
        <w:jc w:val="center"/>
        <w:rPr>
          <w:rFonts w:ascii="Arial" w:hAnsi="Arial" w:cs="Arial"/>
          <w:b/>
          <w:sz w:val="28"/>
          <w:szCs w:val="28"/>
        </w:rPr>
      </w:pPr>
      <w:r w:rsidRPr="00446890">
        <w:rPr>
          <w:rFonts w:ascii="Arial" w:hAnsi="Arial" w:cs="Arial"/>
          <w:b/>
          <w:sz w:val="28"/>
          <w:szCs w:val="28"/>
        </w:rPr>
        <w:t>DE JUSTICIA DE LA NACIÓN</w:t>
      </w:r>
    </w:p>
    <w:p w14:paraId="6451D257" w14:textId="77777777" w:rsidR="000C12F9" w:rsidRPr="00446890" w:rsidRDefault="000C12F9" w:rsidP="000C12F9">
      <w:pPr>
        <w:spacing w:after="0" w:line="240" w:lineRule="auto"/>
        <w:ind w:left="142"/>
        <w:jc w:val="center"/>
        <w:rPr>
          <w:rFonts w:ascii="Arial" w:hAnsi="Arial" w:cs="Arial"/>
          <w:b/>
          <w:sz w:val="28"/>
          <w:szCs w:val="28"/>
        </w:rPr>
      </w:pPr>
    </w:p>
    <w:p w14:paraId="31FF4D24" w14:textId="750C1717" w:rsidR="000C12F9" w:rsidRPr="00446890" w:rsidRDefault="000C12F9" w:rsidP="000C12F9">
      <w:pPr>
        <w:spacing w:after="0" w:line="240" w:lineRule="auto"/>
        <w:ind w:left="142"/>
        <w:jc w:val="center"/>
        <w:rPr>
          <w:rFonts w:ascii="Arial" w:hAnsi="Arial" w:cs="Arial"/>
          <w:b/>
          <w:sz w:val="28"/>
          <w:szCs w:val="28"/>
        </w:rPr>
      </w:pPr>
    </w:p>
    <w:p w14:paraId="6BDEC8D6" w14:textId="77777777" w:rsidR="000C12F9" w:rsidRPr="00446890" w:rsidRDefault="000C12F9" w:rsidP="000C12F9">
      <w:pPr>
        <w:spacing w:after="0" w:line="240" w:lineRule="auto"/>
        <w:ind w:left="142"/>
        <w:jc w:val="center"/>
        <w:rPr>
          <w:rFonts w:ascii="Arial" w:hAnsi="Arial" w:cs="Arial"/>
          <w:b/>
          <w:sz w:val="28"/>
          <w:szCs w:val="28"/>
        </w:rPr>
      </w:pPr>
    </w:p>
    <w:p w14:paraId="2A3F2962" w14:textId="77777777" w:rsidR="000C12F9" w:rsidRPr="00446890" w:rsidRDefault="000C12F9" w:rsidP="000C12F9">
      <w:pPr>
        <w:spacing w:after="0" w:line="240" w:lineRule="auto"/>
        <w:ind w:left="142"/>
        <w:jc w:val="center"/>
        <w:rPr>
          <w:rFonts w:ascii="Arial" w:hAnsi="Arial" w:cs="Arial"/>
          <w:b/>
          <w:sz w:val="28"/>
          <w:szCs w:val="28"/>
        </w:rPr>
      </w:pPr>
    </w:p>
    <w:p w14:paraId="42347EDC" w14:textId="2399C8DD" w:rsidR="002B49DB" w:rsidRDefault="000C12F9" w:rsidP="00446890">
      <w:pPr>
        <w:tabs>
          <w:tab w:val="left" w:pos="851"/>
        </w:tabs>
        <w:spacing w:after="0" w:line="240" w:lineRule="auto"/>
        <w:ind w:left="426"/>
        <w:jc w:val="center"/>
        <w:rPr>
          <w:rFonts w:ascii="Arial" w:hAnsi="Arial" w:cs="Arial"/>
          <w:b/>
          <w:sz w:val="28"/>
          <w:szCs w:val="28"/>
        </w:rPr>
      </w:pPr>
      <w:r w:rsidRPr="00446890">
        <w:rPr>
          <w:rFonts w:ascii="Arial" w:hAnsi="Arial" w:cs="Arial"/>
          <w:b/>
          <w:sz w:val="28"/>
          <w:szCs w:val="28"/>
        </w:rPr>
        <w:t>MINISTRO ARTURO ZALDÍVAR LELO DE LARREA</w:t>
      </w:r>
    </w:p>
    <w:p w14:paraId="36345975" w14:textId="77777777" w:rsidR="000C12F9" w:rsidRPr="00446890" w:rsidRDefault="000C12F9" w:rsidP="000C12F9">
      <w:pPr>
        <w:spacing w:after="0" w:line="240" w:lineRule="auto"/>
        <w:ind w:left="142"/>
        <w:jc w:val="center"/>
        <w:rPr>
          <w:rFonts w:ascii="Arial" w:hAnsi="Arial" w:cs="Arial"/>
          <w:b/>
          <w:sz w:val="28"/>
          <w:szCs w:val="28"/>
        </w:rPr>
      </w:pPr>
      <w:r w:rsidRPr="00446890">
        <w:rPr>
          <w:rFonts w:ascii="Arial" w:hAnsi="Arial" w:cs="Arial"/>
          <w:b/>
          <w:sz w:val="28"/>
          <w:szCs w:val="28"/>
        </w:rPr>
        <w:lastRenderedPageBreak/>
        <w:t>EL SECRETARIO GENERAL DE ACUERDOS</w:t>
      </w:r>
    </w:p>
    <w:p w14:paraId="1158A404" w14:textId="77777777" w:rsidR="000C12F9" w:rsidRPr="00446890" w:rsidRDefault="000C12F9" w:rsidP="000C12F9">
      <w:pPr>
        <w:spacing w:after="0" w:line="240" w:lineRule="auto"/>
        <w:ind w:left="142"/>
        <w:jc w:val="center"/>
        <w:rPr>
          <w:rFonts w:ascii="Arial" w:hAnsi="Arial" w:cs="Arial"/>
          <w:b/>
          <w:sz w:val="28"/>
          <w:szCs w:val="28"/>
        </w:rPr>
      </w:pPr>
    </w:p>
    <w:p w14:paraId="1098F503" w14:textId="53371A7D" w:rsidR="000C12F9" w:rsidRPr="00446890" w:rsidRDefault="000C12F9" w:rsidP="000C12F9">
      <w:pPr>
        <w:spacing w:after="0" w:line="240" w:lineRule="auto"/>
        <w:ind w:left="142"/>
        <w:jc w:val="center"/>
        <w:rPr>
          <w:rFonts w:ascii="Arial" w:hAnsi="Arial" w:cs="Arial"/>
          <w:b/>
          <w:sz w:val="28"/>
          <w:szCs w:val="28"/>
        </w:rPr>
      </w:pPr>
    </w:p>
    <w:p w14:paraId="04001318" w14:textId="77777777" w:rsidR="000C12F9" w:rsidRPr="00446890" w:rsidRDefault="000C12F9" w:rsidP="000C12F9">
      <w:pPr>
        <w:spacing w:after="0" w:line="240" w:lineRule="auto"/>
        <w:ind w:left="142"/>
        <w:jc w:val="center"/>
        <w:rPr>
          <w:rFonts w:ascii="Arial" w:hAnsi="Arial" w:cs="Arial"/>
          <w:b/>
          <w:sz w:val="28"/>
          <w:szCs w:val="28"/>
        </w:rPr>
      </w:pPr>
    </w:p>
    <w:p w14:paraId="56FC3979" w14:textId="77777777" w:rsidR="000C12F9" w:rsidRPr="00446890" w:rsidRDefault="000C12F9" w:rsidP="000C12F9">
      <w:pPr>
        <w:spacing w:after="0" w:line="240" w:lineRule="auto"/>
        <w:ind w:left="142"/>
        <w:jc w:val="center"/>
        <w:rPr>
          <w:rFonts w:ascii="Arial" w:hAnsi="Arial" w:cs="Arial"/>
          <w:b/>
          <w:sz w:val="28"/>
          <w:szCs w:val="28"/>
        </w:rPr>
      </w:pPr>
    </w:p>
    <w:p w14:paraId="2535B871" w14:textId="77777777" w:rsidR="000C12F9" w:rsidRPr="00446890" w:rsidRDefault="000C12F9" w:rsidP="000C12F9">
      <w:pPr>
        <w:spacing w:after="0" w:line="240" w:lineRule="auto"/>
        <w:ind w:left="142"/>
        <w:jc w:val="center"/>
        <w:rPr>
          <w:rFonts w:ascii="Arial" w:hAnsi="Arial" w:cs="Arial"/>
          <w:b/>
          <w:sz w:val="28"/>
          <w:szCs w:val="28"/>
        </w:rPr>
      </w:pPr>
      <w:r w:rsidRPr="00446890">
        <w:rPr>
          <w:rFonts w:ascii="Arial" w:hAnsi="Arial" w:cs="Arial"/>
          <w:b/>
          <w:sz w:val="28"/>
          <w:szCs w:val="28"/>
        </w:rPr>
        <w:t>LIC. RAFAEL COELLO CETINA</w:t>
      </w:r>
    </w:p>
    <w:p w14:paraId="18F18698" w14:textId="11E91F7E" w:rsidR="000C12F9" w:rsidRPr="00446890" w:rsidRDefault="000C12F9" w:rsidP="000C12F9">
      <w:pPr>
        <w:spacing w:after="0" w:line="240" w:lineRule="auto"/>
        <w:rPr>
          <w:rFonts w:ascii="Arial" w:hAnsi="Arial" w:cs="Arial"/>
          <w:sz w:val="28"/>
          <w:szCs w:val="28"/>
        </w:rPr>
      </w:pPr>
    </w:p>
    <w:p w14:paraId="3769D8D9" w14:textId="72B0DFE2" w:rsidR="000C12F9" w:rsidRPr="00446890" w:rsidRDefault="000C12F9" w:rsidP="000C12F9">
      <w:pPr>
        <w:spacing w:after="0" w:line="240" w:lineRule="auto"/>
        <w:rPr>
          <w:rFonts w:ascii="Arial" w:hAnsi="Arial" w:cs="Arial"/>
          <w:sz w:val="28"/>
          <w:szCs w:val="28"/>
        </w:rPr>
      </w:pPr>
    </w:p>
    <w:p w14:paraId="0689E641" w14:textId="7352F68B" w:rsidR="000C12F9" w:rsidRPr="00446890" w:rsidRDefault="000C12F9" w:rsidP="000C12F9">
      <w:pPr>
        <w:spacing w:after="0" w:line="240" w:lineRule="auto"/>
        <w:rPr>
          <w:rFonts w:ascii="Arial" w:hAnsi="Arial" w:cs="Arial"/>
          <w:sz w:val="28"/>
          <w:szCs w:val="28"/>
        </w:rPr>
      </w:pPr>
    </w:p>
    <w:p w14:paraId="50C935C5" w14:textId="77777777" w:rsidR="000C12F9" w:rsidRPr="00446890" w:rsidRDefault="000C12F9" w:rsidP="000C12F9">
      <w:pPr>
        <w:spacing w:after="0" w:line="240" w:lineRule="auto"/>
        <w:rPr>
          <w:rFonts w:ascii="Arial" w:hAnsi="Arial" w:cs="Arial"/>
          <w:sz w:val="28"/>
          <w:szCs w:val="28"/>
        </w:rPr>
      </w:pPr>
    </w:p>
    <w:p w14:paraId="2AA5ECCA" w14:textId="1C5DDB1D" w:rsidR="000C12F9" w:rsidRPr="000C12F9" w:rsidRDefault="000C12F9" w:rsidP="00BD6201">
      <w:pPr>
        <w:spacing w:after="0" w:line="240" w:lineRule="auto"/>
        <w:ind w:left="142"/>
        <w:jc w:val="both"/>
        <w:rPr>
          <w:rFonts w:ascii="Arial" w:hAnsi="Arial" w:cs="Arial"/>
          <w:sz w:val="28"/>
          <w:szCs w:val="28"/>
        </w:rPr>
      </w:pPr>
      <w:r w:rsidRPr="00446890">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BD6201" w:rsidRPr="00446890">
        <w:rPr>
          <w:rFonts w:ascii="Arial" w:hAnsi="Arial" w:cs="Arial"/>
          <w:b/>
          <w:sz w:val="28"/>
          <w:szCs w:val="28"/>
        </w:rPr>
        <w:t xml:space="preserve">ACUERDO GENERAL NÚMERO 1/2021, DE OCHO DE </w:t>
      </w:r>
      <w:r w:rsidR="00DA0062">
        <w:rPr>
          <w:rFonts w:ascii="Arial" w:hAnsi="Arial" w:cs="Arial"/>
          <w:b/>
          <w:sz w:val="28"/>
          <w:szCs w:val="28"/>
        </w:rPr>
        <w:t>ABRIL</w:t>
      </w:r>
      <w:r w:rsidR="00BD6201" w:rsidRPr="00446890">
        <w:rPr>
          <w:rFonts w:ascii="Arial" w:hAnsi="Arial" w:cs="Arial"/>
          <w:b/>
          <w:sz w:val="28"/>
          <w:szCs w:val="28"/>
        </w:rPr>
        <w:t xml:space="preserve"> DE DOS MIL VEINTIUNO, DEL PLENO DE LA SUPREMA CORTE DE JUSTICIA DE LA NACIÓN, POR EL QUE SE DETERMINA EL INICIO DE LA UNDÉCIMA ÉPOCA DEL SEMANARIO JUDICIAL DE LA FEDERACIÓN, Y SE ESTABLECEN SUS BASES</w:t>
      </w:r>
      <w:r w:rsidRPr="0044689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 - - - - - - - - </w:t>
      </w:r>
      <w:r w:rsidR="00BD6201" w:rsidRPr="00446890">
        <w:rPr>
          <w:rFonts w:ascii="Arial" w:hAnsi="Arial" w:cs="Arial"/>
          <w:b/>
          <w:sz w:val="28"/>
          <w:szCs w:val="28"/>
        </w:rPr>
        <w:t xml:space="preserve">- - - - - - - - - - - - - - - - - - - - - - - - - - - </w:t>
      </w:r>
      <w:r w:rsidRPr="00446890">
        <w:rPr>
          <w:rFonts w:ascii="Arial" w:hAnsi="Arial" w:cs="Arial"/>
          <w:b/>
          <w:sz w:val="28"/>
          <w:szCs w:val="28"/>
        </w:rPr>
        <w:t xml:space="preserve">Ciudad de México, a </w:t>
      </w:r>
      <w:r w:rsidR="00BD6201" w:rsidRPr="00446890">
        <w:rPr>
          <w:rFonts w:ascii="Arial" w:hAnsi="Arial" w:cs="Arial"/>
          <w:b/>
          <w:sz w:val="28"/>
          <w:szCs w:val="28"/>
        </w:rPr>
        <w:t xml:space="preserve">ocho de </w:t>
      </w:r>
      <w:r w:rsidR="00A86549">
        <w:rPr>
          <w:rFonts w:ascii="Arial" w:hAnsi="Arial" w:cs="Arial"/>
          <w:b/>
          <w:sz w:val="28"/>
          <w:szCs w:val="28"/>
        </w:rPr>
        <w:t>abril</w:t>
      </w:r>
      <w:r w:rsidRPr="00446890">
        <w:rPr>
          <w:rFonts w:ascii="Arial" w:hAnsi="Arial" w:cs="Arial"/>
          <w:b/>
          <w:sz w:val="28"/>
          <w:szCs w:val="28"/>
        </w:rPr>
        <w:t xml:space="preserve"> de dos mil veintiuno.-</w:t>
      </w:r>
      <w:r w:rsidR="00BD6201">
        <w:rPr>
          <w:rFonts w:ascii="Arial" w:hAnsi="Arial" w:cs="Arial"/>
          <w:b/>
          <w:sz w:val="28"/>
          <w:szCs w:val="28"/>
        </w:rPr>
        <w:t xml:space="preserve"> </w:t>
      </w:r>
    </w:p>
    <w:sectPr w:rsidR="000C12F9" w:rsidRPr="000C12F9" w:rsidSect="002B49DB">
      <w:footerReference w:type="default" r:id="rId8"/>
      <w:headerReference w:type="first" r:id="rId9"/>
      <w:footerReference w:type="first" r:id="rId10"/>
      <w:pgSz w:w="12240" w:h="19298" w:code="10000"/>
      <w:pgMar w:top="2835" w:right="1418" w:bottom="1701" w:left="34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B2FFB" w14:textId="77777777" w:rsidR="001E49CA" w:rsidRDefault="001E49CA" w:rsidP="006E4391">
      <w:pPr>
        <w:spacing w:after="0" w:line="240" w:lineRule="auto"/>
      </w:pPr>
      <w:r>
        <w:separator/>
      </w:r>
    </w:p>
  </w:endnote>
  <w:endnote w:type="continuationSeparator" w:id="0">
    <w:p w14:paraId="79356BF4" w14:textId="77777777" w:rsidR="001E49CA" w:rsidRDefault="001E49CA" w:rsidP="006E4391">
      <w:pPr>
        <w:spacing w:after="0" w:line="240" w:lineRule="auto"/>
      </w:pPr>
      <w:r>
        <w:continuationSeparator/>
      </w:r>
    </w:p>
  </w:endnote>
  <w:endnote w:type="continuationNotice" w:id="1">
    <w:p w14:paraId="47A6C168" w14:textId="77777777" w:rsidR="001E49CA" w:rsidRDefault="001E4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578181"/>
      <w:docPartObj>
        <w:docPartGallery w:val="Page Numbers (Bottom of Page)"/>
        <w:docPartUnique/>
      </w:docPartObj>
    </w:sdtPr>
    <w:sdtEndPr>
      <w:rPr>
        <w:rFonts w:ascii="Arial" w:hAnsi="Arial" w:cs="Arial"/>
        <w:b/>
        <w:sz w:val="28"/>
        <w:szCs w:val="28"/>
      </w:rPr>
    </w:sdtEndPr>
    <w:sdtContent>
      <w:p w14:paraId="4F40BEA5" w14:textId="77777777" w:rsidR="00184756" w:rsidRPr="00095D3D" w:rsidRDefault="00095D3D" w:rsidP="00095D3D">
        <w:pPr>
          <w:pStyle w:val="Piedepgina"/>
          <w:jc w:val="center"/>
          <w:rPr>
            <w:rFonts w:ascii="Arial" w:hAnsi="Arial" w:cs="Arial"/>
            <w:b/>
            <w:sz w:val="28"/>
            <w:szCs w:val="28"/>
          </w:rPr>
        </w:pPr>
        <w:r>
          <w:rPr>
            <w:rFonts w:ascii="Arial" w:hAnsi="Arial" w:cs="Arial"/>
            <w:b/>
            <w:sz w:val="28"/>
            <w:szCs w:val="28"/>
          </w:rPr>
          <w:t>-</w:t>
        </w:r>
        <w:r w:rsidR="00B93C6A" w:rsidRPr="00095D3D">
          <w:rPr>
            <w:rFonts w:ascii="Arial" w:hAnsi="Arial" w:cs="Arial"/>
            <w:b/>
            <w:sz w:val="28"/>
            <w:szCs w:val="28"/>
          </w:rPr>
          <w:fldChar w:fldCharType="begin"/>
        </w:r>
        <w:r w:rsidR="00B93C6A" w:rsidRPr="00095D3D">
          <w:rPr>
            <w:rFonts w:ascii="Arial" w:hAnsi="Arial" w:cs="Arial"/>
            <w:b/>
            <w:sz w:val="28"/>
            <w:szCs w:val="28"/>
          </w:rPr>
          <w:instrText>PAGE   \* MERGEFORMAT</w:instrText>
        </w:r>
        <w:r w:rsidR="00B93C6A" w:rsidRPr="00095D3D">
          <w:rPr>
            <w:rFonts w:ascii="Arial" w:hAnsi="Arial" w:cs="Arial"/>
            <w:b/>
            <w:sz w:val="28"/>
            <w:szCs w:val="28"/>
          </w:rPr>
          <w:fldChar w:fldCharType="separate"/>
        </w:r>
        <w:r w:rsidR="002A16B9" w:rsidRPr="002A16B9">
          <w:rPr>
            <w:rFonts w:ascii="Arial" w:hAnsi="Arial" w:cs="Arial"/>
            <w:b/>
            <w:noProof/>
            <w:sz w:val="28"/>
            <w:szCs w:val="28"/>
            <w:lang w:val="es-ES"/>
          </w:rPr>
          <w:t>21</w:t>
        </w:r>
        <w:r w:rsidR="00B93C6A" w:rsidRPr="00095D3D">
          <w:rPr>
            <w:rFonts w:ascii="Arial" w:hAnsi="Arial" w:cs="Arial"/>
            <w:b/>
            <w:sz w:val="28"/>
            <w:szCs w:val="28"/>
          </w:rPr>
          <w:fldChar w:fldCharType="end"/>
        </w:r>
        <w:r>
          <w:rPr>
            <w:rFonts w:ascii="Arial" w:hAnsi="Arial" w:cs="Arial"/>
            <w:b/>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138649"/>
      <w:docPartObj>
        <w:docPartGallery w:val="Page Numbers (Bottom of Page)"/>
        <w:docPartUnique/>
      </w:docPartObj>
    </w:sdtPr>
    <w:sdtEndPr>
      <w:rPr>
        <w:rFonts w:ascii="Arial" w:hAnsi="Arial" w:cs="Arial"/>
        <w:b/>
        <w:sz w:val="28"/>
        <w:szCs w:val="28"/>
      </w:rPr>
    </w:sdtEndPr>
    <w:sdtContent>
      <w:p w14:paraId="10424B59" w14:textId="50DFBC9C" w:rsidR="00FB4FE4" w:rsidRPr="00587A04" w:rsidRDefault="00A050C4" w:rsidP="00587A04">
        <w:pPr>
          <w:pStyle w:val="Piedepgina"/>
          <w:jc w:val="center"/>
          <w:rPr>
            <w:rFonts w:ascii="Arial" w:hAnsi="Arial" w:cs="Arial"/>
            <w:b/>
            <w:sz w:val="28"/>
            <w:szCs w:val="28"/>
          </w:rPr>
        </w:pPr>
        <w:r>
          <w:rPr>
            <w:rFonts w:ascii="Arial" w:hAnsi="Arial" w:cs="Arial"/>
            <w:b/>
            <w:sz w:val="28"/>
            <w:szCs w:val="28"/>
          </w:rPr>
          <w:t>-</w:t>
        </w:r>
        <w:r w:rsidR="00B93C6A" w:rsidRPr="00A050C4">
          <w:rPr>
            <w:rFonts w:ascii="Arial" w:hAnsi="Arial" w:cs="Arial"/>
            <w:b/>
            <w:sz w:val="28"/>
            <w:szCs w:val="28"/>
          </w:rPr>
          <w:fldChar w:fldCharType="begin"/>
        </w:r>
        <w:r w:rsidR="00B93C6A" w:rsidRPr="00A050C4">
          <w:rPr>
            <w:rFonts w:ascii="Arial" w:hAnsi="Arial" w:cs="Arial"/>
            <w:b/>
            <w:sz w:val="28"/>
            <w:szCs w:val="28"/>
          </w:rPr>
          <w:instrText>PAGE   \* MERGEFORMAT</w:instrText>
        </w:r>
        <w:r w:rsidR="00B93C6A" w:rsidRPr="00A050C4">
          <w:rPr>
            <w:rFonts w:ascii="Arial" w:hAnsi="Arial" w:cs="Arial"/>
            <w:b/>
            <w:sz w:val="28"/>
            <w:szCs w:val="28"/>
          </w:rPr>
          <w:fldChar w:fldCharType="separate"/>
        </w:r>
        <w:r w:rsidR="002A16B9">
          <w:rPr>
            <w:rFonts w:ascii="Arial" w:hAnsi="Arial" w:cs="Arial"/>
            <w:b/>
            <w:noProof/>
            <w:sz w:val="28"/>
            <w:szCs w:val="28"/>
          </w:rPr>
          <w:t>1</w:t>
        </w:r>
        <w:r w:rsidR="00B93C6A" w:rsidRPr="00A050C4">
          <w:rPr>
            <w:rFonts w:ascii="Arial" w:hAnsi="Arial" w:cs="Arial"/>
            <w:b/>
            <w:sz w:val="28"/>
            <w:szCs w:val="28"/>
          </w:rPr>
          <w:fldChar w:fldCharType="end"/>
        </w:r>
        <w:r>
          <w:rPr>
            <w:rFonts w:ascii="Arial" w:hAnsi="Arial" w:cs="Arial"/>
            <w:b/>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E2039" w14:textId="77777777" w:rsidR="001E49CA" w:rsidRDefault="001E49CA" w:rsidP="006E4391">
      <w:pPr>
        <w:spacing w:after="0" w:line="240" w:lineRule="auto"/>
      </w:pPr>
      <w:r>
        <w:separator/>
      </w:r>
    </w:p>
  </w:footnote>
  <w:footnote w:type="continuationSeparator" w:id="0">
    <w:p w14:paraId="24F7B16B" w14:textId="77777777" w:rsidR="001E49CA" w:rsidRDefault="001E49CA" w:rsidP="006E4391">
      <w:pPr>
        <w:spacing w:after="0" w:line="240" w:lineRule="auto"/>
      </w:pPr>
      <w:r>
        <w:continuationSeparator/>
      </w:r>
    </w:p>
  </w:footnote>
  <w:footnote w:type="continuationNotice" w:id="1">
    <w:p w14:paraId="2F0345B1" w14:textId="77777777" w:rsidR="001E49CA" w:rsidRDefault="001E4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99D5" w14:textId="50F5A53F" w:rsidR="00F57473" w:rsidRPr="00F57473" w:rsidRDefault="00F57473" w:rsidP="00F57473">
    <w:pPr>
      <w:pStyle w:val="Encabezado"/>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7DF"/>
    <w:multiLevelType w:val="hybridMultilevel"/>
    <w:tmpl w:val="7534DFB2"/>
    <w:lvl w:ilvl="0" w:tplc="4C34ECF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FF97F0A"/>
    <w:multiLevelType w:val="multilevel"/>
    <w:tmpl w:val="C860A45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110305E"/>
    <w:multiLevelType w:val="hybridMultilevel"/>
    <w:tmpl w:val="236C7046"/>
    <w:lvl w:ilvl="0" w:tplc="78A27E10">
      <w:start w:val="1"/>
      <w:numFmt w:val="decimal"/>
      <w:lvlText w:val="%1."/>
      <w:lvlJc w:val="center"/>
      <w:pPr>
        <w:ind w:left="1429" w:hanging="360"/>
      </w:pPr>
      <w:rPr>
        <w:rFonts w:hint="default"/>
        <w:b/>
        <w:color w:val="000000" w:themeColor="text1"/>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0AEC"/>
    <w:rsid w:val="00007BDB"/>
    <w:rsid w:val="00012E8F"/>
    <w:rsid w:val="00014A98"/>
    <w:rsid w:val="00021C20"/>
    <w:rsid w:val="000251FE"/>
    <w:rsid w:val="00030212"/>
    <w:rsid w:val="000445D7"/>
    <w:rsid w:val="000606A9"/>
    <w:rsid w:val="00060BCB"/>
    <w:rsid w:val="000650FF"/>
    <w:rsid w:val="00067A43"/>
    <w:rsid w:val="00073C0F"/>
    <w:rsid w:val="00075A0F"/>
    <w:rsid w:val="00075E60"/>
    <w:rsid w:val="000778AA"/>
    <w:rsid w:val="000805DF"/>
    <w:rsid w:val="000815E7"/>
    <w:rsid w:val="0008216F"/>
    <w:rsid w:val="00090162"/>
    <w:rsid w:val="00094B4C"/>
    <w:rsid w:val="00095300"/>
    <w:rsid w:val="00095832"/>
    <w:rsid w:val="00095C64"/>
    <w:rsid w:val="00095D3D"/>
    <w:rsid w:val="000A37DB"/>
    <w:rsid w:val="000A3A2E"/>
    <w:rsid w:val="000A6320"/>
    <w:rsid w:val="000A7ACA"/>
    <w:rsid w:val="000B54E1"/>
    <w:rsid w:val="000B6AFD"/>
    <w:rsid w:val="000C0CE1"/>
    <w:rsid w:val="000C12F9"/>
    <w:rsid w:val="000C24C7"/>
    <w:rsid w:val="000D03FB"/>
    <w:rsid w:val="000D20DB"/>
    <w:rsid w:val="000D76F9"/>
    <w:rsid w:val="000D7A95"/>
    <w:rsid w:val="000E38EB"/>
    <w:rsid w:val="000E7357"/>
    <w:rsid w:val="000F3084"/>
    <w:rsid w:val="000F576F"/>
    <w:rsid w:val="00102C4F"/>
    <w:rsid w:val="00105071"/>
    <w:rsid w:val="00107634"/>
    <w:rsid w:val="001108FE"/>
    <w:rsid w:val="00111DBC"/>
    <w:rsid w:val="0011260B"/>
    <w:rsid w:val="001136E8"/>
    <w:rsid w:val="0012001E"/>
    <w:rsid w:val="00122650"/>
    <w:rsid w:val="00123439"/>
    <w:rsid w:val="001242C2"/>
    <w:rsid w:val="00124B3D"/>
    <w:rsid w:val="00131E39"/>
    <w:rsid w:val="00136B0F"/>
    <w:rsid w:val="00136B40"/>
    <w:rsid w:val="001377BB"/>
    <w:rsid w:val="00141CE2"/>
    <w:rsid w:val="0014398C"/>
    <w:rsid w:val="001501D3"/>
    <w:rsid w:val="0015095B"/>
    <w:rsid w:val="001635FF"/>
    <w:rsid w:val="00181660"/>
    <w:rsid w:val="00184756"/>
    <w:rsid w:val="00190106"/>
    <w:rsid w:val="00191698"/>
    <w:rsid w:val="00196F02"/>
    <w:rsid w:val="00197417"/>
    <w:rsid w:val="001A0503"/>
    <w:rsid w:val="001A60D0"/>
    <w:rsid w:val="001B112C"/>
    <w:rsid w:val="001B17C9"/>
    <w:rsid w:val="001B2480"/>
    <w:rsid w:val="001B6672"/>
    <w:rsid w:val="001B6997"/>
    <w:rsid w:val="001C0E53"/>
    <w:rsid w:val="001C4E6B"/>
    <w:rsid w:val="001D6FE1"/>
    <w:rsid w:val="001E1D33"/>
    <w:rsid w:val="001E49CA"/>
    <w:rsid w:val="001E5B25"/>
    <w:rsid w:val="00206D4E"/>
    <w:rsid w:val="002077DF"/>
    <w:rsid w:val="0021348C"/>
    <w:rsid w:val="00213A73"/>
    <w:rsid w:val="00217012"/>
    <w:rsid w:val="002172D4"/>
    <w:rsid w:val="0021759C"/>
    <w:rsid w:val="00224318"/>
    <w:rsid w:val="00227383"/>
    <w:rsid w:val="00235ADD"/>
    <w:rsid w:val="00246929"/>
    <w:rsid w:val="0025184D"/>
    <w:rsid w:val="00253823"/>
    <w:rsid w:val="00253BD6"/>
    <w:rsid w:val="0025488E"/>
    <w:rsid w:val="0025602A"/>
    <w:rsid w:val="00257F41"/>
    <w:rsid w:val="002617C4"/>
    <w:rsid w:val="00264C0E"/>
    <w:rsid w:val="00270296"/>
    <w:rsid w:val="00270B4E"/>
    <w:rsid w:val="00274FDB"/>
    <w:rsid w:val="002775F6"/>
    <w:rsid w:val="00280260"/>
    <w:rsid w:val="002808B3"/>
    <w:rsid w:val="002820AC"/>
    <w:rsid w:val="002836C3"/>
    <w:rsid w:val="00283ED4"/>
    <w:rsid w:val="00284072"/>
    <w:rsid w:val="002840B6"/>
    <w:rsid w:val="00284A7D"/>
    <w:rsid w:val="00295117"/>
    <w:rsid w:val="00295B9A"/>
    <w:rsid w:val="002975E3"/>
    <w:rsid w:val="002A0AE6"/>
    <w:rsid w:val="002A16B9"/>
    <w:rsid w:val="002A2708"/>
    <w:rsid w:val="002B3BC1"/>
    <w:rsid w:val="002B3D92"/>
    <w:rsid w:val="002B49DB"/>
    <w:rsid w:val="002B5494"/>
    <w:rsid w:val="002C3F97"/>
    <w:rsid w:val="002C57C0"/>
    <w:rsid w:val="002C78F3"/>
    <w:rsid w:val="002E0A8E"/>
    <w:rsid w:val="002E1977"/>
    <w:rsid w:val="002F0D34"/>
    <w:rsid w:val="002F0EC4"/>
    <w:rsid w:val="002F1CE2"/>
    <w:rsid w:val="002F68BA"/>
    <w:rsid w:val="002F69AB"/>
    <w:rsid w:val="003013EB"/>
    <w:rsid w:val="003075E8"/>
    <w:rsid w:val="00315EE7"/>
    <w:rsid w:val="003210E1"/>
    <w:rsid w:val="00344D93"/>
    <w:rsid w:val="00346510"/>
    <w:rsid w:val="00347E05"/>
    <w:rsid w:val="00347EBE"/>
    <w:rsid w:val="00352B25"/>
    <w:rsid w:val="003561AE"/>
    <w:rsid w:val="00357836"/>
    <w:rsid w:val="00363F5D"/>
    <w:rsid w:val="00380CF9"/>
    <w:rsid w:val="00381871"/>
    <w:rsid w:val="003822FB"/>
    <w:rsid w:val="00384615"/>
    <w:rsid w:val="00385A90"/>
    <w:rsid w:val="00386A35"/>
    <w:rsid w:val="003A2280"/>
    <w:rsid w:val="003A26CB"/>
    <w:rsid w:val="003B60DC"/>
    <w:rsid w:val="003B655C"/>
    <w:rsid w:val="003C1521"/>
    <w:rsid w:val="003C4033"/>
    <w:rsid w:val="003C4053"/>
    <w:rsid w:val="003C793F"/>
    <w:rsid w:val="003C7F2A"/>
    <w:rsid w:val="003D062C"/>
    <w:rsid w:val="003D18E4"/>
    <w:rsid w:val="003D764F"/>
    <w:rsid w:val="003E086C"/>
    <w:rsid w:val="003E187E"/>
    <w:rsid w:val="003E67F2"/>
    <w:rsid w:val="003F094C"/>
    <w:rsid w:val="003F3277"/>
    <w:rsid w:val="004117FF"/>
    <w:rsid w:val="00413812"/>
    <w:rsid w:val="00415B95"/>
    <w:rsid w:val="00416660"/>
    <w:rsid w:val="004232A7"/>
    <w:rsid w:val="004269E1"/>
    <w:rsid w:val="004311DE"/>
    <w:rsid w:val="004316BF"/>
    <w:rsid w:val="00432648"/>
    <w:rsid w:val="00433E90"/>
    <w:rsid w:val="00434682"/>
    <w:rsid w:val="00440E03"/>
    <w:rsid w:val="0044595F"/>
    <w:rsid w:val="00446085"/>
    <w:rsid w:val="00446890"/>
    <w:rsid w:val="004548B1"/>
    <w:rsid w:val="004548F2"/>
    <w:rsid w:val="004568FA"/>
    <w:rsid w:val="0046782F"/>
    <w:rsid w:val="0047088B"/>
    <w:rsid w:val="00480C85"/>
    <w:rsid w:val="00480F7D"/>
    <w:rsid w:val="004836E8"/>
    <w:rsid w:val="004852E9"/>
    <w:rsid w:val="00486191"/>
    <w:rsid w:val="00491929"/>
    <w:rsid w:val="00492DD0"/>
    <w:rsid w:val="00494652"/>
    <w:rsid w:val="00495A70"/>
    <w:rsid w:val="004A1D37"/>
    <w:rsid w:val="004A441D"/>
    <w:rsid w:val="004A48AD"/>
    <w:rsid w:val="004A677B"/>
    <w:rsid w:val="004A7D6A"/>
    <w:rsid w:val="004B2B6F"/>
    <w:rsid w:val="004B2E1B"/>
    <w:rsid w:val="004B4A65"/>
    <w:rsid w:val="004B705D"/>
    <w:rsid w:val="004C0429"/>
    <w:rsid w:val="004C2060"/>
    <w:rsid w:val="004C6629"/>
    <w:rsid w:val="004D171B"/>
    <w:rsid w:val="004D53DB"/>
    <w:rsid w:val="004E02B6"/>
    <w:rsid w:val="004E0809"/>
    <w:rsid w:val="004E10A7"/>
    <w:rsid w:val="004E390C"/>
    <w:rsid w:val="004F0C8F"/>
    <w:rsid w:val="004F0DB8"/>
    <w:rsid w:val="004F39D0"/>
    <w:rsid w:val="004F3DC3"/>
    <w:rsid w:val="005029CE"/>
    <w:rsid w:val="00505800"/>
    <w:rsid w:val="00507EDA"/>
    <w:rsid w:val="00511CE1"/>
    <w:rsid w:val="00513021"/>
    <w:rsid w:val="00515E12"/>
    <w:rsid w:val="005255DB"/>
    <w:rsid w:val="00554A48"/>
    <w:rsid w:val="0056122A"/>
    <w:rsid w:val="00561F0B"/>
    <w:rsid w:val="005631EF"/>
    <w:rsid w:val="0056611F"/>
    <w:rsid w:val="0057132C"/>
    <w:rsid w:val="005714E2"/>
    <w:rsid w:val="00571F69"/>
    <w:rsid w:val="005752B2"/>
    <w:rsid w:val="005762DE"/>
    <w:rsid w:val="00585521"/>
    <w:rsid w:val="00587A04"/>
    <w:rsid w:val="00593863"/>
    <w:rsid w:val="00594235"/>
    <w:rsid w:val="005949CB"/>
    <w:rsid w:val="005A1EEC"/>
    <w:rsid w:val="005A31EC"/>
    <w:rsid w:val="005A43B7"/>
    <w:rsid w:val="005B01E4"/>
    <w:rsid w:val="005B7422"/>
    <w:rsid w:val="005C07F9"/>
    <w:rsid w:val="005C1967"/>
    <w:rsid w:val="005C223D"/>
    <w:rsid w:val="005D3418"/>
    <w:rsid w:val="005D7BD0"/>
    <w:rsid w:val="005E433E"/>
    <w:rsid w:val="005F12BE"/>
    <w:rsid w:val="005F3312"/>
    <w:rsid w:val="005F4960"/>
    <w:rsid w:val="005F4C76"/>
    <w:rsid w:val="005F565E"/>
    <w:rsid w:val="006027F7"/>
    <w:rsid w:val="0061037B"/>
    <w:rsid w:val="00613860"/>
    <w:rsid w:val="006176ED"/>
    <w:rsid w:val="006220AA"/>
    <w:rsid w:val="00623D67"/>
    <w:rsid w:val="00623FE2"/>
    <w:rsid w:val="00626DDD"/>
    <w:rsid w:val="00631C2A"/>
    <w:rsid w:val="00633F4B"/>
    <w:rsid w:val="00634EA5"/>
    <w:rsid w:val="006416BA"/>
    <w:rsid w:val="00644E65"/>
    <w:rsid w:val="006523C9"/>
    <w:rsid w:val="006620EF"/>
    <w:rsid w:val="006652D9"/>
    <w:rsid w:val="00665FE9"/>
    <w:rsid w:val="00680BBC"/>
    <w:rsid w:val="00681A92"/>
    <w:rsid w:val="00684106"/>
    <w:rsid w:val="00690930"/>
    <w:rsid w:val="00691ABB"/>
    <w:rsid w:val="00691FFE"/>
    <w:rsid w:val="00696279"/>
    <w:rsid w:val="0069633D"/>
    <w:rsid w:val="006A1343"/>
    <w:rsid w:val="006A370F"/>
    <w:rsid w:val="006B2ADC"/>
    <w:rsid w:val="006B3C91"/>
    <w:rsid w:val="006B3D67"/>
    <w:rsid w:val="006B5FE6"/>
    <w:rsid w:val="006B70FE"/>
    <w:rsid w:val="006C1F2E"/>
    <w:rsid w:val="006C40EA"/>
    <w:rsid w:val="006C43CF"/>
    <w:rsid w:val="006C4F89"/>
    <w:rsid w:val="006C5DC8"/>
    <w:rsid w:val="006D2130"/>
    <w:rsid w:val="006D40B4"/>
    <w:rsid w:val="006D6F96"/>
    <w:rsid w:val="006D7DF6"/>
    <w:rsid w:val="006E22A3"/>
    <w:rsid w:val="006E4391"/>
    <w:rsid w:val="006E5415"/>
    <w:rsid w:val="006E7419"/>
    <w:rsid w:val="006E7D26"/>
    <w:rsid w:val="006F2516"/>
    <w:rsid w:val="006F27E0"/>
    <w:rsid w:val="006F2DD8"/>
    <w:rsid w:val="006F312E"/>
    <w:rsid w:val="006F597D"/>
    <w:rsid w:val="007008D5"/>
    <w:rsid w:val="00701A42"/>
    <w:rsid w:val="007027C7"/>
    <w:rsid w:val="00703550"/>
    <w:rsid w:val="00703D18"/>
    <w:rsid w:val="00706B73"/>
    <w:rsid w:val="00713CA9"/>
    <w:rsid w:val="0073316E"/>
    <w:rsid w:val="00736956"/>
    <w:rsid w:val="00744118"/>
    <w:rsid w:val="0074430B"/>
    <w:rsid w:val="00753F2B"/>
    <w:rsid w:val="007646C3"/>
    <w:rsid w:val="00764E3F"/>
    <w:rsid w:val="007710EB"/>
    <w:rsid w:val="00780BE6"/>
    <w:rsid w:val="00784137"/>
    <w:rsid w:val="00784164"/>
    <w:rsid w:val="00786986"/>
    <w:rsid w:val="00794951"/>
    <w:rsid w:val="007A5BA6"/>
    <w:rsid w:val="007B6454"/>
    <w:rsid w:val="007B72F2"/>
    <w:rsid w:val="007C1160"/>
    <w:rsid w:val="007C1CA3"/>
    <w:rsid w:val="007D13F7"/>
    <w:rsid w:val="007D5729"/>
    <w:rsid w:val="007E4C03"/>
    <w:rsid w:val="007E4CF7"/>
    <w:rsid w:val="007E4DFE"/>
    <w:rsid w:val="007F3521"/>
    <w:rsid w:val="007F38CB"/>
    <w:rsid w:val="007F3B45"/>
    <w:rsid w:val="007F3ED1"/>
    <w:rsid w:val="007F4758"/>
    <w:rsid w:val="007F4FD3"/>
    <w:rsid w:val="007F570F"/>
    <w:rsid w:val="007F6516"/>
    <w:rsid w:val="007F675D"/>
    <w:rsid w:val="007F6EBC"/>
    <w:rsid w:val="00801058"/>
    <w:rsid w:val="008025D7"/>
    <w:rsid w:val="008060EB"/>
    <w:rsid w:val="00810346"/>
    <w:rsid w:val="008141FA"/>
    <w:rsid w:val="008142EB"/>
    <w:rsid w:val="00816388"/>
    <w:rsid w:val="008361F9"/>
    <w:rsid w:val="00841A93"/>
    <w:rsid w:val="008448E4"/>
    <w:rsid w:val="008455C8"/>
    <w:rsid w:val="0084724D"/>
    <w:rsid w:val="00870812"/>
    <w:rsid w:val="008756BB"/>
    <w:rsid w:val="008771CB"/>
    <w:rsid w:val="008814A6"/>
    <w:rsid w:val="00881CB5"/>
    <w:rsid w:val="00882E69"/>
    <w:rsid w:val="008845CC"/>
    <w:rsid w:val="00890521"/>
    <w:rsid w:val="008910D8"/>
    <w:rsid w:val="00892829"/>
    <w:rsid w:val="00892A21"/>
    <w:rsid w:val="00896D85"/>
    <w:rsid w:val="008974F0"/>
    <w:rsid w:val="008A3360"/>
    <w:rsid w:val="008A6271"/>
    <w:rsid w:val="008B05A2"/>
    <w:rsid w:val="008B0A87"/>
    <w:rsid w:val="008B1F1B"/>
    <w:rsid w:val="008B619A"/>
    <w:rsid w:val="008C2DD6"/>
    <w:rsid w:val="008D078C"/>
    <w:rsid w:val="008E02B5"/>
    <w:rsid w:val="008E2A27"/>
    <w:rsid w:val="008E4C58"/>
    <w:rsid w:val="008F07DA"/>
    <w:rsid w:val="008F41B5"/>
    <w:rsid w:val="008F5E85"/>
    <w:rsid w:val="0090011E"/>
    <w:rsid w:val="00900A8D"/>
    <w:rsid w:val="0090290C"/>
    <w:rsid w:val="00906AA5"/>
    <w:rsid w:val="00910E6F"/>
    <w:rsid w:val="009112F1"/>
    <w:rsid w:val="00911BA9"/>
    <w:rsid w:val="00914F7B"/>
    <w:rsid w:val="00921ECD"/>
    <w:rsid w:val="0092273B"/>
    <w:rsid w:val="009277F2"/>
    <w:rsid w:val="0093713B"/>
    <w:rsid w:val="009425A2"/>
    <w:rsid w:val="00946936"/>
    <w:rsid w:val="00946A9E"/>
    <w:rsid w:val="00951EA7"/>
    <w:rsid w:val="00955B20"/>
    <w:rsid w:val="0096299B"/>
    <w:rsid w:val="0096559C"/>
    <w:rsid w:val="0097112B"/>
    <w:rsid w:val="0097186B"/>
    <w:rsid w:val="009721A5"/>
    <w:rsid w:val="0097420E"/>
    <w:rsid w:val="00975D67"/>
    <w:rsid w:val="00975F8E"/>
    <w:rsid w:val="009818DF"/>
    <w:rsid w:val="0098220C"/>
    <w:rsid w:val="00982336"/>
    <w:rsid w:val="00982811"/>
    <w:rsid w:val="009840DD"/>
    <w:rsid w:val="00985AF9"/>
    <w:rsid w:val="00993C69"/>
    <w:rsid w:val="00995A89"/>
    <w:rsid w:val="009975C6"/>
    <w:rsid w:val="009A3C2D"/>
    <w:rsid w:val="009A47CE"/>
    <w:rsid w:val="009A4800"/>
    <w:rsid w:val="009A4C50"/>
    <w:rsid w:val="009B0A07"/>
    <w:rsid w:val="009B34FE"/>
    <w:rsid w:val="009B4366"/>
    <w:rsid w:val="009C005B"/>
    <w:rsid w:val="009C07EC"/>
    <w:rsid w:val="009C226A"/>
    <w:rsid w:val="009D081A"/>
    <w:rsid w:val="009E12B9"/>
    <w:rsid w:val="009E477D"/>
    <w:rsid w:val="009E50D5"/>
    <w:rsid w:val="00A01284"/>
    <w:rsid w:val="00A02DCC"/>
    <w:rsid w:val="00A03457"/>
    <w:rsid w:val="00A050C4"/>
    <w:rsid w:val="00A073A6"/>
    <w:rsid w:val="00A076DD"/>
    <w:rsid w:val="00A07F9C"/>
    <w:rsid w:val="00A11281"/>
    <w:rsid w:val="00A11EDF"/>
    <w:rsid w:val="00A16B41"/>
    <w:rsid w:val="00A177D7"/>
    <w:rsid w:val="00A26E4E"/>
    <w:rsid w:val="00A43D3A"/>
    <w:rsid w:val="00A51D8A"/>
    <w:rsid w:val="00A543C7"/>
    <w:rsid w:val="00A56AED"/>
    <w:rsid w:val="00A57DC5"/>
    <w:rsid w:val="00A62BC4"/>
    <w:rsid w:val="00A67C66"/>
    <w:rsid w:val="00A72161"/>
    <w:rsid w:val="00A86219"/>
    <w:rsid w:val="00A86549"/>
    <w:rsid w:val="00A9075C"/>
    <w:rsid w:val="00A95350"/>
    <w:rsid w:val="00A95898"/>
    <w:rsid w:val="00A97920"/>
    <w:rsid w:val="00AA13B2"/>
    <w:rsid w:val="00AA261D"/>
    <w:rsid w:val="00AB04FF"/>
    <w:rsid w:val="00AB15A2"/>
    <w:rsid w:val="00AB3106"/>
    <w:rsid w:val="00AC13FF"/>
    <w:rsid w:val="00AC2FED"/>
    <w:rsid w:val="00AC6E6C"/>
    <w:rsid w:val="00AC7F1F"/>
    <w:rsid w:val="00AD060A"/>
    <w:rsid w:val="00AE5DF6"/>
    <w:rsid w:val="00AF1CB7"/>
    <w:rsid w:val="00AF26DA"/>
    <w:rsid w:val="00AF46F9"/>
    <w:rsid w:val="00AF6AA2"/>
    <w:rsid w:val="00B05BB5"/>
    <w:rsid w:val="00B077FD"/>
    <w:rsid w:val="00B07D9E"/>
    <w:rsid w:val="00B1094E"/>
    <w:rsid w:val="00B15ECE"/>
    <w:rsid w:val="00B17BF0"/>
    <w:rsid w:val="00B21695"/>
    <w:rsid w:val="00B23FC4"/>
    <w:rsid w:val="00B32580"/>
    <w:rsid w:val="00B3533C"/>
    <w:rsid w:val="00B41448"/>
    <w:rsid w:val="00B4228B"/>
    <w:rsid w:val="00B47AFF"/>
    <w:rsid w:val="00B514E4"/>
    <w:rsid w:val="00B5173C"/>
    <w:rsid w:val="00B5593A"/>
    <w:rsid w:val="00B56048"/>
    <w:rsid w:val="00B8264D"/>
    <w:rsid w:val="00B82DEC"/>
    <w:rsid w:val="00B83B5F"/>
    <w:rsid w:val="00B83EF9"/>
    <w:rsid w:val="00B859EC"/>
    <w:rsid w:val="00B86284"/>
    <w:rsid w:val="00B87B32"/>
    <w:rsid w:val="00B92804"/>
    <w:rsid w:val="00B9369B"/>
    <w:rsid w:val="00B93C6A"/>
    <w:rsid w:val="00B9795B"/>
    <w:rsid w:val="00B97A47"/>
    <w:rsid w:val="00BA1F6B"/>
    <w:rsid w:val="00BA4A66"/>
    <w:rsid w:val="00BA5AC5"/>
    <w:rsid w:val="00BA5E7A"/>
    <w:rsid w:val="00BB13C1"/>
    <w:rsid w:val="00BB3507"/>
    <w:rsid w:val="00BB70BD"/>
    <w:rsid w:val="00BB7691"/>
    <w:rsid w:val="00BD003F"/>
    <w:rsid w:val="00BD508A"/>
    <w:rsid w:val="00BD6201"/>
    <w:rsid w:val="00BD7731"/>
    <w:rsid w:val="00BE1956"/>
    <w:rsid w:val="00BE3DE0"/>
    <w:rsid w:val="00BE5710"/>
    <w:rsid w:val="00BF0196"/>
    <w:rsid w:val="00BF2798"/>
    <w:rsid w:val="00BF69D2"/>
    <w:rsid w:val="00BF6CE9"/>
    <w:rsid w:val="00BF7863"/>
    <w:rsid w:val="00BF7E4B"/>
    <w:rsid w:val="00C01479"/>
    <w:rsid w:val="00C03311"/>
    <w:rsid w:val="00C0399F"/>
    <w:rsid w:val="00C03DD0"/>
    <w:rsid w:val="00C068D7"/>
    <w:rsid w:val="00C06B9B"/>
    <w:rsid w:val="00C1718D"/>
    <w:rsid w:val="00C25890"/>
    <w:rsid w:val="00C32CE4"/>
    <w:rsid w:val="00C3765A"/>
    <w:rsid w:val="00C4145E"/>
    <w:rsid w:val="00C41730"/>
    <w:rsid w:val="00C531D0"/>
    <w:rsid w:val="00C54864"/>
    <w:rsid w:val="00C55FC6"/>
    <w:rsid w:val="00C56943"/>
    <w:rsid w:val="00C62638"/>
    <w:rsid w:val="00C70D54"/>
    <w:rsid w:val="00C71A24"/>
    <w:rsid w:val="00C7764B"/>
    <w:rsid w:val="00C85506"/>
    <w:rsid w:val="00C86438"/>
    <w:rsid w:val="00C9008F"/>
    <w:rsid w:val="00C942C0"/>
    <w:rsid w:val="00C942D2"/>
    <w:rsid w:val="00C97038"/>
    <w:rsid w:val="00CB5967"/>
    <w:rsid w:val="00CB6D91"/>
    <w:rsid w:val="00CC34D0"/>
    <w:rsid w:val="00CC37BC"/>
    <w:rsid w:val="00CC41D2"/>
    <w:rsid w:val="00CC697D"/>
    <w:rsid w:val="00CC6FF6"/>
    <w:rsid w:val="00CE0B59"/>
    <w:rsid w:val="00CE1B23"/>
    <w:rsid w:val="00CE2C76"/>
    <w:rsid w:val="00CF0398"/>
    <w:rsid w:val="00CF4363"/>
    <w:rsid w:val="00D01515"/>
    <w:rsid w:val="00D1179B"/>
    <w:rsid w:val="00D11F99"/>
    <w:rsid w:val="00D144CE"/>
    <w:rsid w:val="00D161C5"/>
    <w:rsid w:val="00D165DE"/>
    <w:rsid w:val="00D31BB7"/>
    <w:rsid w:val="00D32C2B"/>
    <w:rsid w:val="00D36495"/>
    <w:rsid w:val="00D41819"/>
    <w:rsid w:val="00D44BB6"/>
    <w:rsid w:val="00D467D6"/>
    <w:rsid w:val="00D46DF9"/>
    <w:rsid w:val="00D61ABC"/>
    <w:rsid w:val="00D71DBC"/>
    <w:rsid w:val="00D73CF0"/>
    <w:rsid w:val="00D73D8C"/>
    <w:rsid w:val="00D73ECC"/>
    <w:rsid w:val="00D749CA"/>
    <w:rsid w:val="00D7668D"/>
    <w:rsid w:val="00D8555E"/>
    <w:rsid w:val="00D86079"/>
    <w:rsid w:val="00D93453"/>
    <w:rsid w:val="00D938DB"/>
    <w:rsid w:val="00D945C7"/>
    <w:rsid w:val="00DA0062"/>
    <w:rsid w:val="00DA25BE"/>
    <w:rsid w:val="00DA77EC"/>
    <w:rsid w:val="00DB75D2"/>
    <w:rsid w:val="00DC0AC6"/>
    <w:rsid w:val="00DC1BC4"/>
    <w:rsid w:val="00DC2AD6"/>
    <w:rsid w:val="00DC2F7E"/>
    <w:rsid w:val="00DC4497"/>
    <w:rsid w:val="00DE2F0B"/>
    <w:rsid w:val="00DE4D71"/>
    <w:rsid w:val="00E0123A"/>
    <w:rsid w:val="00E015C8"/>
    <w:rsid w:val="00E03B0E"/>
    <w:rsid w:val="00E1089D"/>
    <w:rsid w:val="00E1564F"/>
    <w:rsid w:val="00E217D7"/>
    <w:rsid w:val="00E21C0F"/>
    <w:rsid w:val="00E33CD8"/>
    <w:rsid w:val="00E353C9"/>
    <w:rsid w:val="00E372CD"/>
    <w:rsid w:val="00E51460"/>
    <w:rsid w:val="00E609BE"/>
    <w:rsid w:val="00E70A23"/>
    <w:rsid w:val="00E72FE0"/>
    <w:rsid w:val="00E76F11"/>
    <w:rsid w:val="00E77E9C"/>
    <w:rsid w:val="00E853EE"/>
    <w:rsid w:val="00E975A1"/>
    <w:rsid w:val="00EA25E4"/>
    <w:rsid w:val="00EA517E"/>
    <w:rsid w:val="00EA60A7"/>
    <w:rsid w:val="00EB144F"/>
    <w:rsid w:val="00EB5C59"/>
    <w:rsid w:val="00EC189C"/>
    <w:rsid w:val="00EC5468"/>
    <w:rsid w:val="00EC5A03"/>
    <w:rsid w:val="00ED1282"/>
    <w:rsid w:val="00ED198B"/>
    <w:rsid w:val="00ED6734"/>
    <w:rsid w:val="00EE36C4"/>
    <w:rsid w:val="00EE5B48"/>
    <w:rsid w:val="00EF3985"/>
    <w:rsid w:val="00EF50D2"/>
    <w:rsid w:val="00EF524F"/>
    <w:rsid w:val="00EF62FC"/>
    <w:rsid w:val="00EF6BDC"/>
    <w:rsid w:val="00F01BDA"/>
    <w:rsid w:val="00F04816"/>
    <w:rsid w:val="00F04823"/>
    <w:rsid w:val="00F16ED3"/>
    <w:rsid w:val="00F21B33"/>
    <w:rsid w:val="00F300E3"/>
    <w:rsid w:val="00F3095E"/>
    <w:rsid w:val="00F30ACD"/>
    <w:rsid w:val="00F34D2A"/>
    <w:rsid w:val="00F35243"/>
    <w:rsid w:val="00F4532A"/>
    <w:rsid w:val="00F46229"/>
    <w:rsid w:val="00F512E6"/>
    <w:rsid w:val="00F5288F"/>
    <w:rsid w:val="00F52EB1"/>
    <w:rsid w:val="00F57473"/>
    <w:rsid w:val="00F60698"/>
    <w:rsid w:val="00F709D7"/>
    <w:rsid w:val="00F8067C"/>
    <w:rsid w:val="00F80799"/>
    <w:rsid w:val="00F8193E"/>
    <w:rsid w:val="00F83218"/>
    <w:rsid w:val="00F8427A"/>
    <w:rsid w:val="00F8666C"/>
    <w:rsid w:val="00F87E6F"/>
    <w:rsid w:val="00F91BE5"/>
    <w:rsid w:val="00F92603"/>
    <w:rsid w:val="00F943A0"/>
    <w:rsid w:val="00FA2A92"/>
    <w:rsid w:val="00FA61FA"/>
    <w:rsid w:val="00FA6952"/>
    <w:rsid w:val="00FA7656"/>
    <w:rsid w:val="00FB0F58"/>
    <w:rsid w:val="00FB49EA"/>
    <w:rsid w:val="00FB4ADF"/>
    <w:rsid w:val="00FB4FE4"/>
    <w:rsid w:val="00FB5372"/>
    <w:rsid w:val="00FB5DF4"/>
    <w:rsid w:val="00FB6CFF"/>
    <w:rsid w:val="00FB7F1F"/>
    <w:rsid w:val="00FC1DED"/>
    <w:rsid w:val="00FC28B3"/>
    <w:rsid w:val="00FC30C8"/>
    <w:rsid w:val="00FC417C"/>
    <w:rsid w:val="00FD2190"/>
    <w:rsid w:val="00FD3C3D"/>
    <w:rsid w:val="00FD597D"/>
    <w:rsid w:val="00FD5D1B"/>
    <w:rsid w:val="00FE2CFB"/>
    <w:rsid w:val="00FE5F41"/>
    <w:rsid w:val="00FE7D9C"/>
    <w:rsid w:val="00FF212A"/>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B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paragraph" w:styleId="Revisin">
    <w:name w:val="Revision"/>
    <w:hidden/>
    <w:uiPriority w:val="99"/>
    <w:semiHidden/>
    <w:rsid w:val="005D7BD0"/>
    <w:pPr>
      <w:spacing w:after="0" w:line="240" w:lineRule="auto"/>
    </w:pPr>
    <w:rPr>
      <w:lang w:val="es-MX"/>
    </w:rPr>
  </w:style>
  <w:style w:type="paragraph" w:styleId="NormalWeb">
    <w:name w:val="Normal (Web)"/>
    <w:basedOn w:val="Normal"/>
    <w:rsid w:val="00DC4497"/>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s2">
    <w:name w:val="s2"/>
    <w:basedOn w:val="Fuentedeprrafopredeter"/>
    <w:rsid w:val="000C12F9"/>
  </w:style>
  <w:style w:type="character" w:customStyle="1" w:styleId="apple-converted-space">
    <w:name w:val="apple-converted-space"/>
    <w:basedOn w:val="Fuentedeprrafopredeter"/>
    <w:rsid w:val="000C12F9"/>
  </w:style>
  <w:style w:type="character" w:styleId="Refdecomentario">
    <w:name w:val="annotation reference"/>
    <w:basedOn w:val="Fuentedeprrafopredeter"/>
    <w:uiPriority w:val="99"/>
    <w:semiHidden/>
    <w:unhideWhenUsed/>
    <w:rsid w:val="00181660"/>
    <w:rPr>
      <w:sz w:val="16"/>
      <w:szCs w:val="16"/>
    </w:rPr>
  </w:style>
  <w:style w:type="paragraph" w:styleId="Textocomentario">
    <w:name w:val="annotation text"/>
    <w:basedOn w:val="Normal"/>
    <w:link w:val="TextocomentarioCar"/>
    <w:uiPriority w:val="99"/>
    <w:semiHidden/>
    <w:unhideWhenUsed/>
    <w:rsid w:val="001816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66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81660"/>
    <w:rPr>
      <w:b/>
      <w:bCs/>
    </w:rPr>
  </w:style>
  <w:style w:type="character" w:customStyle="1" w:styleId="AsuntodelcomentarioCar">
    <w:name w:val="Asunto del comentario Car"/>
    <w:basedOn w:val="TextocomentarioCar"/>
    <w:link w:val="Asuntodelcomentario"/>
    <w:uiPriority w:val="99"/>
    <w:semiHidden/>
    <w:rsid w:val="00181660"/>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0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1CAD-253C-4760-8050-A06A291C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4188</Words>
  <Characters>23039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2021-04-08T17:59:00Z</dcterms:created>
  <dcterms:modified xsi:type="dcterms:W3CDTF">2021-04-08T20:51:00Z</dcterms:modified>
</cp:coreProperties>
</file>