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694E" w14:textId="3BCD93D3" w:rsidR="00AA72A7" w:rsidRPr="00774360" w:rsidRDefault="00AA72A7" w:rsidP="00FD7E36">
      <w:pPr>
        <w:ind w:left="142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LISTA APROBADA POR EL PLENO DE LA SUPREMA CORTE DE JUSTICIA DE LA NACIÓN EN SU SESIÓN PÚBLICA CELEBRADA EL </w:t>
      </w:r>
      <w:r w:rsidR="002E6F62" w:rsidRPr="00774360">
        <w:rPr>
          <w:rFonts w:ascii="Arial" w:hAnsi="Arial" w:cs="Arial"/>
          <w:b/>
          <w:color w:val="000000" w:themeColor="text1"/>
          <w:sz w:val="28"/>
          <w:szCs w:val="28"/>
        </w:rPr>
        <w:t>VEINTIDÓS DE MARZO DE DOS MIL VEINTIDÓS</w:t>
      </w:r>
      <w:r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, DE </w:t>
      </w:r>
      <w:r w:rsidR="002E6F62"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LAS CANDIDATAS Y </w:t>
      </w:r>
      <w:r w:rsidR="00750B82"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DE </w:t>
      </w:r>
      <w:r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LOS CANDIDATOS A INTEGRAR LAS TERNAS QUE SERÁN PROPUESTAS A LA CÁMARA DE SENADORES DEL CONGRESO DE LA UNIÓN PARA LA DESIGNACIÓN DE </w:t>
      </w:r>
      <w:r w:rsidR="002E6F62"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LAS MAGISTRADAS Y </w:t>
      </w:r>
      <w:r w:rsidR="00D50361"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DE </w:t>
      </w:r>
      <w:r w:rsidR="002E6F62"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LOS </w:t>
      </w:r>
      <w:r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MAGISTRADOS DE SALA REGIONAL DEL TRIBUNAL ELECTORAL DEL PODER JUDICIAL DE LA FEDERACIÓN, QUE OBTUVIERON LA VOTACIÓN NECESARIA PARA PASAR A LA SEGUNDA ETAPA DEL PROCEDIMIENTO REGULADO EN EL ACUERDO NÚMERO </w:t>
      </w:r>
      <w:r w:rsidR="002E6F62" w:rsidRPr="00774360">
        <w:rPr>
          <w:rFonts w:ascii="Arial" w:hAnsi="Arial" w:cs="Arial"/>
          <w:b/>
          <w:color w:val="000000" w:themeColor="text1"/>
          <w:sz w:val="28"/>
          <w:szCs w:val="28"/>
        </w:rPr>
        <w:t>2/2022</w:t>
      </w:r>
      <w:r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; ASÍ COMO </w:t>
      </w:r>
      <w:r w:rsidR="00774360"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LA </w:t>
      </w:r>
      <w:r w:rsidRPr="00774360">
        <w:rPr>
          <w:rFonts w:ascii="Arial" w:hAnsi="Arial" w:cs="Arial"/>
          <w:b/>
          <w:color w:val="000000" w:themeColor="text1"/>
          <w:sz w:val="28"/>
          <w:szCs w:val="28"/>
        </w:rPr>
        <w:t>CONVOCATORIA PARA LAS RESPECTIVAS SESIONES DE COMPARECENCIAS.</w:t>
      </w:r>
    </w:p>
    <w:p w14:paraId="55D48DC2" w14:textId="77777777" w:rsidR="005B6F08" w:rsidRPr="00774360" w:rsidRDefault="005B6F08" w:rsidP="00AA72A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64F1CB3" w14:textId="77777777" w:rsidR="0044430E" w:rsidRPr="00774360" w:rsidRDefault="00AA72A7" w:rsidP="00FD7E36">
      <w:pPr>
        <w:ind w:left="14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color w:val="000000" w:themeColor="text1"/>
          <w:sz w:val="28"/>
          <w:szCs w:val="28"/>
        </w:rPr>
        <w:t>La referida lista se integra por los siguientes candidatos:</w:t>
      </w:r>
    </w:p>
    <w:p w14:paraId="31269C58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ALVARADO DE LA CRUZ YOLIDABEY</w:t>
      </w:r>
    </w:p>
    <w:p w14:paraId="3148B1FD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AMBRIZ HERNÁNDEZ ARMANDO </w:t>
      </w:r>
    </w:p>
    <w:p w14:paraId="4CE0FE77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BUSTILLO MARÍN ROSELIA </w:t>
      </w:r>
    </w:p>
    <w:p w14:paraId="6E8F06FA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CERVANTES BRAVO IRINA GRACIELA</w:t>
      </w:r>
    </w:p>
    <w:p w14:paraId="000B864E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CHÁVEZ CAMARENA MARTHA ALEJANDRA </w:t>
      </w:r>
    </w:p>
    <w:p w14:paraId="552C1DF3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DEL TORO HUERTA MAURICIO IVÁN</w:t>
      </w:r>
    </w:p>
    <w:p w14:paraId="1885D54A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DÍAZ CUEVAS DANIEL</w:t>
      </w:r>
    </w:p>
    <w:p w14:paraId="6154291C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DÍAZ TABLADA CLAUDIA</w:t>
      </w:r>
    </w:p>
    <w:p w14:paraId="74B9FDF8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FIGUEROA SALMORÁN GABRIELA </w:t>
      </w:r>
    </w:p>
    <w:p w14:paraId="1E511B64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GONZÁLEZ BÁRCENA SALVADOR ANDRÉS </w:t>
      </w:r>
    </w:p>
    <w:p w14:paraId="28948E64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GUERRERO GARCÍA ARÍSTIDES RODRIGO</w:t>
      </w:r>
    </w:p>
    <w:p w14:paraId="0EF23BE1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HERNÁNDEZ TOLEDO CARLOS </w:t>
      </w:r>
    </w:p>
    <w:p w14:paraId="7DEFCFCC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JIMÉNEZ CASTILLO ELVA REGINA </w:t>
      </w:r>
    </w:p>
    <w:p w14:paraId="7403B3A0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LIZÁRRAGA DELGADO JORGE JANNU</w:t>
      </w:r>
    </w:p>
    <w:p w14:paraId="4D0EFE54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LÓPEZ DÁVILA ANA CECILIA </w:t>
      </w:r>
    </w:p>
    <w:p w14:paraId="533FCA6F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MARTÍNEZ FLORES ISAÍAS</w:t>
      </w:r>
    </w:p>
    <w:p w14:paraId="5145F012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MEJÍA CONTRERAS TERESA</w:t>
      </w:r>
    </w:p>
    <w:p w14:paraId="0317C406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MERCADO RAMÍREZ MARTHA LETICIA </w:t>
      </w:r>
    </w:p>
    <w:p w14:paraId="41C7D9B8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NAVARRO LUNA FABIOLA</w:t>
      </w:r>
    </w:p>
    <w:p w14:paraId="2AF842E3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ORDAZ QUINTERO PAULO ABRAHAM </w:t>
      </w:r>
    </w:p>
    <w:p w14:paraId="112ABD2F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QUINTERO RENTERÍA MARÍA DE LOS ÁNGELES</w:t>
      </w:r>
    </w:p>
    <w:p w14:paraId="2FA868D3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ROIZ ELIZONDO ALFONSO </w:t>
      </w:r>
    </w:p>
    <w:p w14:paraId="6ACA3BB2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RUVALCABA GARCÍA GABRIELA DOLORES </w:t>
      </w:r>
    </w:p>
    <w:p w14:paraId="6B60FBB8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SÁNCHEZ GRACIA LUIS RODRIGO </w:t>
      </w:r>
    </w:p>
    <w:p w14:paraId="02A5BCF4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 xml:space="preserve">SANDOVAL SÁNCHEZ NORMA ANGÉLICA </w:t>
      </w:r>
    </w:p>
    <w:p w14:paraId="2B4EA0E7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SUMUANO CANCINO ENRIQUE </w:t>
      </w:r>
    </w:p>
    <w:p w14:paraId="027F839C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TREJO OSORNIO LUIS ALBERTO</w:t>
      </w:r>
    </w:p>
    <w:p w14:paraId="264021E8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VERGARA MONTUFAR KAREN ELIZABETH</w:t>
      </w:r>
    </w:p>
    <w:p w14:paraId="05618F49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WONG MERAZ CÉSAR LORENZO</w:t>
      </w:r>
    </w:p>
    <w:p w14:paraId="0AC29A5F" w14:textId="77777777" w:rsidR="00F84380" w:rsidRPr="00774360" w:rsidRDefault="00F84380" w:rsidP="00F84380">
      <w:pPr>
        <w:pStyle w:val="Prrafodelista"/>
        <w:numPr>
          <w:ilvl w:val="0"/>
          <w:numId w:val="2"/>
        </w:numPr>
        <w:spacing w:after="0" w:line="276" w:lineRule="auto"/>
        <w:ind w:left="993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74360">
        <w:rPr>
          <w:rFonts w:ascii="Arial" w:hAnsi="Arial" w:cs="Arial"/>
          <w:bCs/>
          <w:color w:val="000000" w:themeColor="text1"/>
          <w:sz w:val="28"/>
          <w:szCs w:val="28"/>
        </w:rPr>
        <w:t>ZORRILLA MATEOS FRANCISCO MARCOS</w:t>
      </w:r>
      <w:r w:rsidRPr="0077436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66A8E07D" w14:textId="77777777" w:rsidR="00F84380" w:rsidRPr="00CF2B05" w:rsidRDefault="00F84380" w:rsidP="00F84380">
      <w:pPr>
        <w:rPr>
          <w:color w:val="000000" w:themeColor="text1"/>
        </w:rPr>
      </w:pPr>
    </w:p>
    <w:p w14:paraId="46925108" w14:textId="46BC4343" w:rsidR="00AA72A7" w:rsidRPr="00CF2B05" w:rsidRDefault="00AA72A7" w:rsidP="00FD7E36">
      <w:pPr>
        <w:ind w:left="14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2B05">
        <w:rPr>
          <w:rFonts w:ascii="Arial" w:hAnsi="Arial" w:cs="Arial"/>
          <w:color w:val="000000" w:themeColor="text1"/>
          <w:sz w:val="28"/>
          <w:szCs w:val="28"/>
        </w:rPr>
        <w:t xml:space="preserve">Asimismo, se convoca a </w:t>
      </w:r>
      <w:r w:rsidR="002E6F62" w:rsidRPr="00CF2B05">
        <w:rPr>
          <w:rFonts w:ascii="Arial" w:hAnsi="Arial" w:cs="Arial"/>
          <w:color w:val="000000" w:themeColor="text1"/>
          <w:sz w:val="28"/>
          <w:szCs w:val="28"/>
        </w:rPr>
        <w:t xml:space="preserve">las candidatas y a </w:t>
      </w:r>
      <w:r w:rsidRPr="00CF2B05">
        <w:rPr>
          <w:rFonts w:ascii="Arial" w:hAnsi="Arial" w:cs="Arial"/>
          <w:color w:val="000000" w:themeColor="text1"/>
          <w:sz w:val="28"/>
          <w:szCs w:val="28"/>
        </w:rPr>
        <w:t xml:space="preserve">los candidatos que integran la lista anterior para comparecer en las sesiones públicas que celebrará el Pleno de la Suprema Corte de Justicia de la Nación, el </w:t>
      </w:r>
      <w:r w:rsidR="002E6F62" w:rsidRPr="00CF2B05">
        <w:rPr>
          <w:rFonts w:ascii="Arial" w:hAnsi="Arial" w:cs="Arial"/>
          <w:color w:val="000000" w:themeColor="text1"/>
          <w:sz w:val="28"/>
          <w:szCs w:val="28"/>
        </w:rPr>
        <w:t xml:space="preserve">martes veintinueve y el jueves treinta y uno de marzo del año en curso </w:t>
      </w:r>
      <w:r w:rsidRPr="00CF2B05">
        <w:rPr>
          <w:rFonts w:ascii="Arial" w:hAnsi="Arial" w:cs="Arial"/>
          <w:color w:val="000000" w:themeColor="text1"/>
          <w:sz w:val="28"/>
          <w:szCs w:val="28"/>
        </w:rPr>
        <w:t xml:space="preserve">a las diez </w:t>
      </w:r>
      <w:r w:rsidR="0090731B" w:rsidRPr="00CF2B05">
        <w:rPr>
          <w:rFonts w:ascii="Arial" w:hAnsi="Arial" w:cs="Arial"/>
          <w:color w:val="000000" w:themeColor="text1"/>
          <w:sz w:val="28"/>
          <w:szCs w:val="28"/>
        </w:rPr>
        <w:t xml:space="preserve">horas con </w:t>
      </w:r>
      <w:r w:rsidR="00EC676D" w:rsidRPr="00CF2B05">
        <w:rPr>
          <w:rFonts w:ascii="Arial" w:hAnsi="Arial" w:cs="Arial"/>
          <w:color w:val="000000" w:themeColor="text1"/>
          <w:sz w:val="28"/>
          <w:szCs w:val="28"/>
        </w:rPr>
        <w:t xml:space="preserve">treinta </w:t>
      </w:r>
      <w:r w:rsidR="0090731B" w:rsidRPr="00CF2B05">
        <w:rPr>
          <w:rFonts w:ascii="Arial" w:hAnsi="Arial" w:cs="Arial"/>
          <w:color w:val="000000" w:themeColor="text1"/>
          <w:sz w:val="28"/>
          <w:szCs w:val="28"/>
        </w:rPr>
        <w:t>minutos</w:t>
      </w:r>
      <w:r w:rsidRPr="00CF2B05">
        <w:rPr>
          <w:rFonts w:ascii="Arial" w:hAnsi="Arial" w:cs="Arial"/>
          <w:color w:val="000000" w:themeColor="text1"/>
          <w:sz w:val="28"/>
          <w:szCs w:val="28"/>
        </w:rPr>
        <w:t>, en</w:t>
      </w:r>
      <w:r w:rsidR="000802F0" w:rsidRPr="00CF2B05">
        <w:rPr>
          <w:rFonts w:ascii="Arial" w:hAnsi="Arial" w:cs="Arial"/>
          <w:color w:val="000000" w:themeColor="text1"/>
          <w:sz w:val="28"/>
          <w:szCs w:val="28"/>
        </w:rPr>
        <w:t xml:space="preserve"> términos de lo previsto en el P</w:t>
      </w:r>
      <w:r w:rsidRPr="00CF2B05">
        <w:rPr>
          <w:rFonts w:ascii="Arial" w:hAnsi="Arial" w:cs="Arial"/>
          <w:color w:val="000000" w:themeColor="text1"/>
          <w:sz w:val="28"/>
          <w:szCs w:val="28"/>
        </w:rPr>
        <w:t xml:space="preserve">unto </w:t>
      </w:r>
      <w:r w:rsidR="00046E4F" w:rsidRPr="00CF2B05">
        <w:rPr>
          <w:rFonts w:ascii="Arial" w:hAnsi="Arial" w:cs="Arial"/>
          <w:color w:val="000000" w:themeColor="text1"/>
          <w:sz w:val="28"/>
          <w:szCs w:val="28"/>
        </w:rPr>
        <w:t xml:space="preserve">Quinto </w:t>
      </w:r>
      <w:r w:rsidRPr="00CF2B05">
        <w:rPr>
          <w:rFonts w:ascii="Arial" w:hAnsi="Arial" w:cs="Arial"/>
          <w:color w:val="000000" w:themeColor="text1"/>
          <w:sz w:val="28"/>
          <w:szCs w:val="28"/>
        </w:rPr>
        <w:t>del citado Acuerdo Plenario</w:t>
      </w:r>
      <w:r w:rsidR="0055434E" w:rsidRPr="00CF2B05">
        <w:rPr>
          <w:rFonts w:ascii="Arial" w:hAnsi="Arial" w:cs="Arial"/>
          <w:color w:val="000000" w:themeColor="text1"/>
          <w:sz w:val="28"/>
          <w:szCs w:val="28"/>
        </w:rPr>
        <w:t>, en la inteligencia de que</w:t>
      </w:r>
      <w:r w:rsidR="000B2A66" w:rsidRPr="00CF2B05">
        <w:rPr>
          <w:rFonts w:ascii="Arial" w:hAnsi="Arial" w:cs="Arial"/>
          <w:color w:val="000000" w:themeColor="text1"/>
          <w:sz w:val="28"/>
          <w:szCs w:val="28"/>
        </w:rPr>
        <w:t xml:space="preserve">, de estimarlo conveniente, </w:t>
      </w:r>
      <w:r w:rsidR="0090731B" w:rsidRPr="00CF2B05">
        <w:rPr>
          <w:rFonts w:ascii="Arial" w:hAnsi="Arial" w:cs="Arial"/>
          <w:color w:val="000000" w:themeColor="text1"/>
          <w:sz w:val="28"/>
          <w:szCs w:val="28"/>
        </w:rPr>
        <w:t xml:space="preserve">para </w:t>
      </w:r>
      <w:r w:rsidR="000B2A66" w:rsidRPr="00CF2B05">
        <w:rPr>
          <w:rFonts w:ascii="Arial" w:hAnsi="Arial" w:cs="Arial"/>
          <w:color w:val="000000" w:themeColor="text1"/>
          <w:sz w:val="28"/>
          <w:szCs w:val="28"/>
        </w:rPr>
        <w:t xml:space="preserve">su consideración en </w:t>
      </w:r>
      <w:r w:rsidR="0090731B" w:rsidRPr="00CF2B05">
        <w:rPr>
          <w:rFonts w:ascii="Arial" w:hAnsi="Arial" w:cs="Arial"/>
          <w:color w:val="000000" w:themeColor="text1"/>
          <w:sz w:val="28"/>
          <w:szCs w:val="28"/>
        </w:rPr>
        <w:t xml:space="preserve">la integración de las ternas respectivas, </w:t>
      </w:r>
      <w:r w:rsidR="000B2A66" w:rsidRPr="00CF2B05">
        <w:rPr>
          <w:rFonts w:ascii="Arial" w:hAnsi="Arial" w:cs="Arial"/>
          <w:color w:val="000000" w:themeColor="text1"/>
          <w:sz w:val="28"/>
          <w:szCs w:val="28"/>
        </w:rPr>
        <w:t xml:space="preserve">podrán </w:t>
      </w:r>
      <w:r w:rsidR="0055434E" w:rsidRPr="00CF2B05">
        <w:rPr>
          <w:rFonts w:ascii="Arial" w:hAnsi="Arial" w:cs="Arial"/>
          <w:color w:val="000000" w:themeColor="text1"/>
          <w:sz w:val="28"/>
          <w:szCs w:val="28"/>
        </w:rPr>
        <w:t xml:space="preserve">presentar a más tardar el miércoles treinta de marzo </w:t>
      </w:r>
      <w:r w:rsidR="00FD4630">
        <w:rPr>
          <w:rFonts w:ascii="Arial" w:hAnsi="Arial" w:cs="Arial"/>
          <w:color w:val="000000" w:themeColor="text1"/>
          <w:sz w:val="28"/>
          <w:szCs w:val="28"/>
        </w:rPr>
        <w:t xml:space="preserve">del </w:t>
      </w:r>
      <w:r w:rsidR="004578FC">
        <w:rPr>
          <w:rFonts w:ascii="Arial" w:hAnsi="Arial" w:cs="Arial"/>
          <w:color w:val="000000" w:themeColor="text1"/>
          <w:sz w:val="28"/>
          <w:szCs w:val="28"/>
        </w:rPr>
        <w:t xml:space="preserve">presente </w:t>
      </w:r>
      <w:r w:rsidR="00FD4630">
        <w:rPr>
          <w:rFonts w:ascii="Arial" w:hAnsi="Arial" w:cs="Arial"/>
          <w:color w:val="000000" w:themeColor="text1"/>
          <w:sz w:val="28"/>
          <w:szCs w:val="28"/>
        </w:rPr>
        <w:t>año</w:t>
      </w:r>
      <w:r w:rsidR="00344DC5">
        <w:rPr>
          <w:rFonts w:ascii="Arial" w:hAnsi="Arial" w:cs="Arial"/>
          <w:color w:val="000000" w:themeColor="text1"/>
          <w:sz w:val="28"/>
          <w:szCs w:val="28"/>
        </w:rPr>
        <w:t>,</w:t>
      </w:r>
      <w:r w:rsidR="00FD46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434E" w:rsidRPr="00CF2B05">
        <w:rPr>
          <w:rFonts w:ascii="Arial" w:hAnsi="Arial" w:cs="Arial"/>
          <w:color w:val="000000" w:themeColor="text1"/>
          <w:sz w:val="28"/>
          <w:szCs w:val="28"/>
        </w:rPr>
        <w:t>por el sistema electrónico de la Suprema Corte de Justicia de la Nación</w:t>
      </w:r>
      <w:r w:rsidR="0090731B" w:rsidRPr="00CF2B05">
        <w:rPr>
          <w:rFonts w:ascii="Arial" w:hAnsi="Arial" w:cs="Arial"/>
          <w:color w:val="000000" w:themeColor="text1"/>
          <w:sz w:val="28"/>
          <w:szCs w:val="28"/>
        </w:rPr>
        <w:t xml:space="preserve"> o en el buzón judicial</w:t>
      </w:r>
      <w:r w:rsidR="0055434E" w:rsidRPr="00CF2B0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90731B" w:rsidRPr="00CF2B05">
        <w:rPr>
          <w:rFonts w:ascii="Arial" w:hAnsi="Arial" w:cs="Arial"/>
          <w:color w:val="000000" w:themeColor="text1"/>
          <w:sz w:val="28"/>
          <w:szCs w:val="28"/>
        </w:rPr>
        <w:t xml:space="preserve">promoción en la que indiquen </w:t>
      </w:r>
      <w:r w:rsidR="0055434E" w:rsidRPr="00CF2B05">
        <w:rPr>
          <w:rFonts w:ascii="Arial" w:hAnsi="Arial" w:cs="Arial"/>
          <w:color w:val="000000" w:themeColor="text1"/>
          <w:sz w:val="28"/>
          <w:szCs w:val="28"/>
        </w:rPr>
        <w:t>las tres Salas Regionales de su preferencia</w:t>
      </w:r>
      <w:r w:rsidRPr="00CF2B0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20DD9D6" w14:textId="77777777" w:rsidR="00FA2AF3" w:rsidRPr="00CF2B05" w:rsidRDefault="00FA2AF3" w:rsidP="00A56D50">
      <w:pPr>
        <w:spacing w:after="0" w:line="240" w:lineRule="auto"/>
        <w:ind w:left="142"/>
        <w:jc w:val="both"/>
        <w:rPr>
          <w:rFonts w:ascii="Arial" w:hAnsi="Arial" w:cs="Arial"/>
          <w:b/>
          <w:color w:val="000000" w:themeColor="text1"/>
          <w:sz w:val="27"/>
          <w:szCs w:val="27"/>
        </w:rPr>
      </w:pPr>
    </w:p>
    <w:p w14:paraId="63CE59A4" w14:textId="53ABA311" w:rsidR="00FD7E36" w:rsidRPr="000C7A16" w:rsidRDefault="00FD7E36" w:rsidP="00A56D50">
      <w:pPr>
        <w:spacing w:after="0" w:line="240" w:lineRule="auto"/>
        <w:ind w:left="142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>EL LICENCIADO RAFAEL COELLO CETINA, SECRETARIO GENERAL DE ACUERDOS DE LA SUPREMA CORTE DE JUSTICIA DE LA NACIÓN, - - - -</w:t>
      </w:r>
      <w:r w:rsidR="00CF5F43">
        <w:rPr>
          <w:rFonts w:ascii="Arial" w:hAnsi="Arial" w:cs="Arial"/>
          <w:b/>
          <w:color w:val="000000" w:themeColor="text1"/>
          <w:sz w:val="26"/>
          <w:szCs w:val="26"/>
        </w:rPr>
        <w:t xml:space="preserve"> - - - - - - - - - - - - - - - - - - - - </w:t>
      </w:r>
      <w:proofErr w:type="gramStart"/>
      <w:r w:rsidR="00CF5F43">
        <w:rPr>
          <w:rFonts w:ascii="Arial" w:hAnsi="Arial" w:cs="Arial"/>
          <w:b/>
          <w:color w:val="000000" w:themeColor="text1"/>
          <w:sz w:val="26"/>
          <w:szCs w:val="26"/>
        </w:rPr>
        <w:t xml:space="preserve">- </w:t>
      </w:r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 -</w:t>
      </w:r>
      <w:proofErr w:type="gramEnd"/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 - - - </w:t>
      </w:r>
      <w:r w:rsidR="005C2EAB" w:rsidRPr="000C7A16">
        <w:rPr>
          <w:rFonts w:ascii="Arial" w:hAnsi="Arial" w:cs="Arial"/>
          <w:b/>
          <w:color w:val="000000" w:themeColor="text1"/>
          <w:sz w:val="26"/>
          <w:szCs w:val="26"/>
        </w:rPr>
        <w:t>- - - - - - - -</w:t>
      </w:r>
      <w:r w:rsidR="00E5783E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 - - - -</w:t>
      </w:r>
      <w:r w:rsidR="002E2D2D" w:rsidRPr="000C7A16">
        <w:rPr>
          <w:rFonts w:ascii="Arial" w:hAnsi="Arial" w:cs="Arial"/>
          <w:b/>
          <w:color w:val="000000" w:themeColor="text1"/>
          <w:sz w:val="26"/>
          <w:szCs w:val="26"/>
        </w:rPr>
        <w:t>- - -</w:t>
      </w:r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>C E R T I F I C</w:t>
      </w:r>
      <w:r w:rsidR="005C2EAB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 A: - - - - - - - - - - - - - </w:t>
      </w:r>
      <w:r w:rsidR="00E5783E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- - </w:t>
      </w:r>
    </w:p>
    <w:p w14:paraId="39E50AB7" w14:textId="42840C90" w:rsidR="00686F24" w:rsidRPr="000C7A16" w:rsidRDefault="00FD7E36" w:rsidP="00A56D50">
      <w:pPr>
        <w:spacing w:after="0" w:line="240" w:lineRule="auto"/>
        <w:ind w:left="142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>Que esta</w:t>
      </w:r>
      <w:r w:rsidR="00AA72A7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LISTA </w:t>
      </w:r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DE LAS CANDIDATAS Y </w:t>
      </w:r>
      <w:r w:rsidR="00E92B96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DE </w:t>
      </w:r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LOS CANDIDATOS A INTEGRAR LAS TERNAS QUE SERÁN PROPUESTAS A LA CÁMARA DE SENADORES DEL CONGRESO DE LA UNIÓN PARA LA DESIGNACIÓN DE LAS MAGISTRADAS Y </w:t>
      </w:r>
      <w:r w:rsidR="00344DC5">
        <w:rPr>
          <w:rFonts w:ascii="Arial" w:hAnsi="Arial" w:cs="Arial"/>
          <w:b/>
          <w:color w:val="000000" w:themeColor="text1"/>
          <w:sz w:val="26"/>
          <w:szCs w:val="26"/>
        </w:rPr>
        <w:t xml:space="preserve">DE </w:t>
      </w:r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LOS MAGISTRADOS DE SALA REGIONAL DEL TRIBUNAL ELECTORAL DEL PODER JUDICIAL DE LA FEDERACIÓN, QUE OBTUVIERON LA VOTACIÓN NECESARIA PARA PASAR A LA SEGUNDA ETAPA DEL PROCEDIMIENTO REGULADO EN EL ACUERDO NÚMERO 2/2022; ASÍ COMO </w:t>
      </w:r>
      <w:r w:rsidR="00CA4500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LA </w:t>
      </w:r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>CONVOCATORIA PARA LAS RESPECTIVAS SESIONES DE COMPARECENCIAS</w:t>
      </w:r>
      <w:r w:rsidR="00AA72A7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, fue aprobada por el Tribunal Pleno en Sesión Pública celebrada el día de hoy, por </w:t>
      </w:r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unanimidad de once votos de las señoras Ministras y de los señores Ministros Alfredo Gutiérrez Ortiz Mena, Juan Luis González Alcántara Carrancá, Yasmín Esquivel </w:t>
      </w:r>
      <w:proofErr w:type="spellStart"/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>Mossa</w:t>
      </w:r>
      <w:proofErr w:type="spellEnd"/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, Loretta Ortiz </w:t>
      </w:r>
      <w:proofErr w:type="spellStart"/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>Ahlf</w:t>
      </w:r>
      <w:proofErr w:type="spellEnd"/>
      <w:r w:rsidR="00686F24"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, Luis María Aguilar Morales, Jorge Mario Pardo Rebolledo, Norma Lucía Piña Hernández, Ana Margarita Ríos Farjat, Javier Laynez Potisek, Alberto Pérez Dayán y Presidente Arturo Zaldívar Lelo de Larrea.- - - - - - - </w:t>
      </w:r>
      <w:r w:rsidR="00C20E81">
        <w:rPr>
          <w:rFonts w:ascii="Arial" w:hAnsi="Arial" w:cs="Arial"/>
          <w:b/>
          <w:color w:val="000000" w:themeColor="text1"/>
          <w:sz w:val="26"/>
          <w:szCs w:val="26"/>
        </w:rPr>
        <w:t xml:space="preserve">- - - - - - </w:t>
      </w:r>
    </w:p>
    <w:p w14:paraId="7E51DC7D" w14:textId="64FE52D6" w:rsidR="00AA72A7" w:rsidRPr="000C7A16" w:rsidRDefault="00686F24" w:rsidP="00A56D50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>Ciudad de México, a veinti</w:t>
      </w:r>
      <w:r w:rsidR="000B2A66" w:rsidRPr="000C7A16">
        <w:rPr>
          <w:rFonts w:ascii="Arial" w:hAnsi="Arial" w:cs="Arial"/>
          <w:b/>
          <w:color w:val="000000" w:themeColor="text1"/>
          <w:sz w:val="26"/>
          <w:szCs w:val="26"/>
        </w:rPr>
        <w:t>dós</w:t>
      </w:r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 de marzo de dos mil </w:t>
      </w:r>
      <w:proofErr w:type="gramStart"/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>veintidós.-</w:t>
      </w:r>
      <w:proofErr w:type="gramEnd"/>
      <w:r w:rsidRPr="000C7A16">
        <w:rPr>
          <w:rFonts w:ascii="Arial" w:hAnsi="Arial" w:cs="Arial"/>
          <w:b/>
          <w:color w:val="000000" w:themeColor="text1"/>
          <w:sz w:val="26"/>
          <w:szCs w:val="26"/>
        </w:rPr>
        <w:t xml:space="preserve"> - - - - - - - - - - - - - - - - - - - - - - - - - - - - - - - - - - - - </w:t>
      </w:r>
      <w:r w:rsidR="00C20E81">
        <w:rPr>
          <w:rFonts w:ascii="Arial" w:hAnsi="Arial" w:cs="Arial"/>
          <w:b/>
          <w:color w:val="000000" w:themeColor="text1"/>
          <w:sz w:val="26"/>
          <w:szCs w:val="26"/>
        </w:rPr>
        <w:t xml:space="preserve">- </w:t>
      </w:r>
    </w:p>
    <w:sectPr w:rsidR="00AA72A7" w:rsidRPr="000C7A16" w:rsidSect="00BE7349">
      <w:pgSz w:w="12240" w:h="20160" w:code="5"/>
      <w:pgMar w:top="2835" w:right="1418" w:bottom="1701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EAA"/>
    <w:multiLevelType w:val="hybridMultilevel"/>
    <w:tmpl w:val="70D65BFC"/>
    <w:lvl w:ilvl="0" w:tplc="2C1CB18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A566B9"/>
    <w:multiLevelType w:val="hybridMultilevel"/>
    <w:tmpl w:val="0630B4A6"/>
    <w:lvl w:ilvl="0" w:tplc="C4B01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A7"/>
    <w:rsid w:val="00046E4F"/>
    <w:rsid w:val="000802F0"/>
    <w:rsid w:val="000B2A66"/>
    <w:rsid w:val="000C7A16"/>
    <w:rsid w:val="000D622F"/>
    <w:rsid w:val="002064A0"/>
    <w:rsid w:val="002A73A9"/>
    <w:rsid w:val="002E2D2D"/>
    <w:rsid w:val="002E6F62"/>
    <w:rsid w:val="00326FC6"/>
    <w:rsid w:val="00344DC5"/>
    <w:rsid w:val="003B7648"/>
    <w:rsid w:val="0044430E"/>
    <w:rsid w:val="004578FC"/>
    <w:rsid w:val="00470E5E"/>
    <w:rsid w:val="00474FD6"/>
    <w:rsid w:val="00505ACE"/>
    <w:rsid w:val="0055434E"/>
    <w:rsid w:val="005B6F08"/>
    <w:rsid w:val="005C2EAB"/>
    <w:rsid w:val="005C3740"/>
    <w:rsid w:val="005D6AF0"/>
    <w:rsid w:val="005F4F85"/>
    <w:rsid w:val="0062532F"/>
    <w:rsid w:val="00686F24"/>
    <w:rsid w:val="006B21D6"/>
    <w:rsid w:val="006B3D67"/>
    <w:rsid w:val="006F54FB"/>
    <w:rsid w:val="00725F49"/>
    <w:rsid w:val="00750B82"/>
    <w:rsid w:val="00774360"/>
    <w:rsid w:val="00823B9E"/>
    <w:rsid w:val="00826CF9"/>
    <w:rsid w:val="008723DF"/>
    <w:rsid w:val="008F4169"/>
    <w:rsid w:val="0090731B"/>
    <w:rsid w:val="009B7F0D"/>
    <w:rsid w:val="00A4252D"/>
    <w:rsid w:val="00A56D50"/>
    <w:rsid w:val="00AA72A7"/>
    <w:rsid w:val="00BB7A8D"/>
    <w:rsid w:val="00BE7349"/>
    <w:rsid w:val="00C20E81"/>
    <w:rsid w:val="00CA4500"/>
    <w:rsid w:val="00CF2B05"/>
    <w:rsid w:val="00CF5F43"/>
    <w:rsid w:val="00D50361"/>
    <w:rsid w:val="00DD300B"/>
    <w:rsid w:val="00E5783E"/>
    <w:rsid w:val="00E92B96"/>
    <w:rsid w:val="00EC676D"/>
    <w:rsid w:val="00F644EC"/>
    <w:rsid w:val="00F84380"/>
    <w:rsid w:val="00F91169"/>
    <w:rsid w:val="00FA2AF3"/>
    <w:rsid w:val="00FD4630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23FC"/>
  <w15:chartTrackingRefBased/>
  <w15:docId w15:val="{66D862B3-F9E2-4F01-B25F-32BF68E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2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OSWELIA KURI MURAD</dc:creator>
  <cp:keywords/>
  <dc:description/>
  <cp:lastModifiedBy>Gustavo Adolfo Castillo Torres</cp:lastModifiedBy>
  <cp:revision>2</cp:revision>
  <cp:lastPrinted>2022-03-22T20:04:00Z</cp:lastPrinted>
  <dcterms:created xsi:type="dcterms:W3CDTF">2022-03-22T20:44:00Z</dcterms:created>
  <dcterms:modified xsi:type="dcterms:W3CDTF">2022-03-22T20:44:00Z</dcterms:modified>
</cp:coreProperties>
</file>