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449C7" w14:textId="10B86340" w:rsidR="000E7F92" w:rsidRPr="00AC28FC" w:rsidRDefault="000E7F92" w:rsidP="003F5044">
      <w:pPr>
        <w:spacing w:after="0" w:line="276" w:lineRule="auto"/>
        <w:ind w:left="142"/>
        <w:jc w:val="both"/>
        <w:rPr>
          <w:rFonts w:ascii="Arial" w:hAnsi="Arial" w:cs="Arial"/>
          <w:b/>
          <w:sz w:val="28"/>
          <w:szCs w:val="28"/>
        </w:rPr>
      </w:pPr>
      <w:r w:rsidRPr="00AC28FC">
        <w:rPr>
          <w:rFonts w:ascii="Arial" w:hAnsi="Arial" w:cs="Arial"/>
          <w:b/>
          <w:sz w:val="28"/>
          <w:szCs w:val="28"/>
        </w:rPr>
        <w:t xml:space="preserve">ACUERDO GENERAL NÚMERO </w:t>
      </w:r>
      <w:r w:rsidR="002605CD">
        <w:rPr>
          <w:rFonts w:ascii="Arial" w:hAnsi="Arial" w:cs="Arial"/>
          <w:b/>
          <w:sz w:val="28"/>
          <w:szCs w:val="28"/>
        </w:rPr>
        <w:t>7</w:t>
      </w:r>
      <w:r w:rsidRPr="00AC28FC">
        <w:rPr>
          <w:rFonts w:ascii="Arial" w:hAnsi="Arial" w:cs="Arial"/>
          <w:b/>
          <w:sz w:val="28"/>
          <w:szCs w:val="28"/>
        </w:rPr>
        <w:t>/20</w:t>
      </w:r>
      <w:r w:rsidR="00CA4F62" w:rsidRPr="00AC28FC">
        <w:rPr>
          <w:rFonts w:ascii="Arial" w:hAnsi="Arial" w:cs="Arial"/>
          <w:b/>
          <w:sz w:val="28"/>
          <w:szCs w:val="28"/>
        </w:rPr>
        <w:t>2</w:t>
      </w:r>
      <w:r w:rsidR="00C40DC3" w:rsidRPr="00AC28FC">
        <w:rPr>
          <w:rFonts w:ascii="Arial" w:hAnsi="Arial" w:cs="Arial"/>
          <w:b/>
          <w:sz w:val="28"/>
          <w:szCs w:val="28"/>
        </w:rPr>
        <w:t>2</w:t>
      </w:r>
      <w:r w:rsidRPr="00AC28FC">
        <w:rPr>
          <w:rFonts w:ascii="Arial" w:hAnsi="Arial" w:cs="Arial"/>
          <w:b/>
          <w:sz w:val="28"/>
          <w:szCs w:val="28"/>
        </w:rPr>
        <w:t xml:space="preserve">, DE </w:t>
      </w:r>
      <w:r w:rsidR="002605CD">
        <w:rPr>
          <w:rFonts w:ascii="Arial" w:hAnsi="Arial" w:cs="Arial"/>
          <w:b/>
          <w:sz w:val="28"/>
          <w:szCs w:val="28"/>
        </w:rPr>
        <w:t>DIEZ</w:t>
      </w:r>
      <w:r w:rsidR="002605CD" w:rsidRPr="00AC28FC">
        <w:rPr>
          <w:rFonts w:ascii="Arial" w:hAnsi="Arial" w:cs="Arial"/>
          <w:b/>
          <w:sz w:val="28"/>
          <w:szCs w:val="28"/>
        </w:rPr>
        <w:t xml:space="preserve"> </w:t>
      </w:r>
      <w:r w:rsidRPr="00AC28FC">
        <w:rPr>
          <w:rFonts w:ascii="Arial" w:hAnsi="Arial" w:cs="Arial"/>
          <w:b/>
          <w:sz w:val="28"/>
          <w:szCs w:val="28"/>
        </w:rPr>
        <w:t xml:space="preserve">DE </w:t>
      </w:r>
      <w:r w:rsidR="002605CD">
        <w:rPr>
          <w:rFonts w:ascii="Arial" w:hAnsi="Arial" w:cs="Arial"/>
          <w:b/>
          <w:sz w:val="28"/>
          <w:szCs w:val="28"/>
        </w:rPr>
        <w:t>OCTUBRE</w:t>
      </w:r>
      <w:r w:rsidR="00026DB7" w:rsidRPr="00AC28FC">
        <w:rPr>
          <w:rFonts w:ascii="Arial" w:hAnsi="Arial" w:cs="Arial"/>
          <w:b/>
          <w:sz w:val="28"/>
          <w:szCs w:val="28"/>
        </w:rPr>
        <w:t xml:space="preserve"> </w:t>
      </w:r>
      <w:r w:rsidRPr="00AC28FC">
        <w:rPr>
          <w:rFonts w:ascii="Arial" w:hAnsi="Arial" w:cs="Arial"/>
          <w:b/>
          <w:sz w:val="28"/>
          <w:szCs w:val="28"/>
        </w:rPr>
        <w:t xml:space="preserve">DE DOS MIL </w:t>
      </w:r>
      <w:r w:rsidR="00CA4F62" w:rsidRPr="00AC28FC">
        <w:rPr>
          <w:rFonts w:ascii="Arial" w:hAnsi="Arial" w:cs="Arial"/>
          <w:b/>
          <w:sz w:val="28"/>
          <w:szCs w:val="28"/>
        </w:rPr>
        <w:t>VEINT</w:t>
      </w:r>
      <w:r w:rsidR="00A30A80" w:rsidRPr="00AC28FC">
        <w:rPr>
          <w:rFonts w:ascii="Arial" w:hAnsi="Arial" w:cs="Arial"/>
          <w:b/>
          <w:sz w:val="28"/>
          <w:szCs w:val="28"/>
        </w:rPr>
        <w:t>I</w:t>
      </w:r>
      <w:r w:rsidR="00C40DC3" w:rsidRPr="00AC28FC">
        <w:rPr>
          <w:rFonts w:ascii="Arial" w:hAnsi="Arial" w:cs="Arial"/>
          <w:b/>
          <w:sz w:val="28"/>
          <w:szCs w:val="28"/>
        </w:rPr>
        <w:t>DÓS</w:t>
      </w:r>
      <w:r w:rsidRPr="00AC28FC">
        <w:rPr>
          <w:rFonts w:ascii="Arial" w:hAnsi="Arial" w:cs="Arial"/>
          <w:b/>
          <w:sz w:val="28"/>
          <w:szCs w:val="28"/>
        </w:rPr>
        <w:t xml:space="preserve">, DEL PLENO DE LA SUPREMA CORTE DE JUSTICIA DE LA NACIÓN, POR EL QUE SE LEVANTA EL </w:t>
      </w:r>
      <w:r w:rsidR="00A30A80" w:rsidRPr="00AC28FC">
        <w:rPr>
          <w:rFonts w:ascii="Arial" w:hAnsi="Arial" w:cs="Arial"/>
          <w:b/>
          <w:sz w:val="28"/>
          <w:szCs w:val="28"/>
        </w:rPr>
        <w:t xml:space="preserve">APLAZAMIENTO </w:t>
      </w:r>
      <w:r w:rsidR="00072D0B" w:rsidRPr="00AC28FC">
        <w:rPr>
          <w:rFonts w:ascii="Arial" w:hAnsi="Arial" w:cs="Arial"/>
          <w:b/>
          <w:sz w:val="28"/>
          <w:szCs w:val="28"/>
        </w:rPr>
        <w:t>EN EL DICTADO DE LA RESOLUCIÓN DE LOS AMPAROS EN REVISIÓN DEL CONOCIMIENTO DE LOS TRIBUNALES COLEGIADOS DE CIRCUITO PRIMERO Y SEGUNDO EN MATERIA ADMINISTRATIVA, ESPECIALIZADOS EN COMPETENCIA ECONÓMICA, RADIODIFUSIÓN Y TELECOMUNICACIONES, CON RESIDENCIA EN LA CIUDAD DE MÉXICO Y JURISDICCIÓN EN TODA LA REPÚBLICA, O RADICADOS EN CUALQUIER OTRO TRIBUNAL COLEGIADO DE CIRCUITO, EN LOS QUE SUBSISTA EL PROBLEMA DE CONSTITUCIONALIDAD DEL DECRETO POR EL QUE SE REFORMAN Y ADICIONAN DIVERSAS DISPOSICIONES DE LA LEY DE LA INDUSTRIA ELÉCTRICA, PUBLICADO EN EL DIARIO OFICIAL DE LA FEDERACIÓN DEL NUEVE DE MARZO DE DOS MIL VEINTIUNO</w:t>
      </w:r>
      <w:r w:rsidR="00497B24" w:rsidRPr="00AC28FC">
        <w:rPr>
          <w:rFonts w:ascii="Arial" w:hAnsi="Arial" w:cs="Arial"/>
          <w:b/>
          <w:sz w:val="28"/>
          <w:szCs w:val="28"/>
        </w:rPr>
        <w:t xml:space="preserve">; RELACIONADO CON EL DIVERSO </w:t>
      </w:r>
      <w:r w:rsidR="00072D0B" w:rsidRPr="00AC28FC">
        <w:rPr>
          <w:rFonts w:ascii="Arial" w:hAnsi="Arial" w:cs="Arial"/>
          <w:b/>
          <w:sz w:val="28"/>
          <w:szCs w:val="28"/>
        </w:rPr>
        <w:t>3/2022, DE DIECISIETE DE FEBRERO DE DOS MIL VEINTIDÓS</w:t>
      </w:r>
      <w:r w:rsidR="00497B24" w:rsidRPr="00AC28FC">
        <w:rPr>
          <w:rFonts w:ascii="Arial" w:hAnsi="Arial" w:cs="Arial"/>
          <w:b/>
          <w:sz w:val="28"/>
          <w:szCs w:val="28"/>
        </w:rPr>
        <w:t>.</w:t>
      </w:r>
    </w:p>
    <w:p w14:paraId="7F9F10C2" w14:textId="77777777" w:rsidR="00D9636E" w:rsidRPr="00AC28FC" w:rsidRDefault="00D9636E" w:rsidP="003F5044">
      <w:pPr>
        <w:spacing w:after="0" w:line="480" w:lineRule="auto"/>
        <w:jc w:val="both"/>
        <w:rPr>
          <w:rFonts w:ascii="Arial" w:hAnsi="Arial" w:cs="Arial"/>
          <w:sz w:val="28"/>
          <w:szCs w:val="28"/>
        </w:rPr>
      </w:pPr>
    </w:p>
    <w:p w14:paraId="1452EEE5" w14:textId="77777777" w:rsidR="000E7F92" w:rsidRPr="00AC28FC" w:rsidRDefault="000E7F92" w:rsidP="003F5044">
      <w:pPr>
        <w:spacing w:after="0" w:line="480" w:lineRule="auto"/>
        <w:jc w:val="center"/>
        <w:rPr>
          <w:rFonts w:ascii="Arial" w:hAnsi="Arial" w:cs="Arial"/>
          <w:b/>
          <w:sz w:val="28"/>
          <w:szCs w:val="28"/>
        </w:rPr>
      </w:pPr>
      <w:r w:rsidRPr="00AC28FC">
        <w:rPr>
          <w:rFonts w:ascii="Arial" w:hAnsi="Arial" w:cs="Arial"/>
          <w:b/>
          <w:sz w:val="28"/>
          <w:szCs w:val="28"/>
        </w:rPr>
        <w:t>CONSIDERANDO:</w:t>
      </w:r>
    </w:p>
    <w:p w14:paraId="68E103E2" w14:textId="77777777" w:rsidR="00D06ABC" w:rsidRPr="00AC28FC" w:rsidRDefault="00D06ABC" w:rsidP="003F5044">
      <w:pPr>
        <w:spacing w:after="0" w:line="480" w:lineRule="auto"/>
        <w:jc w:val="both"/>
        <w:rPr>
          <w:rFonts w:ascii="Arial" w:hAnsi="Arial" w:cs="Arial"/>
          <w:sz w:val="28"/>
          <w:szCs w:val="28"/>
        </w:rPr>
      </w:pPr>
    </w:p>
    <w:p w14:paraId="04CD3028" w14:textId="6198BC88" w:rsidR="00E844C4" w:rsidRPr="00AC28FC" w:rsidRDefault="00AF533B" w:rsidP="003F5044">
      <w:pPr>
        <w:spacing w:after="0" w:line="480" w:lineRule="auto"/>
        <w:ind w:left="142" w:firstLine="709"/>
        <w:jc w:val="both"/>
        <w:rPr>
          <w:rFonts w:ascii="Arial" w:hAnsi="Arial" w:cs="Arial"/>
          <w:sz w:val="28"/>
          <w:szCs w:val="28"/>
        </w:rPr>
      </w:pPr>
      <w:r w:rsidRPr="00AC28FC">
        <w:rPr>
          <w:rFonts w:ascii="Arial" w:hAnsi="Arial" w:cs="Arial"/>
          <w:b/>
          <w:sz w:val="28"/>
          <w:szCs w:val="28"/>
        </w:rPr>
        <w:t>PRIMERO.</w:t>
      </w:r>
      <w:r w:rsidRPr="00AC28FC">
        <w:rPr>
          <w:rFonts w:ascii="Arial" w:hAnsi="Arial" w:cs="Arial"/>
          <w:sz w:val="28"/>
          <w:szCs w:val="28"/>
        </w:rPr>
        <w:t xml:space="preserve"> </w:t>
      </w:r>
      <w:r w:rsidR="00E844C4" w:rsidRPr="00AC28FC">
        <w:rPr>
          <w:rFonts w:ascii="Arial" w:hAnsi="Arial" w:cs="Arial"/>
          <w:sz w:val="28"/>
          <w:szCs w:val="28"/>
        </w:rPr>
        <w:t xml:space="preserve">Conforme a lo previsto en los </w:t>
      </w:r>
      <w:r w:rsidR="00163F80" w:rsidRPr="00AC28FC">
        <w:rPr>
          <w:rFonts w:ascii="Arial" w:hAnsi="Arial" w:cs="Arial"/>
          <w:sz w:val="28"/>
          <w:szCs w:val="28"/>
        </w:rPr>
        <w:t>artículos 94, párrafo quinto, de la Constitución Política de los Estados Unidos Mexicanos</w:t>
      </w:r>
      <w:r w:rsidR="00A22B96" w:rsidRPr="00AC28FC">
        <w:rPr>
          <w:rFonts w:ascii="Arial" w:hAnsi="Arial" w:cs="Arial"/>
          <w:sz w:val="28"/>
          <w:szCs w:val="28"/>
        </w:rPr>
        <w:t>;</w:t>
      </w:r>
      <w:r w:rsidR="00163F80" w:rsidRPr="00AC28FC">
        <w:rPr>
          <w:rFonts w:ascii="Arial" w:hAnsi="Arial" w:cs="Arial"/>
          <w:sz w:val="28"/>
          <w:szCs w:val="28"/>
        </w:rPr>
        <w:t xml:space="preserve"> 11, fracción XIV, de la Ley Orgánica del Poder Judicial de la Federación</w:t>
      </w:r>
      <w:r w:rsidR="00E844C4" w:rsidRPr="00AC28FC">
        <w:rPr>
          <w:rFonts w:ascii="Arial" w:hAnsi="Arial" w:cs="Arial"/>
          <w:sz w:val="28"/>
          <w:szCs w:val="28"/>
        </w:rPr>
        <w:t xml:space="preserve">, </w:t>
      </w:r>
      <w:r w:rsidR="00A22B96" w:rsidRPr="00AC28FC">
        <w:rPr>
          <w:rFonts w:ascii="Arial" w:hAnsi="Arial" w:cs="Arial"/>
          <w:sz w:val="28"/>
          <w:szCs w:val="28"/>
        </w:rPr>
        <w:t xml:space="preserve">y 37 de la Ley Reglamentaria de las Fracciones I y II del Artículo 105 de la Constitución General, </w:t>
      </w:r>
      <w:r w:rsidR="00E844C4" w:rsidRPr="00AC28FC">
        <w:rPr>
          <w:rFonts w:ascii="Arial" w:hAnsi="Arial" w:cs="Arial"/>
          <w:sz w:val="28"/>
          <w:szCs w:val="28"/>
        </w:rPr>
        <w:t xml:space="preserve">el Pleno de esta Suprema Corte de Justicia de la Nación emitió el Acuerdo General Plenario </w:t>
      </w:r>
      <w:r w:rsidR="00163F80" w:rsidRPr="00AC28FC">
        <w:rPr>
          <w:rFonts w:ascii="Arial" w:hAnsi="Arial" w:cs="Arial"/>
          <w:sz w:val="28"/>
          <w:szCs w:val="28"/>
        </w:rPr>
        <w:lastRenderedPageBreak/>
        <w:t>3/2022, de diecisiete de febrero de dos mil veintidós</w:t>
      </w:r>
      <w:r w:rsidR="00E844C4" w:rsidRPr="00AC28FC">
        <w:rPr>
          <w:rFonts w:ascii="Arial" w:hAnsi="Arial" w:cs="Arial"/>
          <w:sz w:val="28"/>
          <w:szCs w:val="28"/>
        </w:rPr>
        <w:t>, en el cual se determinó:</w:t>
      </w:r>
    </w:p>
    <w:p w14:paraId="4EBD2A8C" w14:textId="77777777" w:rsidR="00E844C4" w:rsidRPr="00AC28FC" w:rsidRDefault="00E844C4" w:rsidP="003F5044">
      <w:pPr>
        <w:spacing w:after="0" w:line="480" w:lineRule="auto"/>
        <w:ind w:left="142" w:firstLine="709"/>
        <w:jc w:val="both"/>
        <w:rPr>
          <w:rFonts w:ascii="Arial" w:hAnsi="Arial" w:cs="Arial"/>
          <w:sz w:val="28"/>
          <w:szCs w:val="28"/>
        </w:rPr>
      </w:pPr>
    </w:p>
    <w:p w14:paraId="182096CD" w14:textId="4EAD18D8" w:rsidR="00AF533B" w:rsidRPr="00AC28FC" w:rsidRDefault="00E844C4" w:rsidP="003F5044">
      <w:pPr>
        <w:spacing w:after="0" w:line="480" w:lineRule="auto"/>
        <w:ind w:left="142"/>
        <w:jc w:val="both"/>
        <w:rPr>
          <w:rFonts w:ascii="Arial" w:hAnsi="Arial" w:cs="Arial"/>
          <w:sz w:val="28"/>
          <w:szCs w:val="28"/>
        </w:rPr>
      </w:pPr>
      <w:r w:rsidRPr="00AC28FC">
        <w:rPr>
          <w:rFonts w:ascii="Arial" w:hAnsi="Arial" w:cs="Arial"/>
          <w:bCs/>
          <w:i/>
          <w:sz w:val="28"/>
          <w:szCs w:val="28"/>
          <w:lang w:eastAsia="es-MX"/>
        </w:rPr>
        <w:t xml:space="preserve">“(…) </w:t>
      </w:r>
      <w:r w:rsidR="00754EFB" w:rsidRPr="00AC28FC">
        <w:rPr>
          <w:rFonts w:ascii="Arial" w:hAnsi="Arial" w:cs="Arial"/>
          <w:bCs/>
          <w:i/>
          <w:sz w:val="28"/>
          <w:szCs w:val="28"/>
          <w:lang w:eastAsia="es-MX"/>
        </w:rPr>
        <w:t xml:space="preserve">ÚNICO. En tanto el Pleno de esta Suprema Corte de Justicia de la Nación resuelve las controversias constitucionales y la acción de inconstitucionalidad referidas en el Considerando Segundo de este instrumento normativo, establece el o los criterios respectivos, y se emite el Acuerdo General Plenario que corresponda, en los amparos en revisión del conocimiento de los Tribunales Colegiados de Circuito Primero y Segundo en Materia Administrativa, Especializados en Competencia Económica, Radiodifusión y Telecomunicaciones, con residencia en la Ciudad de México y Jurisdicción en toda la República, o radicados en cualquier otro Tribunal Colegiado de Circuito, en los que subsista el problema de constitucionalidad del Decreto por el que se reforman y adicionan diversas disposiciones de la Ley de la Industria Eléctrica, publicado en el Diario Oficial de la Federación del nueve de marzo de dos mil veintiuno, se deberá continuar el trámite hasta el estado de resolución y aplazar el dictado de ésta; sin menoscabo de que en términos de lo previsto en el Punto Cuarto, fracción I, inciso A), del Acuerdo </w:t>
      </w:r>
      <w:r w:rsidR="00754EFB" w:rsidRPr="00AC28FC">
        <w:rPr>
          <w:rFonts w:ascii="Arial" w:hAnsi="Arial" w:cs="Arial"/>
          <w:bCs/>
          <w:i/>
          <w:sz w:val="28"/>
          <w:szCs w:val="28"/>
          <w:lang w:eastAsia="es-MX"/>
        </w:rPr>
        <w:lastRenderedPageBreak/>
        <w:t>General Plenario 5/2013, se resuelvan aquéllos en los que no resulte necesario abordar el referido problema de constitucionalidad</w:t>
      </w:r>
      <w:r w:rsidRPr="00AC28FC">
        <w:rPr>
          <w:rFonts w:ascii="Arial" w:hAnsi="Arial" w:cs="Arial"/>
          <w:bCs/>
          <w:i/>
          <w:sz w:val="28"/>
          <w:szCs w:val="28"/>
          <w:lang w:eastAsia="es-MX"/>
        </w:rPr>
        <w:t>. (…)”</w:t>
      </w:r>
      <w:r w:rsidR="00106D9E" w:rsidRPr="00AC28FC">
        <w:rPr>
          <w:rFonts w:ascii="Arial" w:hAnsi="Arial" w:cs="Arial"/>
          <w:sz w:val="28"/>
          <w:szCs w:val="28"/>
        </w:rPr>
        <w:t>;</w:t>
      </w:r>
    </w:p>
    <w:p w14:paraId="619EEA16" w14:textId="77777777" w:rsidR="00A866CC" w:rsidRPr="00AC28FC" w:rsidRDefault="00A866CC" w:rsidP="003F5044">
      <w:pPr>
        <w:spacing w:after="0" w:line="480" w:lineRule="auto"/>
        <w:ind w:left="142"/>
        <w:jc w:val="both"/>
        <w:rPr>
          <w:rFonts w:ascii="Arial" w:hAnsi="Arial" w:cs="Arial"/>
          <w:sz w:val="28"/>
          <w:szCs w:val="28"/>
        </w:rPr>
      </w:pPr>
    </w:p>
    <w:p w14:paraId="38528DC4" w14:textId="366A335E" w:rsidR="008A55D1" w:rsidRPr="00AC28FC" w:rsidRDefault="00AF533B" w:rsidP="003F5044">
      <w:pPr>
        <w:spacing w:after="0" w:line="480" w:lineRule="auto"/>
        <w:ind w:left="142" w:firstLine="709"/>
        <w:jc w:val="both"/>
        <w:rPr>
          <w:rFonts w:ascii="Arial" w:hAnsi="Arial" w:cs="Arial"/>
          <w:iCs/>
          <w:sz w:val="28"/>
          <w:szCs w:val="28"/>
        </w:rPr>
      </w:pPr>
      <w:r w:rsidRPr="00AC28FC">
        <w:rPr>
          <w:rFonts w:ascii="Arial" w:hAnsi="Arial" w:cs="Arial"/>
          <w:b/>
          <w:sz w:val="28"/>
          <w:szCs w:val="28"/>
        </w:rPr>
        <w:t>SEGUNDO.</w:t>
      </w:r>
      <w:r w:rsidRPr="00AC28FC">
        <w:rPr>
          <w:rFonts w:ascii="Arial" w:hAnsi="Arial" w:cs="Arial"/>
          <w:sz w:val="28"/>
          <w:szCs w:val="28"/>
        </w:rPr>
        <w:t xml:space="preserve"> </w:t>
      </w:r>
      <w:r w:rsidR="008A55D1" w:rsidRPr="00AC28FC">
        <w:rPr>
          <w:rFonts w:ascii="Arial" w:hAnsi="Arial" w:cs="Arial"/>
          <w:sz w:val="28"/>
          <w:szCs w:val="28"/>
        </w:rPr>
        <w:t xml:space="preserve">En sesión celebrada el siete de abril de dos mil veintidós, el Pleno de esta Suprema Corte de Justicia de la Nación resolvió </w:t>
      </w:r>
      <w:r w:rsidR="008A55D1" w:rsidRPr="00AC28FC">
        <w:rPr>
          <w:rFonts w:ascii="Arial" w:hAnsi="Arial" w:cs="Arial"/>
          <w:iCs/>
          <w:sz w:val="28"/>
          <w:szCs w:val="28"/>
        </w:rPr>
        <w:t xml:space="preserve">la </w:t>
      </w:r>
      <w:r w:rsidR="008A55D1" w:rsidRPr="00AC28FC">
        <w:rPr>
          <w:rFonts w:ascii="Arial" w:hAnsi="Arial" w:cs="Arial"/>
          <w:i/>
          <w:sz w:val="28"/>
          <w:szCs w:val="28"/>
        </w:rPr>
        <w:t>acción de inconstitucionalidad 64/2021</w:t>
      </w:r>
      <w:r w:rsidR="008A55D1" w:rsidRPr="00AC28FC">
        <w:rPr>
          <w:rFonts w:ascii="Arial" w:hAnsi="Arial" w:cs="Arial"/>
          <w:iCs/>
          <w:sz w:val="28"/>
          <w:szCs w:val="28"/>
        </w:rPr>
        <w:t xml:space="preserve">, </w:t>
      </w:r>
      <w:r w:rsidR="00302AF1" w:rsidRPr="00AC28FC">
        <w:rPr>
          <w:rFonts w:ascii="Arial" w:hAnsi="Arial" w:cs="Arial"/>
          <w:iCs/>
          <w:sz w:val="28"/>
          <w:szCs w:val="28"/>
        </w:rPr>
        <w:t>conforme a lo</w:t>
      </w:r>
      <w:r w:rsidR="00301A85" w:rsidRPr="00AC28FC">
        <w:rPr>
          <w:rFonts w:ascii="Arial" w:hAnsi="Arial" w:cs="Arial"/>
          <w:iCs/>
          <w:sz w:val="28"/>
          <w:szCs w:val="28"/>
        </w:rPr>
        <w:t>s puntos resolutivos</w:t>
      </w:r>
      <w:r w:rsidR="008A55D1" w:rsidRPr="00AC28FC">
        <w:rPr>
          <w:rFonts w:ascii="Arial" w:hAnsi="Arial" w:cs="Arial"/>
          <w:iCs/>
          <w:sz w:val="28"/>
          <w:szCs w:val="28"/>
        </w:rPr>
        <w:t xml:space="preserve"> siguiente</w:t>
      </w:r>
      <w:r w:rsidR="00301A85" w:rsidRPr="00AC28FC">
        <w:rPr>
          <w:rFonts w:ascii="Arial" w:hAnsi="Arial" w:cs="Arial"/>
          <w:iCs/>
          <w:sz w:val="28"/>
          <w:szCs w:val="28"/>
        </w:rPr>
        <w:t>s</w:t>
      </w:r>
      <w:r w:rsidR="008A55D1" w:rsidRPr="00AC28FC">
        <w:rPr>
          <w:rFonts w:ascii="Arial" w:hAnsi="Arial" w:cs="Arial"/>
          <w:iCs/>
          <w:sz w:val="28"/>
          <w:szCs w:val="28"/>
        </w:rPr>
        <w:t xml:space="preserve">: </w:t>
      </w:r>
      <w:r w:rsidR="008A55D1" w:rsidRPr="00AC28FC">
        <w:rPr>
          <w:rFonts w:ascii="Arial" w:hAnsi="Arial" w:cs="Arial"/>
          <w:i/>
          <w:sz w:val="28"/>
          <w:szCs w:val="28"/>
        </w:rPr>
        <w:t xml:space="preserve">“(…) PRIMERO. Es procedente, pero infundada la presente acción de inconstitucionalidad. SEGUNDO. Se desestima en la presente acción de inconstitucionalidad respecto de los artículos 3, fracción V, inciso b), en su porción normativa ‘sea con independencia de su modalidad de financiamiento’, 4, fracción VI, en sus porciones normativas ‘unitarios’ y ‘garantizando, en primera instancia, los Contratos de Cobertura Eléctrica con Compromiso de Entrega Física y, en segundo término, el suministro de energías limpias’, 26, en su porción normativa ‘quien considerará la prioridad en el uso de estas redes para el despacho de las Centrales Eléctricas Legadas y las Centrales Externas Legadas con compromiso de entrega física’, 53, en su porción normativa ‘podrán celebrar’, 101, en su porción normativa ‘Lo anterior, </w:t>
      </w:r>
      <w:r w:rsidR="008A55D1" w:rsidRPr="00AC28FC">
        <w:rPr>
          <w:rFonts w:ascii="Arial" w:hAnsi="Arial" w:cs="Arial"/>
          <w:i/>
          <w:sz w:val="28"/>
          <w:szCs w:val="28"/>
        </w:rPr>
        <w:lastRenderedPageBreak/>
        <w:t xml:space="preserve">considerando los Contratos de Cobertura Eléctrica con Compromiso de Entrega Física’ 108, fracción VI, en su porción normativa ‘y recibir los programas de generación y consumo asociados a los Contratos de Cobertura con compromisos de entrega física’, y 126, fracción II, en su porción normativa ‘El otorgamiento de los Certificados de Energías Limpias a Centrales Eléctricas, no dependerá ni de la propiedad, ni de la fecha de inicio de operación comercial de las mismas’, de la Ley de la Industria Eléctrica, reformados mediante el decreto publicado en el Diario Oficial de la Federación el nueve de marzo de dos mil veintiuno. TERCERO. Se reconoce la validez de los artículos 3, fracciones XII, en su porción normativa ‘Exclusivamente los Suministradores de Servicios Básicos podrán celebrar Contratos de Cobertura Eléctrica con Compromiso de Entrega Física’, XII Bis y XIV, en su porción normativa ‘con compromiso de entrega física’, 4, fracción I, en su porción normativa ‘cuando sea técnicamente factible’, 12, fracción I, en su porción normativa ‘considerando los criterios de planeación del Sistema Eléctrico Nacional establecidos por la Secretaría’, 35, párrafo primero, en su porción normativa ‘los Generadores, Generadores Exentos, Usuarios Finales y/o los solicitantes </w:t>
      </w:r>
      <w:r w:rsidR="008A55D1" w:rsidRPr="00AC28FC">
        <w:rPr>
          <w:rFonts w:ascii="Arial" w:hAnsi="Arial" w:cs="Arial"/>
          <w:i/>
          <w:sz w:val="28"/>
          <w:szCs w:val="28"/>
        </w:rPr>
        <w:lastRenderedPageBreak/>
        <w:t>para la interconexión de las Centrales Eléctricas y la conexión de los Centros de Carga podrán optar por agruparse’, y 108, fracción V, en su porción normativa ‘y mantener la Seguridad de Despacho, Confiabilidad, Calidad y Continuidad del Sistema Eléctrico Nacional’, de la Ley de la Industria Eléctrica, reformados y adicionados mediante el decreto publicado en el Diario Oficial de la Federación el nueve de marzo de dos mil veintiuno, al tenor de la interpretación conforme precisada en la cuestión C de este fallo, así como la de los artículos transitorios cuarto y quinto del referido decreto. (…)”</w:t>
      </w:r>
      <w:r w:rsidR="008A55D1" w:rsidRPr="00AC28FC">
        <w:rPr>
          <w:rFonts w:ascii="Arial" w:hAnsi="Arial" w:cs="Arial"/>
          <w:iCs/>
          <w:sz w:val="28"/>
          <w:szCs w:val="28"/>
        </w:rPr>
        <w:t>;</w:t>
      </w:r>
    </w:p>
    <w:p w14:paraId="1D65AEEB" w14:textId="77777777" w:rsidR="008A55D1" w:rsidRPr="00AC28FC" w:rsidRDefault="008A55D1" w:rsidP="003F5044">
      <w:pPr>
        <w:spacing w:after="0" w:line="480" w:lineRule="auto"/>
        <w:ind w:left="142" w:firstLine="709"/>
        <w:jc w:val="both"/>
        <w:rPr>
          <w:rFonts w:ascii="Arial" w:hAnsi="Arial" w:cs="Arial"/>
          <w:sz w:val="28"/>
          <w:szCs w:val="28"/>
          <w:highlight w:val="green"/>
        </w:rPr>
      </w:pPr>
    </w:p>
    <w:p w14:paraId="1F378E7D" w14:textId="79D1EDE6" w:rsidR="00D9636E" w:rsidRPr="00AC28FC" w:rsidRDefault="00E87956" w:rsidP="003F5044">
      <w:pPr>
        <w:spacing w:after="0" w:line="480" w:lineRule="auto"/>
        <w:ind w:left="142" w:firstLine="709"/>
        <w:jc w:val="both"/>
        <w:rPr>
          <w:rFonts w:ascii="Arial" w:hAnsi="Arial" w:cs="Arial"/>
          <w:b/>
          <w:bCs/>
          <w:i/>
          <w:sz w:val="28"/>
          <w:szCs w:val="28"/>
        </w:rPr>
      </w:pPr>
      <w:r w:rsidRPr="00AC28FC">
        <w:rPr>
          <w:rFonts w:ascii="Arial" w:hAnsi="Arial" w:cs="Arial"/>
          <w:b/>
          <w:bCs/>
          <w:sz w:val="28"/>
          <w:szCs w:val="28"/>
        </w:rPr>
        <w:t xml:space="preserve">TERCERO. </w:t>
      </w:r>
      <w:r w:rsidRPr="00AC28FC">
        <w:rPr>
          <w:rFonts w:ascii="Arial" w:hAnsi="Arial" w:cs="Arial"/>
          <w:sz w:val="28"/>
          <w:szCs w:val="28"/>
        </w:rPr>
        <w:t>Posteriormente, el Tribunal Pleno e</w:t>
      </w:r>
      <w:r w:rsidR="00D9636E" w:rsidRPr="00AC28FC">
        <w:rPr>
          <w:rFonts w:ascii="Arial" w:hAnsi="Arial" w:cs="Arial"/>
          <w:sz w:val="28"/>
          <w:szCs w:val="28"/>
        </w:rPr>
        <w:t>n sesi</w:t>
      </w:r>
      <w:r w:rsidR="004A2027" w:rsidRPr="00AC28FC">
        <w:rPr>
          <w:rFonts w:ascii="Arial" w:hAnsi="Arial" w:cs="Arial"/>
          <w:sz w:val="28"/>
          <w:szCs w:val="28"/>
        </w:rPr>
        <w:t xml:space="preserve">ones </w:t>
      </w:r>
      <w:r w:rsidR="0026578D" w:rsidRPr="00AC28FC">
        <w:rPr>
          <w:rFonts w:ascii="Arial" w:hAnsi="Arial" w:cs="Arial"/>
          <w:sz w:val="28"/>
          <w:szCs w:val="28"/>
        </w:rPr>
        <w:t>celebrada</w:t>
      </w:r>
      <w:r w:rsidR="004A2027" w:rsidRPr="00AC28FC">
        <w:rPr>
          <w:rFonts w:ascii="Arial" w:hAnsi="Arial" w:cs="Arial"/>
          <w:sz w:val="28"/>
          <w:szCs w:val="28"/>
        </w:rPr>
        <w:t>s</w:t>
      </w:r>
      <w:r w:rsidR="0026578D" w:rsidRPr="00AC28FC">
        <w:rPr>
          <w:rFonts w:ascii="Arial" w:hAnsi="Arial" w:cs="Arial"/>
          <w:sz w:val="28"/>
          <w:szCs w:val="28"/>
        </w:rPr>
        <w:t xml:space="preserve"> </w:t>
      </w:r>
      <w:r w:rsidR="00013D9F" w:rsidRPr="00AC28FC">
        <w:rPr>
          <w:rFonts w:ascii="Arial" w:hAnsi="Arial" w:cs="Arial"/>
          <w:sz w:val="28"/>
          <w:szCs w:val="28"/>
        </w:rPr>
        <w:t xml:space="preserve">los días </w:t>
      </w:r>
      <w:r w:rsidR="00D31D20" w:rsidRPr="00AC28FC">
        <w:rPr>
          <w:rFonts w:ascii="Arial" w:hAnsi="Arial" w:cs="Arial"/>
          <w:sz w:val="28"/>
          <w:szCs w:val="28"/>
        </w:rPr>
        <w:t>dieciocho</w:t>
      </w:r>
      <w:r w:rsidR="00306BEA" w:rsidRPr="00AC28FC">
        <w:rPr>
          <w:rFonts w:ascii="Arial" w:hAnsi="Arial" w:cs="Arial"/>
          <w:sz w:val="28"/>
          <w:szCs w:val="28"/>
        </w:rPr>
        <w:t xml:space="preserve"> </w:t>
      </w:r>
      <w:r w:rsidR="00F07D70" w:rsidRPr="00AC28FC">
        <w:rPr>
          <w:rFonts w:ascii="Arial" w:hAnsi="Arial" w:cs="Arial"/>
          <w:sz w:val="28"/>
          <w:szCs w:val="28"/>
        </w:rPr>
        <w:t xml:space="preserve">y diecinueve </w:t>
      </w:r>
      <w:r w:rsidR="00013D9F" w:rsidRPr="00AC28FC">
        <w:rPr>
          <w:rFonts w:ascii="Arial" w:hAnsi="Arial" w:cs="Arial"/>
          <w:sz w:val="28"/>
          <w:szCs w:val="28"/>
        </w:rPr>
        <w:t>de abril de dos mil veintidós</w:t>
      </w:r>
      <w:r w:rsidR="0026578D" w:rsidRPr="00AC28FC">
        <w:rPr>
          <w:rFonts w:ascii="Arial" w:hAnsi="Arial" w:cs="Arial"/>
          <w:sz w:val="28"/>
          <w:szCs w:val="28"/>
        </w:rPr>
        <w:t xml:space="preserve">, resolvió </w:t>
      </w:r>
      <w:r w:rsidR="00013D9F" w:rsidRPr="00AC28FC">
        <w:rPr>
          <w:rFonts w:ascii="Arial" w:hAnsi="Arial" w:cs="Arial"/>
          <w:sz w:val="28"/>
          <w:szCs w:val="28"/>
        </w:rPr>
        <w:t xml:space="preserve">las </w:t>
      </w:r>
      <w:r w:rsidR="00013D9F" w:rsidRPr="00AC28FC">
        <w:rPr>
          <w:rFonts w:ascii="Arial" w:hAnsi="Arial" w:cs="Arial"/>
          <w:i/>
          <w:sz w:val="28"/>
          <w:szCs w:val="28"/>
        </w:rPr>
        <w:t>controversias constitucionales 44/2021 y 45/2021</w:t>
      </w:r>
      <w:r w:rsidR="00013D9F" w:rsidRPr="00AC28FC">
        <w:rPr>
          <w:rFonts w:ascii="Arial" w:hAnsi="Arial" w:cs="Arial"/>
          <w:iCs/>
          <w:sz w:val="28"/>
          <w:szCs w:val="28"/>
        </w:rPr>
        <w:t xml:space="preserve">, </w:t>
      </w:r>
      <w:r w:rsidR="00F07D70" w:rsidRPr="00AC28FC">
        <w:rPr>
          <w:rFonts w:ascii="Arial" w:hAnsi="Arial" w:cs="Arial"/>
          <w:iCs/>
          <w:sz w:val="28"/>
          <w:szCs w:val="28"/>
        </w:rPr>
        <w:t>en las que se determinó su sobreseimiento</w:t>
      </w:r>
      <w:r w:rsidR="006E276B" w:rsidRPr="00AC28FC">
        <w:rPr>
          <w:rFonts w:ascii="Arial" w:hAnsi="Arial" w:cs="Arial"/>
          <w:iCs/>
          <w:sz w:val="28"/>
          <w:szCs w:val="28"/>
        </w:rPr>
        <w:t>, y</w:t>
      </w:r>
    </w:p>
    <w:p w14:paraId="31622482" w14:textId="77777777" w:rsidR="00D9636E" w:rsidRPr="00AC28FC" w:rsidRDefault="00D9636E" w:rsidP="003F5044">
      <w:pPr>
        <w:spacing w:after="0" w:line="480" w:lineRule="auto"/>
        <w:jc w:val="both"/>
        <w:rPr>
          <w:rFonts w:ascii="Arial" w:hAnsi="Arial" w:cs="Arial"/>
          <w:sz w:val="28"/>
          <w:szCs w:val="28"/>
        </w:rPr>
      </w:pPr>
    </w:p>
    <w:p w14:paraId="1D1F5390" w14:textId="1171B734" w:rsidR="00D9636E" w:rsidRPr="00AC28FC" w:rsidRDefault="00342952" w:rsidP="003F5044">
      <w:pPr>
        <w:spacing w:after="0" w:line="480" w:lineRule="auto"/>
        <w:ind w:left="142" w:firstLine="709"/>
        <w:jc w:val="both"/>
        <w:rPr>
          <w:rFonts w:ascii="Arial" w:hAnsi="Arial" w:cs="Arial"/>
          <w:sz w:val="28"/>
          <w:szCs w:val="28"/>
        </w:rPr>
      </w:pPr>
      <w:r w:rsidRPr="00AC28FC">
        <w:rPr>
          <w:rFonts w:ascii="Arial" w:hAnsi="Arial" w:cs="Arial"/>
          <w:b/>
          <w:sz w:val="28"/>
          <w:szCs w:val="28"/>
        </w:rPr>
        <w:t>CUARTO</w:t>
      </w:r>
      <w:r w:rsidR="003A0F23" w:rsidRPr="00AC28FC">
        <w:rPr>
          <w:rFonts w:ascii="Arial" w:hAnsi="Arial" w:cs="Arial"/>
          <w:b/>
          <w:sz w:val="28"/>
          <w:szCs w:val="28"/>
        </w:rPr>
        <w:t>.</w:t>
      </w:r>
      <w:r w:rsidR="00D9636E" w:rsidRPr="00AC28FC">
        <w:rPr>
          <w:rFonts w:ascii="Arial" w:hAnsi="Arial" w:cs="Arial"/>
          <w:sz w:val="28"/>
          <w:szCs w:val="28"/>
        </w:rPr>
        <w:t xml:space="preserve"> Por tanto, se estima que ha dejado de existir la razón que motivó el aplazamiento decretado en el Acuerdo General </w:t>
      </w:r>
      <w:r w:rsidR="00AE7DAC" w:rsidRPr="00AC28FC">
        <w:rPr>
          <w:rFonts w:ascii="Arial" w:hAnsi="Arial" w:cs="Arial"/>
          <w:sz w:val="28"/>
          <w:szCs w:val="28"/>
        </w:rPr>
        <w:t xml:space="preserve">Plenario </w:t>
      </w:r>
      <w:r w:rsidR="00A22B96" w:rsidRPr="00AC28FC">
        <w:rPr>
          <w:rFonts w:ascii="Arial" w:hAnsi="Arial" w:cs="Arial"/>
          <w:sz w:val="28"/>
          <w:szCs w:val="28"/>
        </w:rPr>
        <w:t>3/2022</w:t>
      </w:r>
      <w:r w:rsidR="008A7185" w:rsidRPr="00AC28FC">
        <w:rPr>
          <w:rFonts w:ascii="Arial" w:hAnsi="Arial" w:cs="Arial"/>
          <w:sz w:val="28"/>
          <w:szCs w:val="28"/>
        </w:rPr>
        <w:t xml:space="preserve"> citado en el Considerando </w:t>
      </w:r>
      <w:r w:rsidR="00A22B96" w:rsidRPr="00AC28FC">
        <w:rPr>
          <w:rFonts w:ascii="Arial" w:hAnsi="Arial" w:cs="Arial"/>
          <w:sz w:val="28"/>
          <w:szCs w:val="28"/>
        </w:rPr>
        <w:t>Primero</w:t>
      </w:r>
      <w:r w:rsidR="008A7185" w:rsidRPr="00AC28FC">
        <w:rPr>
          <w:rFonts w:ascii="Arial" w:hAnsi="Arial" w:cs="Arial"/>
          <w:sz w:val="28"/>
          <w:szCs w:val="28"/>
        </w:rPr>
        <w:t xml:space="preserve"> de este instrumento normativo, </w:t>
      </w:r>
      <w:r w:rsidR="00A32541" w:rsidRPr="00AC28FC">
        <w:rPr>
          <w:rFonts w:ascii="Arial" w:hAnsi="Arial" w:cs="Arial"/>
          <w:sz w:val="28"/>
          <w:szCs w:val="28"/>
        </w:rPr>
        <w:t>por lo que deben resolverse</w:t>
      </w:r>
      <w:r w:rsidR="00482401" w:rsidRPr="00AC28FC">
        <w:rPr>
          <w:rFonts w:ascii="Arial" w:hAnsi="Arial" w:cs="Arial"/>
          <w:sz w:val="28"/>
          <w:szCs w:val="28"/>
        </w:rPr>
        <w:t xml:space="preserve"> en ejercicio de su competencia </w:t>
      </w:r>
      <w:r w:rsidR="00482401" w:rsidRPr="00AC28FC">
        <w:rPr>
          <w:rFonts w:ascii="Arial" w:hAnsi="Arial" w:cs="Arial"/>
          <w:sz w:val="28"/>
          <w:szCs w:val="28"/>
        </w:rPr>
        <w:lastRenderedPageBreak/>
        <w:t xml:space="preserve">delegada, </w:t>
      </w:r>
      <w:r w:rsidR="00A866CC" w:rsidRPr="00AC28FC">
        <w:rPr>
          <w:rFonts w:ascii="Arial" w:hAnsi="Arial" w:cs="Arial"/>
          <w:sz w:val="28"/>
          <w:szCs w:val="28"/>
        </w:rPr>
        <w:t xml:space="preserve">los amparos en revisión del conocimiento de los Tribunales Colegiados de Circuito Primero y Segundo en Materia Administrativa, Especializados en Competencia Económica, Radiodifusión y Telecomunicaciones, con residencia en la Ciudad de México y Jurisdicción en toda la República, </w:t>
      </w:r>
      <w:r w:rsidR="005F6690" w:rsidRPr="00AC28FC">
        <w:rPr>
          <w:rFonts w:ascii="Arial" w:hAnsi="Arial" w:cs="Arial"/>
          <w:sz w:val="28"/>
          <w:szCs w:val="28"/>
        </w:rPr>
        <w:t xml:space="preserve">o radicados en cualquier otro Tribunal Colegiado de Circuito, </w:t>
      </w:r>
      <w:r w:rsidR="00A866CC" w:rsidRPr="00AC28FC">
        <w:rPr>
          <w:rFonts w:ascii="Arial" w:hAnsi="Arial" w:cs="Arial"/>
          <w:sz w:val="28"/>
          <w:szCs w:val="28"/>
        </w:rPr>
        <w:t>en los que subsista el problema de constitucionalidad del Decreto por el que se reforman y adicionan diversas disposiciones de la Ley de la Industria Eléctrica, publicado en el Diario Oficial de la Federación del nueve de marzo de dos mil veintiuno</w:t>
      </w:r>
      <w:r w:rsidR="0001229A" w:rsidRPr="00AC28FC">
        <w:rPr>
          <w:rFonts w:ascii="Arial" w:hAnsi="Arial" w:cs="Arial"/>
          <w:sz w:val="28"/>
          <w:szCs w:val="28"/>
        </w:rPr>
        <w:t xml:space="preserve">; </w:t>
      </w:r>
      <w:r w:rsidR="00482401" w:rsidRPr="00AC28FC">
        <w:rPr>
          <w:rFonts w:ascii="Arial" w:hAnsi="Arial" w:cs="Arial"/>
          <w:sz w:val="28"/>
          <w:szCs w:val="28"/>
        </w:rPr>
        <w:t xml:space="preserve">en la inteligencia de que en este Acuerdo General </w:t>
      </w:r>
      <w:r w:rsidR="007C1598" w:rsidRPr="00AC28FC">
        <w:rPr>
          <w:rFonts w:ascii="Arial" w:hAnsi="Arial" w:cs="Arial"/>
          <w:sz w:val="28"/>
          <w:szCs w:val="28"/>
        </w:rPr>
        <w:t xml:space="preserve">se delega competencia para resolver aquellos en los que </w:t>
      </w:r>
      <w:r w:rsidR="004C05AD" w:rsidRPr="00AC28FC">
        <w:rPr>
          <w:rFonts w:ascii="Arial" w:hAnsi="Arial" w:cs="Arial"/>
          <w:sz w:val="28"/>
          <w:szCs w:val="28"/>
        </w:rPr>
        <w:t>únicamente subsista e</w:t>
      </w:r>
      <w:r w:rsidR="00223846" w:rsidRPr="00AC28FC">
        <w:rPr>
          <w:rFonts w:ascii="Arial" w:hAnsi="Arial" w:cs="Arial"/>
          <w:sz w:val="28"/>
          <w:szCs w:val="28"/>
        </w:rPr>
        <w:t>l</w:t>
      </w:r>
      <w:r w:rsidR="004C05AD" w:rsidRPr="00AC28FC">
        <w:rPr>
          <w:rFonts w:ascii="Arial" w:hAnsi="Arial" w:cs="Arial"/>
          <w:sz w:val="28"/>
          <w:szCs w:val="28"/>
        </w:rPr>
        <w:t xml:space="preserve"> análisis de constitucionalidad de los preceptos legales </w:t>
      </w:r>
      <w:r w:rsidR="005E58A9" w:rsidRPr="00AC28FC">
        <w:rPr>
          <w:rFonts w:ascii="Arial" w:hAnsi="Arial" w:cs="Arial"/>
          <w:sz w:val="28"/>
          <w:szCs w:val="28"/>
        </w:rPr>
        <w:t xml:space="preserve">contenidos en el </w:t>
      </w:r>
      <w:r w:rsidR="004C05AD" w:rsidRPr="00AC28FC">
        <w:rPr>
          <w:rFonts w:ascii="Arial" w:hAnsi="Arial" w:cs="Arial"/>
          <w:sz w:val="28"/>
          <w:szCs w:val="28"/>
        </w:rPr>
        <w:t xml:space="preserve">referido </w:t>
      </w:r>
      <w:r w:rsidR="005E58A9" w:rsidRPr="00AC28FC">
        <w:rPr>
          <w:rFonts w:ascii="Arial" w:hAnsi="Arial" w:cs="Arial"/>
          <w:sz w:val="28"/>
          <w:szCs w:val="28"/>
        </w:rPr>
        <w:t>Decreto</w:t>
      </w:r>
      <w:r w:rsidR="004C05AD" w:rsidRPr="00AC28FC">
        <w:rPr>
          <w:rFonts w:ascii="Arial" w:hAnsi="Arial" w:cs="Arial"/>
          <w:sz w:val="28"/>
          <w:szCs w:val="28"/>
        </w:rPr>
        <w:t xml:space="preserve"> en relación con los cuales este Alto Tribunal haya reconocido su validez</w:t>
      </w:r>
      <w:r w:rsidR="007C1598" w:rsidRPr="00AC28FC">
        <w:rPr>
          <w:rFonts w:ascii="Arial" w:hAnsi="Arial" w:cs="Arial"/>
          <w:sz w:val="28"/>
          <w:szCs w:val="28"/>
        </w:rPr>
        <w:t>; sin menoscabo de que en los restantes actúen en términos de lo previsto en el Acuerdo General Plenario 5/2013.</w:t>
      </w:r>
    </w:p>
    <w:p w14:paraId="44B2DC5E" w14:textId="77777777" w:rsidR="007C1598" w:rsidRPr="00AC28FC" w:rsidRDefault="007C1598" w:rsidP="003F5044">
      <w:pPr>
        <w:spacing w:after="0" w:line="480" w:lineRule="auto"/>
        <w:ind w:left="142" w:firstLine="709"/>
        <w:jc w:val="both"/>
        <w:rPr>
          <w:rFonts w:ascii="Arial" w:hAnsi="Arial" w:cs="Arial"/>
          <w:sz w:val="28"/>
          <w:szCs w:val="28"/>
        </w:rPr>
      </w:pPr>
    </w:p>
    <w:p w14:paraId="7BCDE199" w14:textId="77777777" w:rsidR="00C53E9B" w:rsidRPr="00AC28FC" w:rsidRDefault="00C53E9B" w:rsidP="003F5044">
      <w:pPr>
        <w:spacing w:after="0" w:line="480" w:lineRule="auto"/>
        <w:ind w:left="142" w:firstLine="709"/>
        <w:jc w:val="both"/>
        <w:rPr>
          <w:rFonts w:ascii="Arial" w:hAnsi="Arial" w:cs="Arial"/>
          <w:sz w:val="28"/>
          <w:szCs w:val="28"/>
        </w:rPr>
      </w:pPr>
      <w:r w:rsidRPr="00AC28FC">
        <w:rPr>
          <w:rFonts w:ascii="Arial" w:hAnsi="Arial" w:cs="Arial"/>
          <w:sz w:val="28"/>
          <w:szCs w:val="28"/>
        </w:rPr>
        <w:t>En consecuencia, con fundamento en lo antes señalado, el Pleno de la Suprema Corte de Justicia de la Nación expide el siguiente:</w:t>
      </w:r>
    </w:p>
    <w:p w14:paraId="279B43D3" w14:textId="77777777" w:rsidR="00807DE8" w:rsidRPr="00AC28FC" w:rsidRDefault="00807DE8" w:rsidP="003F5044">
      <w:pPr>
        <w:spacing w:after="0" w:line="480" w:lineRule="auto"/>
        <w:jc w:val="both"/>
        <w:rPr>
          <w:rFonts w:ascii="Arial" w:hAnsi="Arial" w:cs="Arial"/>
          <w:sz w:val="28"/>
          <w:szCs w:val="28"/>
        </w:rPr>
      </w:pPr>
    </w:p>
    <w:p w14:paraId="5E8D79C0" w14:textId="77777777" w:rsidR="00C53E9B" w:rsidRPr="00AC28FC" w:rsidRDefault="00C53E9B" w:rsidP="003F5044">
      <w:pPr>
        <w:spacing w:after="0" w:line="480" w:lineRule="auto"/>
        <w:jc w:val="center"/>
        <w:rPr>
          <w:rFonts w:ascii="Arial" w:hAnsi="Arial" w:cs="Arial"/>
          <w:b/>
          <w:sz w:val="28"/>
          <w:szCs w:val="28"/>
        </w:rPr>
      </w:pPr>
      <w:r w:rsidRPr="00AC28FC">
        <w:rPr>
          <w:rFonts w:ascii="Arial" w:hAnsi="Arial" w:cs="Arial"/>
          <w:b/>
          <w:sz w:val="28"/>
          <w:szCs w:val="28"/>
        </w:rPr>
        <w:lastRenderedPageBreak/>
        <w:t>ACUERDO:</w:t>
      </w:r>
    </w:p>
    <w:p w14:paraId="74849376" w14:textId="77777777" w:rsidR="00C53E9B" w:rsidRPr="00AC28FC" w:rsidRDefault="00C53E9B" w:rsidP="003F5044">
      <w:pPr>
        <w:spacing w:after="0" w:line="480" w:lineRule="auto"/>
        <w:jc w:val="both"/>
        <w:rPr>
          <w:rFonts w:ascii="Arial" w:hAnsi="Arial" w:cs="Arial"/>
          <w:sz w:val="28"/>
          <w:szCs w:val="28"/>
        </w:rPr>
      </w:pPr>
    </w:p>
    <w:p w14:paraId="1D1A1878" w14:textId="45EDFC5B" w:rsidR="00C53E9B" w:rsidRPr="00AC28FC" w:rsidRDefault="00C53E9B" w:rsidP="003F5044">
      <w:pPr>
        <w:spacing w:after="0" w:line="480" w:lineRule="auto"/>
        <w:ind w:left="142" w:firstLine="709"/>
        <w:jc w:val="both"/>
        <w:rPr>
          <w:rFonts w:ascii="Arial" w:hAnsi="Arial" w:cs="Arial"/>
          <w:sz w:val="28"/>
          <w:szCs w:val="28"/>
        </w:rPr>
      </w:pPr>
      <w:r w:rsidRPr="00AC28FC">
        <w:rPr>
          <w:rFonts w:ascii="Arial" w:hAnsi="Arial" w:cs="Arial"/>
          <w:b/>
          <w:sz w:val="28"/>
          <w:szCs w:val="28"/>
        </w:rPr>
        <w:t>PRIMERO.</w:t>
      </w:r>
      <w:r w:rsidRPr="00AC28FC">
        <w:rPr>
          <w:rFonts w:ascii="Arial" w:hAnsi="Arial" w:cs="Arial"/>
          <w:sz w:val="28"/>
          <w:szCs w:val="28"/>
        </w:rPr>
        <w:t xml:space="preserve"> </w:t>
      </w:r>
      <w:r w:rsidR="00B055B7" w:rsidRPr="00AC28FC">
        <w:rPr>
          <w:rFonts w:ascii="Arial" w:hAnsi="Arial" w:cs="Arial"/>
          <w:sz w:val="28"/>
          <w:szCs w:val="28"/>
        </w:rPr>
        <w:t xml:space="preserve">Se levanta el aplazamiento dispuesto en el </w:t>
      </w:r>
      <w:r w:rsidR="00ED4DB9" w:rsidRPr="00AC28FC">
        <w:rPr>
          <w:rFonts w:ascii="Arial" w:hAnsi="Arial" w:cs="Arial"/>
          <w:sz w:val="28"/>
          <w:szCs w:val="28"/>
        </w:rPr>
        <w:t>Acuerdo General Plenario 3/2022, de diecisiete de febrero de dos mil veintidós</w:t>
      </w:r>
      <w:r w:rsidR="00B055B7" w:rsidRPr="00AC28FC">
        <w:rPr>
          <w:rFonts w:ascii="Arial" w:hAnsi="Arial" w:cs="Arial"/>
          <w:sz w:val="28"/>
          <w:szCs w:val="28"/>
        </w:rPr>
        <w:t xml:space="preserve">, </w:t>
      </w:r>
      <w:r w:rsidR="00ED4DB9" w:rsidRPr="00AC28FC">
        <w:rPr>
          <w:rFonts w:ascii="Arial" w:hAnsi="Arial" w:cs="Arial"/>
          <w:sz w:val="28"/>
          <w:szCs w:val="28"/>
        </w:rPr>
        <w:t>en el</w:t>
      </w:r>
      <w:r w:rsidR="00B055B7" w:rsidRPr="00AC28FC">
        <w:rPr>
          <w:rFonts w:ascii="Arial" w:hAnsi="Arial" w:cs="Arial"/>
          <w:sz w:val="28"/>
          <w:szCs w:val="28"/>
        </w:rPr>
        <w:t xml:space="preserve"> dictado de la resolución </w:t>
      </w:r>
      <w:r w:rsidR="00ED4DB9" w:rsidRPr="00AC28FC">
        <w:rPr>
          <w:rFonts w:ascii="Arial" w:hAnsi="Arial" w:cs="Arial"/>
          <w:sz w:val="28"/>
          <w:szCs w:val="28"/>
        </w:rPr>
        <w:t>de los amparos en revisión del conocimiento de los Tribunales Colegiados de Circuito Primero y Segundo en Materia Administrativa, Especializados en Competencia Económica, Radiodifusión y Telecomunicaciones, con residencia en la Ciudad de México y Jurisdicción en toda la República, o radicados en cualquier otro Tribunal Colegiado de Circuito, en los que subsista el problema de constitucionalidad del Decreto por el que se reforman y adicionan diversas disposiciones de la Ley de la Industria Eléctrica, publicado en el Diario Oficial de la Federación del nueve de marzo de dos mil veintiuno</w:t>
      </w:r>
      <w:r w:rsidR="00D41077" w:rsidRPr="00AC28FC">
        <w:rPr>
          <w:rFonts w:ascii="Arial" w:hAnsi="Arial" w:cs="Arial"/>
          <w:sz w:val="28"/>
          <w:szCs w:val="28"/>
        </w:rPr>
        <w:t>.</w:t>
      </w:r>
    </w:p>
    <w:p w14:paraId="0D297E27" w14:textId="77777777" w:rsidR="00C53E9B" w:rsidRPr="00AC28FC" w:rsidRDefault="00C53E9B" w:rsidP="003F5044">
      <w:pPr>
        <w:spacing w:after="0" w:line="480" w:lineRule="auto"/>
        <w:jc w:val="both"/>
        <w:rPr>
          <w:rFonts w:ascii="Arial" w:hAnsi="Arial" w:cs="Arial"/>
          <w:sz w:val="28"/>
          <w:szCs w:val="28"/>
        </w:rPr>
      </w:pPr>
    </w:p>
    <w:p w14:paraId="7D802B37" w14:textId="17E988CA" w:rsidR="008F55E5" w:rsidRPr="00AC28FC" w:rsidRDefault="00C53E9B" w:rsidP="003F5044">
      <w:pPr>
        <w:spacing w:after="0" w:line="480" w:lineRule="auto"/>
        <w:ind w:left="142" w:firstLine="709"/>
        <w:jc w:val="both"/>
        <w:rPr>
          <w:rFonts w:ascii="Arial" w:hAnsi="Arial" w:cs="Arial"/>
          <w:bCs/>
          <w:sz w:val="28"/>
          <w:szCs w:val="28"/>
        </w:rPr>
      </w:pPr>
      <w:r w:rsidRPr="00AC28FC">
        <w:rPr>
          <w:rFonts w:ascii="Arial" w:hAnsi="Arial" w:cs="Arial"/>
          <w:b/>
          <w:sz w:val="28"/>
          <w:szCs w:val="28"/>
        </w:rPr>
        <w:t>SEGUNDO.</w:t>
      </w:r>
      <w:r w:rsidRPr="00AC28FC">
        <w:rPr>
          <w:rFonts w:ascii="Arial" w:hAnsi="Arial" w:cs="Arial"/>
          <w:sz w:val="28"/>
          <w:szCs w:val="28"/>
        </w:rPr>
        <w:t xml:space="preserve"> </w:t>
      </w:r>
      <w:r w:rsidR="00A34877" w:rsidRPr="00AC28FC">
        <w:rPr>
          <w:rFonts w:ascii="Arial" w:hAnsi="Arial" w:cs="Arial"/>
          <w:sz w:val="28"/>
          <w:szCs w:val="28"/>
        </w:rPr>
        <w:t xml:space="preserve">Los </w:t>
      </w:r>
      <w:r w:rsidR="00465188" w:rsidRPr="00AC28FC">
        <w:rPr>
          <w:rFonts w:ascii="Arial" w:hAnsi="Arial" w:cs="Arial"/>
          <w:sz w:val="28"/>
          <w:szCs w:val="28"/>
        </w:rPr>
        <w:t>amparos en revisión</w:t>
      </w:r>
      <w:r w:rsidR="00A34877" w:rsidRPr="00AC28FC">
        <w:rPr>
          <w:rFonts w:ascii="Arial" w:hAnsi="Arial" w:cs="Arial"/>
          <w:sz w:val="28"/>
          <w:szCs w:val="28"/>
        </w:rPr>
        <w:t xml:space="preserve"> a que se refiere el Punto inmediato anterior </w:t>
      </w:r>
      <w:r w:rsidR="00805A55" w:rsidRPr="00AC28FC">
        <w:rPr>
          <w:rFonts w:ascii="Arial" w:hAnsi="Arial" w:cs="Arial"/>
          <w:sz w:val="28"/>
          <w:szCs w:val="28"/>
        </w:rPr>
        <w:t xml:space="preserve">deberán ser </w:t>
      </w:r>
      <w:r w:rsidR="004D308C" w:rsidRPr="00AC28FC">
        <w:rPr>
          <w:rFonts w:ascii="Arial" w:hAnsi="Arial" w:cs="Arial"/>
          <w:sz w:val="28"/>
          <w:szCs w:val="28"/>
        </w:rPr>
        <w:t xml:space="preserve">resueltos por </w:t>
      </w:r>
      <w:r w:rsidR="00B74710" w:rsidRPr="00AC28FC">
        <w:rPr>
          <w:rFonts w:ascii="Arial" w:hAnsi="Arial" w:cs="Arial"/>
          <w:sz w:val="28"/>
          <w:szCs w:val="28"/>
        </w:rPr>
        <w:t xml:space="preserve">los Tribunales Colegiados de Circuito Primero y Segundo en Materia Administrativa, Especializados en Competencia Económica, Radiodifusión y Telecomunicaciones, con residencia en la Ciudad de México y Jurisdicción en toda la </w:t>
      </w:r>
      <w:r w:rsidR="00B74710" w:rsidRPr="00AC28FC">
        <w:rPr>
          <w:rFonts w:ascii="Arial" w:hAnsi="Arial" w:cs="Arial"/>
          <w:sz w:val="28"/>
          <w:szCs w:val="28"/>
        </w:rPr>
        <w:lastRenderedPageBreak/>
        <w:t>República</w:t>
      </w:r>
      <w:r w:rsidR="00BE37E5" w:rsidRPr="00AC28FC">
        <w:rPr>
          <w:rFonts w:ascii="Arial" w:hAnsi="Arial" w:cs="Arial"/>
          <w:sz w:val="28"/>
          <w:szCs w:val="28"/>
        </w:rPr>
        <w:t xml:space="preserve">, </w:t>
      </w:r>
      <w:r w:rsidR="00220098" w:rsidRPr="00AC28FC">
        <w:rPr>
          <w:rFonts w:ascii="Arial" w:hAnsi="Arial" w:cs="Arial"/>
          <w:sz w:val="28"/>
          <w:szCs w:val="28"/>
        </w:rPr>
        <w:t xml:space="preserve">o radicados en cualquier otro Tribunal Colegiado de Circuito, </w:t>
      </w:r>
      <w:r w:rsidR="00FD6430" w:rsidRPr="00AC28FC">
        <w:rPr>
          <w:rFonts w:ascii="Arial" w:hAnsi="Arial" w:cs="Arial"/>
          <w:sz w:val="28"/>
          <w:szCs w:val="28"/>
        </w:rPr>
        <w:t>cuando se actualice</w:t>
      </w:r>
      <w:r w:rsidR="004D308C" w:rsidRPr="00AC28FC">
        <w:rPr>
          <w:rFonts w:ascii="Arial" w:hAnsi="Arial" w:cs="Arial"/>
          <w:sz w:val="28"/>
          <w:szCs w:val="28"/>
        </w:rPr>
        <w:t xml:space="preserve"> lo previsto en el Punto </w:t>
      </w:r>
      <w:r w:rsidR="00465188" w:rsidRPr="00AC28FC">
        <w:rPr>
          <w:rFonts w:ascii="Arial" w:hAnsi="Arial" w:cs="Arial"/>
          <w:sz w:val="28"/>
          <w:szCs w:val="28"/>
        </w:rPr>
        <w:t xml:space="preserve">Cuarto, fracción I, inciso </w:t>
      </w:r>
      <w:r w:rsidR="00D06919" w:rsidRPr="00AC28FC">
        <w:rPr>
          <w:rFonts w:ascii="Arial" w:hAnsi="Arial" w:cs="Arial"/>
          <w:sz w:val="28"/>
          <w:szCs w:val="28"/>
        </w:rPr>
        <w:t>A</w:t>
      </w:r>
      <w:r w:rsidR="00465188" w:rsidRPr="00AC28FC">
        <w:rPr>
          <w:rFonts w:ascii="Arial" w:hAnsi="Arial" w:cs="Arial"/>
          <w:sz w:val="28"/>
          <w:szCs w:val="28"/>
        </w:rPr>
        <w:t>),</w:t>
      </w:r>
      <w:r w:rsidR="004D308C" w:rsidRPr="00AC28FC">
        <w:rPr>
          <w:rFonts w:ascii="Arial" w:hAnsi="Arial" w:cs="Arial"/>
          <w:sz w:val="28"/>
          <w:szCs w:val="28"/>
        </w:rPr>
        <w:t xml:space="preserve"> del </w:t>
      </w:r>
      <w:r w:rsidR="00042D6D" w:rsidRPr="00AC28FC">
        <w:rPr>
          <w:rFonts w:ascii="Arial" w:hAnsi="Arial" w:cs="Arial"/>
          <w:sz w:val="28"/>
          <w:szCs w:val="28"/>
        </w:rPr>
        <w:t>Acuerdo General Plenario 5/2013, de trece de mayo de dos mil trece</w:t>
      </w:r>
      <w:r w:rsidR="00D50D59" w:rsidRPr="00AC28FC">
        <w:rPr>
          <w:rFonts w:ascii="Arial" w:hAnsi="Arial" w:cs="Arial"/>
          <w:sz w:val="28"/>
          <w:szCs w:val="28"/>
        </w:rPr>
        <w:t xml:space="preserve"> </w:t>
      </w:r>
      <w:r w:rsidR="00465188" w:rsidRPr="00AC28FC">
        <w:rPr>
          <w:rFonts w:ascii="Arial" w:hAnsi="Arial" w:cs="Arial"/>
          <w:sz w:val="28"/>
          <w:szCs w:val="28"/>
        </w:rPr>
        <w:t xml:space="preserve">o bien cuando en ellos resulte necesario abordar el análisis de constitucionalidad </w:t>
      </w:r>
      <w:r w:rsidR="000228C0" w:rsidRPr="00AC28FC">
        <w:rPr>
          <w:rFonts w:ascii="Arial" w:hAnsi="Arial" w:cs="Arial"/>
          <w:sz w:val="28"/>
          <w:szCs w:val="28"/>
        </w:rPr>
        <w:t xml:space="preserve">únicamente </w:t>
      </w:r>
      <w:r w:rsidR="00465188" w:rsidRPr="00AC28FC">
        <w:rPr>
          <w:rFonts w:ascii="Arial" w:hAnsi="Arial" w:cs="Arial"/>
          <w:sz w:val="28"/>
          <w:szCs w:val="28"/>
        </w:rPr>
        <w:t xml:space="preserve">de los preceptos cuya validez se determinó en la </w:t>
      </w:r>
      <w:r w:rsidR="00C814B4" w:rsidRPr="00AC28FC">
        <w:rPr>
          <w:rFonts w:ascii="Arial" w:hAnsi="Arial" w:cs="Arial"/>
          <w:i/>
          <w:sz w:val="28"/>
          <w:szCs w:val="28"/>
        </w:rPr>
        <w:t>acción de inconstitucionalidad 64/2021</w:t>
      </w:r>
      <w:r w:rsidR="002A334C" w:rsidRPr="00AC28FC">
        <w:rPr>
          <w:rFonts w:ascii="Arial" w:hAnsi="Arial" w:cs="Arial"/>
          <w:iCs/>
          <w:sz w:val="28"/>
          <w:szCs w:val="28"/>
        </w:rPr>
        <w:t>,</w:t>
      </w:r>
      <w:r w:rsidR="00C814B4" w:rsidRPr="00AC28FC">
        <w:rPr>
          <w:rFonts w:ascii="Arial" w:hAnsi="Arial" w:cs="Arial"/>
          <w:i/>
          <w:sz w:val="28"/>
          <w:szCs w:val="28"/>
        </w:rPr>
        <w:t xml:space="preserve"> </w:t>
      </w:r>
      <w:r w:rsidR="00465188" w:rsidRPr="00AC28FC">
        <w:rPr>
          <w:rFonts w:ascii="Arial" w:hAnsi="Arial" w:cs="Arial"/>
          <w:iCs/>
          <w:sz w:val="28"/>
          <w:szCs w:val="28"/>
        </w:rPr>
        <w:t>atendiendo al principio estableci</w:t>
      </w:r>
      <w:r w:rsidR="005136DB" w:rsidRPr="00AC28FC">
        <w:rPr>
          <w:rFonts w:ascii="Arial" w:hAnsi="Arial" w:cs="Arial"/>
          <w:iCs/>
          <w:sz w:val="28"/>
          <w:szCs w:val="28"/>
        </w:rPr>
        <w:t>do</w:t>
      </w:r>
      <w:r w:rsidR="00465188" w:rsidRPr="00AC28FC">
        <w:rPr>
          <w:rFonts w:ascii="Arial" w:hAnsi="Arial" w:cs="Arial"/>
          <w:iCs/>
          <w:sz w:val="28"/>
          <w:szCs w:val="28"/>
        </w:rPr>
        <w:t xml:space="preserve"> en el Punto Décimo Quinto del citado Acuerdo General Plenario</w:t>
      </w:r>
      <w:r w:rsidR="008F55E5" w:rsidRPr="00AC28FC">
        <w:rPr>
          <w:rFonts w:ascii="Arial" w:hAnsi="Arial" w:cs="Arial"/>
          <w:bCs/>
          <w:sz w:val="28"/>
          <w:szCs w:val="28"/>
        </w:rPr>
        <w:t>.</w:t>
      </w:r>
    </w:p>
    <w:p w14:paraId="3CAD510B" w14:textId="77777777" w:rsidR="00A408E7" w:rsidRPr="00AC28FC" w:rsidRDefault="00A408E7" w:rsidP="003F5044">
      <w:pPr>
        <w:spacing w:after="0" w:line="480" w:lineRule="auto"/>
        <w:rPr>
          <w:rFonts w:ascii="Arial" w:hAnsi="Arial" w:cs="Arial"/>
          <w:b/>
          <w:sz w:val="28"/>
          <w:szCs w:val="28"/>
        </w:rPr>
      </w:pPr>
    </w:p>
    <w:p w14:paraId="6F003C32" w14:textId="12A75A70" w:rsidR="00C53E9B" w:rsidRPr="00AC28FC" w:rsidRDefault="00C53E9B" w:rsidP="003F5044">
      <w:pPr>
        <w:spacing w:after="0" w:line="480" w:lineRule="auto"/>
        <w:jc w:val="center"/>
        <w:rPr>
          <w:rFonts w:ascii="Arial" w:hAnsi="Arial" w:cs="Arial"/>
          <w:b/>
          <w:sz w:val="28"/>
          <w:szCs w:val="28"/>
        </w:rPr>
      </w:pPr>
      <w:r w:rsidRPr="00AC28FC">
        <w:rPr>
          <w:rFonts w:ascii="Arial" w:hAnsi="Arial" w:cs="Arial"/>
          <w:b/>
          <w:sz w:val="28"/>
          <w:szCs w:val="28"/>
        </w:rPr>
        <w:t>TRANSITORIOS:</w:t>
      </w:r>
    </w:p>
    <w:p w14:paraId="77124079" w14:textId="77777777" w:rsidR="00C53E9B" w:rsidRPr="00AC28FC" w:rsidRDefault="00C53E9B" w:rsidP="003F5044">
      <w:pPr>
        <w:spacing w:after="0" w:line="480" w:lineRule="auto"/>
        <w:jc w:val="both"/>
        <w:rPr>
          <w:rFonts w:ascii="Arial" w:hAnsi="Arial" w:cs="Arial"/>
          <w:sz w:val="28"/>
          <w:szCs w:val="28"/>
        </w:rPr>
      </w:pPr>
    </w:p>
    <w:p w14:paraId="12405AF8" w14:textId="77777777" w:rsidR="00C53E9B" w:rsidRPr="00AC28FC" w:rsidRDefault="00C53E9B" w:rsidP="003F5044">
      <w:pPr>
        <w:spacing w:after="0" w:line="480" w:lineRule="auto"/>
        <w:ind w:left="142" w:firstLine="709"/>
        <w:jc w:val="both"/>
        <w:rPr>
          <w:rFonts w:ascii="Arial" w:hAnsi="Arial" w:cs="Arial"/>
          <w:sz w:val="28"/>
          <w:szCs w:val="28"/>
        </w:rPr>
      </w:pPr>
      <w:r w:rsidRPr="00AC28FC">
        <w:rPr>
          <w:rFonts w:ascii="Arial" w:hAnsi="Arial" w:cs="Arial"/>
          <w:b/>
          <w:sz w:val="28"/>
          <w:szCs w:val="28"/>
        </w:rPr>
        <w:t>PRIMERO.</w:t>
      </w:r>
      <w:r w:rsidRPr="00AC28FC">
        <w:rPr>
          <w:rFonts w:ascii="Arial" w:hAnsi="Arial" w:cs="Arial"/>
          <w:sz w:val="28"/>
          <w:szCs w:val="28"/>
        </w:rPr>
        <w:t xml:space="preserve"> Este Acuerdo General entrará en vigor al día siguiente de su publicación en el Diario Oficial de la Federación.</w:t>
      </w:r>
    </w:p>
    <w:p w14:paraId="49EE9D0E" w14:textId="77777777" w:rsidR="00C53E9B" w:rsidRPr="00AC28FC" w:rsidRDefault="00C53E9B" w:rsidP="003F5044">
      <w:pPr>
        <w:spacing w:after="0" w:line="480" w:lineRule="auto"/>
        <w:jc w:val="both"/>
        <w:rPr>
          <w:rFonts w:ascii="Arial" w:hAnsi="Arial" w:cs="Arial"/>
          <w:sz w:val="28"/>
          <w:szCs w:val="28"/>
        </w:rPr>
      </w:pPr>
    </w:p>
    <w:p w14:paraId="1F75DAAA" w14:textId="7CBE4851" w:rsidR="00655FBB" w:rsidRDefault="00C53E9B" w:rsidP="003F5044">
      <w:pPr>
        <w:spacing w:after="0" w:line="480" w:lineRule="auto"/>
        <w:ind w:left="142" w:firstLine="709"/>
        <w:jc w:val="both"/>
        <w:rPr>
          <w:rFonts w:ascii="Arial" w:hAnsi="Arial" w:cs="Arial"/>
          <w:sz w:val="28"/>
          <w:szCs w:val="28"/>
        </w:rPr>
      </w:pPr>
      <w:r w:rsidRPr="00AC28FC">
        <w:rPr>
          <w:rFonts w:ascii="Arial" w:hAnsi="Arial" w:cs="Arial"/>
          <w:b/>
          <w:sz w:val="28"/>
          <w:szCs w:val="28"/>
        </w:rPr>
        <w:t>SEGUNDO.</w:t>
      </w:r>
      <w:r w:rsidRPr="00AC28FC">
        <w:rPr>
          <w:rFonts w:ascii="Arial" w:hAnsi="Arial" w:cs="Arial"/>
          <w:sz w:val="28"/>
          <w:szCs w:val="28"/>
        </w:rPr>
        <w:t xml:space="preserve"> Publíquese el presente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w:t>
      </w:r>
      <w:r w:rsidRPr="00AC28FC">
        <w:rPr>
          <w:rFonts w:ascii="Arial" w:hAnsi="Arial" w:cs="Arial"/>
          <w:sz w:val="28"/>
          <w:szCs w:val="28"/>
        </w:rPr>
        <w:lastRenderedPageBreak/>
        <w:t>pública; y hágase del conocimiento del Consejo de la Judicatura Federal y, para su cumplimiento, de los Juzgados de Distrito y de los Tribunales Colegiados de Circuito.</w:t>
      </w:r>
    </w:p>
    <w:p w14:paraId="2AE93800" w14:textId="5016131E" w:rsidR="00DA7F0D" w:rsidRDefault="00DA7F0D" w:rsidP="003F5044">
      <w:pPr>
        <w:spacing w:after="0" w:line="480" w:lineRule="auto"/>
        <w:ind w:left="142" w:firstLine="709"/>
        <w:jc w:val="both"/>
        <w:rPr>
          <w:rFonts w:ascii="Arial" w:hAnsi="Arial" w:cs="Arial"/>
          <w:sz w:val="28"/>
          <w:szCs w:val="28"/>
        </w:rPr>
      </w:pPr>
    </w:p>
    <w:p w14:paraId="4496B44B" w14:textId="77777777" w:rsidR="00DA7F0D" w:rsidRPr="00DA7F0D" w:rsidRDefault="00DA7F0D" w:rsidP="00DA7F0D">
      <w:pPr>
        <w:spacing w:after="0" w:line="240" w:lineRule="auto"/>
        <w:ind w:left="142"/>
        <w:jc w:val="center"/>
        <w:rPr>
          <w:rFonts w:ascii="Arial" w:hAnsi="Arial" w:cs="Arial"/>
          <w:color w:val="000000"/>
          <w:sz w:val="28"/>
          <w:szCs w:val="28"/>
        </w:rPr>
      </w:pPr>
      <w:r w:rsidRPr="00DA7F0D">
        <w:rPr>
          <w:rFonts w:ascii="Arial" w:hAnsi="Arial" w:cs="Arial"/>
          <w:b/>
          <w:sz w:val="28"/>
          <w:szCs w:val="28"/>
        </w:rPr>
        <w:t>EL PRESIDENTE DE LA SUPREMA CORTE</w:t>
      </w:r>
    </w:p>
    <w:p w14:paraId="648F78E9" w14:textId="77777777" w:rsidR="00DA7F0D" w:rsidRPr="00DA7F0D" w:rsidRDefault="00DA7F0D" w:rsidP="00DA7F0D">
      <w:pPr>
        <w:spacing w:after="0" w:line="240" w:lineRule="auto"/>
        <w:ind w:left="142"/>
        <w:jc w:val="center"/>
        <w:rPr>
          <w:rFonts w:ascii="Arial" w:hAnsi="Arial" w:cs="Arial"/>
          <w:b/>
          <w:sz w:val="28"/>
          <w:szCs w:val="28"/>
        </w:rPr>
      </w:pPr>
      <w:r w:rsidRPr="00DA7F0D">
        <w:rPr>
          <w:rFonts w:ascii="Arial" w:hAnsi="Arial" w:cs="Arial"/>
          <w:b/>
          <w:sz w:val="28"/>
          <w:szCs w:val="28"/>
        </w:rPr>
        <w:t>DE JUSTICIA DE LA NACIÓN</w:t>
      </w:r>
    </w:p>
    <w:p w14:paraId="6F1E7069" w14:textId="77777777" w:rsidR="00DA7F0D" w:rsidRPr="00DA7F0D" w:rsidRDefault="00DA7F0D" w:rsidP="00DA7F0D">
      <w:pPr>
        <w:spacing w:after="0" w:line="240" w:lineRule="auto"/>
        <w:ind w:left="142"/>
        <w:jc w:val="center"/>
        <w:rPr>
          <w:rFonts w:ascii="Arial" w:hAnsi="Arial" w:cs="Arial"/>
          <w:b/>
          <w:sz w:val="28"/>
          <w:szCs w:val="28"/>
        </w:rPr>
      </w:pPr>
    </w:p>
    <w:p w14:paraId="7DCB7051" w14:textId="77777777" w:rsidR="00DA7F0D" w:rsidRPr="00DA7F0D" w:rsidRDefault="00DA7F0D" w:rsidP="00DA7F0D">
      <w:pPr>
        <w:spacing w:after="0" w:line="240" w:lineRule="auto"/>
        <w:ind w:left="142"/>
        <w:jc w:val="center"/>
        <w:rPr>
          <w:rFonts w:ascii="Arial" w:hAnsi="Arial" w:cs="Arial"/>
          <w:b/>
          <w:sz w:val="28"/>
          <w:szCs w:val="28"/>
        </w:rPr>
      </w:pPr>
    </w:p>
    <w:p w14:paraId="00A0BD27" w14:textId="77777777" w:rsidR="00DA7F0D" w:rsidRPr="00DA7F0D" w:rsidRDefault="00DA7F0D" w:rsidP="00DA7F0D">
      <w:pPr>
        <w:spacing w:after="0" w:line="240" w:lineRule="auto"/>
        <w:ind w:left="142"/>
        <w:jc w:val="center"/>
        <w:rPr>
          <w:rFonts w:ascii="Arial" w:hAnsi="Arial" w:cs="Arial"/>
          <w:b/>
          <w:sz w:val="28"/>
          <w:szCs w:val="28"/>
        </w:rPr>
      </w:pPr>
    </w:p>
    <w:p w14:paraId="31854009" w14:textId="77777777" w:rsidR="00DA7F0D" w:rsidRPr="00DA7F0D" w:rsidRDefault="00DA7F0D" w:rsidP="00DA7F0D">
      <w:pPr>
        <w:spacing w:after="0" w:line="240" w:lineRule="auto"/>
        <w:ind w:left="142"/>
        <w:jc w:val="center"/>
        <w:rPr>
          <w:rFonts w:ascii="Arial" w:hAnsi="Arial" w:cs="Arial"/>
          <w:b/>
          <w:sz w:val="28"/>
          <w:szCs w:val="28"/>
        </w:rPr>
      </w:pPr>
    </w:p>
    <w:p w14:paraId="5FF65BF5" w14:textId="77777777" w:rsidR="00DA7F0D" w:rsidRPr="00DA7F0D" w:rsidRDefault="00DA7F0D" w:rsidP="00DA7F0D">
      <w:pPr>
        <w:tabs>
          <w:tab w:val="left" w:pos="851"/>
        </w:tabs>
        <w:spacing w:after="0" w:line="240" w:lineRule="auto"/>
        <w:ind w:left="426"/>
        <w:jc w:val="center"/>
        <w:rPr>
          <w:rFonts w:ascii="Arial" w:hAnsi="Arial" w:cs="Arial"/>
          <w:b/>
          <w:sz w:val="28"/>
          <w:szCs w:val="28"/>
        </w:rPr>
      </w:pPr>
      <w:r w:rsidRPr="00DA7F0D">
        <w:rPr>
          <w:rFonts w:ascii="Arial" w:hAnsi="Arial" w:cs="Arial"/>
          <w:b/>
          <w:sz w:val="28"/>
          <w:szCs w:val="28"/>
        </w:rPr>
        <w:t>MINISTRO ARTURO ZALDÍVAR LELO DE LARREA</w:t>
      </w:r>
    </w:p>
    <w:p w14:paraId="09329E50" w14:textId="77777777" w:rsidR="00DA7F0D" w:rsidRPr="00DA7F0D" w:rsidRDefault="00DA7F0D" w:rsidP="00DA7F0D">
      <w:pPr>
        <w:tabs>
          <w:tab w:val="left" w:pos="851"/>
        </w:tabs>
        <w:spacing w:after="0" w:line="240" w:lineRule="auto"/>
        <w:ind w:left="426"/>
        <w:jc w:val="center"/>
        <w:rPr>
          <w:rFonts w:ascii="Arial" w:hAnsi="Arial" w:cs="Arial"/>
          <w:b/>
          <w:sz w:val="28"/>
          <w:szCs w:val="28"/>
        </w:rPr>
      </w:pPr>
    </w:p>
    <w:p w14:paraId="75F005D4" w14:textId="77777777" w:rsidR="00DA7F0D" w:rsidRPr="00DA7F0D" w:rsidRDefault="00DA7F0D" w:rsidP="00DA7F0D">
      <w:pPr>
        <w:tabs>
          <w:tab w:val="left" w:pos="851"/>
        </w:tabs>
        <w:spacing w:after="0" w:line="240" w:lineRule="auto"/>
        <w:ind w:left="426"/>
        <w:jc w:val="center"/>
        <w:rPr>
          <w:rFonts w:ascii="Arial" w:hAnsi="Arial" w:cs="Arial"/>
          <w:b/>
          <w:sz w:val="28"/>
          <w:szCs w:val="28"/>
        </w:rPr>
      </w:pPr>
    </w:p>
    <w:p w14:paraId="141C7AA6" w14:textId="77777777" w:rsidR="00DA7F0D" w:rsidRPr="00DA7F0D" w:rsidRDefault="00DA7F0D" w:rsidP="00DA7F0D">
      <w:pPr>
        <w:tabs>
          <w:tab w:val="left" w:pos="851"/>
        </w:tabs>
        <w:spacing w:after="0" w:line="240" w:lineRule="auto"/>
        <w:ind w:left="426"/>
        <w:jc w:val="center"/>
        <w:rPr>
          <w:rFonts w:ascii="Arial" w:hAnsi="Arial" w:cs="Arial"/>
          <w:b/>
          <w:sz w:val="28"/>
          <w:szCs w:val="28"/>
        </w:rPr>
      </w:pPr>
    </w:p>
    <w:p w14:paraId="2399E3AF" w14:textId="77777777" w:rsidR="00DA7F0D" w:rsidRPr="00DA7F0D" w:rsidRDefault="00DA7F0D" w:rsidP="00DA7F0D">
      <w:pPr>
        <w:tabs>
          <w:tab w:val="left" w:pos="851"/>
        </w:tabs>
        <w:spacing w:after="0" w:line="240" w:lineRule="auto"/>
        <w:ind w:left="426"/>
        <w:jc w:val="center"/>
        <w:rPr>
          <w:rFonts w:ascii="Arial" w:hAnsi="Arial" w:cs="Arial"/>
          <w:b/>
          <w:sz w:val="28"/>
          <w:szCs w:val="28"/>
        </w:rPr>
      </w:pPr>
    </w:p>
    <w:p w14:paraId="61C07EF3" w14:textId="77777777" w:rsidR="00DA7F0D" w:rsidRPr="00DA7F0D" w:rsidRDefault="00DA7F0D" w:rsidP="00DA7F0D">
      <w:pPr>
        <w:spacing w:after="0" w:line="240" w:lineRule="auto"/>
        <w:ind w:left="142"/>
        <w:jc w:val="center"/>
        <w:rPr>
          <w:rFonts w:ascii="Arial" w:hAnsi="Arial" w:cs="Arial"/>
          <w:b/>
          <w:sz w:val="28"/>
          <w:szCs w:val="28"/>
        </w:rPr>
      </w:pPr>
      <w:r w:rsidRPr="00DA7F0D">
        <w:rPr>
          <w:rFonts w:ascii="Arial" w:hAnsi="Arial" w:cs="Arial"/>
          <w:b/>
          <w:sz w:val="28"/>
          <w:szCs w:val="28"/>
        </w:rPr>
        <w:t>EL SECRETARIO GENERAL DE ACUERDOS</w:t>
      </w:r>
    </w:p>
    <w:p w14:paraId="30D309F8" w14:textId="77777777" w:rsidR="00DA7F0D" w:rsidRPr="00DA7F0D" w:rsidRDefault="00DA7F0D" w:rsidP="00DA7F0D">
      <w:pPr>
        <w:spacing w:after="0" w:line="240" w:lineRule="auto"/>
        <w:ind w:left="142"/>
        <w:jc w:val="center"/>
        <w:rPr>
          <w:rFonts w:ascii="Arial" w:hAnsi="Arial" w:cs="Arial"/>
          <w:b/>
          <w:sz w:val="28"/>
          <w:szCs w:val="28"/>
        </w:rPr>
      </w:pPr>
    </w:p>
    <w:p w14:paraId="2B3232D5" w14:textId="77777777" w:rsidR="00DA7F0D" w:rsidRPr="00DA7F0D" w:rsidRDefault="00DA7F0D" w:rsidP="00DA7F0D">
      <w:pPr>
        <w:spacing w:after="0" w:line="240" w:lineRule="auto"/>
        <w:ind w:left="142"/>
        <w:jc w:val="center"/>
        <w:rPr>
          <w:rFonts w:ascii="Arial" w:hAnsi="Arial" w:cs="Arial"/>
          <w:b/>
          <w:sz w:val="28"/>
          <w:szCs w:val="28"/>
        </w:rPr>
      </w:pPr>
    </w:p>
    <w:p w14:paraId="3FD4D0A6" w14:textId="77777777" w:rsidR="00DA7F0D" w:rsidRPr="00DA7F0D" w:rsidRDefault="00DA7F0D" w:rsidP="00DA7F0D">
      <w:pPr>
        <w:spacing w:after="0" w:line="240" w:lineRule="auto"/>
        <w:ind w:left="142"/>
        <w:jc w:val="center"/>
        <w:rPr>
          <w:rFonts w:ascii="Arial" w:hAnsi="Arial" w:cs="Arial"/>
          <w:b/>
          <w:sz w:val="28"/>
          <w:szCs w:val="28"/>
        </w:rPr>
      </w:pPr>
    </w:p>
    <w:p w14:paraId="62553DC7" w14:textId="77777777" w:rsidR="00DA7F0D" w:rsidRPr="00DA7F0D" w:rsidRDefault="00DA7F0D" w:rsidP="00DA7F0D">
      <w:pPr>
        <w:spacing w:after="0" w:line="240" w:lineRule="auto"/>
        <w:ind w:left="142"/>
        <w:jc w:val="center"/>
        <w:rPr>
          <w:rFonts w:ascii="Arial" w:hAnsi="Arial" w:cs="Arial"/>
          <w:b/>
          <w:sz w:val="28"/>
          <w:szCs w:val="28"/>
        </w:rPr>
      </w:pPr>
    </w:p>
    <w:p w14:paraId="7B2FF473" w14:textId="77777777" w:rsidR="00DA7F0D" w:rsidRPr="00DA7F0D" w:rsidRDefault="00DA7F0D" w:rsidP="00DA7F0D">
      <w:pPr>
        <w:spacing w:after="0" w:line="240" w:lineRule="auto"/>
        <w:ind w:left="142"/>
        <w:jc w:val="center"/>
        <w:rPr>
          <w:rFonts w:ascii="Arial" w:hAnsi="Arial" w:cs="Arial"/>
          <w:b/>
          <w:sz w:val="28"/>
          <w:szCs w:val="28"/>
        </w:rPr>
      </w:pPr>
      <w:r w:rsidRPr="00DA7F0D">
        <w:rPr>
          <w:rFonts w:ascii="Arial" w:hAnsi="Arial" w:cs="Arial"/>
          <w:b/>
          <w:sz w:val="28"/>
          <w:szCs w:val="28"/>
        </w:rPr>
        <w:t>LIC. RAFAEL COELLO CETINA</w:t>
      </w:r>
    </w:p>
    <w:p w14:paraId="79C1D4F6" w14:textId="77777777" w:rsidR="00DA7F0D" w:rsidRPr="00DA7F0D" w:rsidRDefault="00DA7F0D" w:rsidP="00DA7F0D">
      <w:pPr>
        <w:spacing w:after="0" w:line="240" w:lineRule="auto"/>
        <w:rPr>
          <w:rFonts w:ascii="Arial" w:hAnsi="Arial" w:cs="Arial"/>
          <w:sz w:val="28"/>
          <w:szCs w:val="28"/>
        </w:rPr>
      </w:pPr>
    </w:p>
    <w:p w14:paraId="1C13E4DE" w14:textId="0B8205B0" w:rsidR="00DA7F0D" w:rsidRDefault="00DA7F0D" w:rsidP="00DA7F0D">
      <w:pPr>
        <w:spacing w:after="0" w:line="240" w:lineRule="auto"/>
        <w:rPr>
          <w:rFonts w:ascii="Arial" w:hAnsi="Arial" w:cs="Arial"/>
          <w:sz w:val="28"/>
          <w:szCs w:val="28"/>
        </w:rPr>
      </w:pPr>
    </w:p>
    <w:p w14:paraId="1620D701" w14:textId="04E4FF55" w:rsidR="000D3A5C" w:rsidRDefault="000D3A5C" w:rsidP="00DA7F0D">
      <w:pPr>
        <w:spacing w:after="0" w:line="240" w:lineRule="auto"/>
        <w:rPr>
          <w:rFonts w:ascii="Arial" w:hAnsi="Arial" w:cs="Arial"/>
          <w:sz w:val="28"/>
          <w:szCs w:val="28"/>
        </w:rPr>
      </w:pPr>
    </w:p>
    <w:p w14:paraId="60241BAC" w14:textId="77777777" w:rsidR="000D3A5C" w:rsidRPr="00DA7F0D" w:rsidRDefault="000D3A5C" w:rsidP="00DA7F0D">
      <w:pPr>
        <w:spacing w:after="0" w:line="240" w:lineRule="auto"/>
        <w:rPr>
          <w:rFonts w:ascii="Arial" w:hAnsi="Arial" w:cs="Arial"/>
          <w:sz w:val="28"/>
          <w:szCs w:val="28"/>
        </w:rPr>
      </w:pPr>
    </w:p>
    <w:p w14:paraId="79E84BCC" w14:textId="2187157D" w:rsidR="00DA7F0D" w:rsidRPr="00B435F0" w:rsidRDefault="00DA7F0D" w:rsidP="00380C6C">
      <w:pPr>
        <w:pStyle w:val="NormalWeb"/>
        <w:spacing w:before="0" w:beforeAutospacing="0" w:after="0" w:afterAutospacing="0"/>
        <w:ind w:left="142"/>
        <w:jc w:val="both"/>
        <w:rPr>
          <w:rFonts w:ascii="Arial" w:hAnsi="Arial" w:cs="Arial"/>
          <w:b/>
          <w:bCs/>
          <w:sz w:val="28"/>
          <w:szCs w:val="28"/>
          <w:lang w:val="es-MX"/>
        </w:rPr>
      </w:pPr>
      <w:r w:rsidRPr="00B435F0">
        <w:rPr>
          <w:rFonts w:ascii="Arial" w:hAnsi="Arial" w:cs="Arial"/>
          <w:b/>
          <w:sz w:val="28"/>
          <w:szCs w:val="28"/>
        </w:rPr>
        <w:t xml:space="preserve">El licenciado Rafael Coello Cetina, Secretario General de Acuerdos de la Suprema Corte de Justicia de la Nación, - - - - - - - - - - - - - - - - - - - - - - - - - - - - - - - - - - - - - - - - - - - - - - - - - - - -C E R T I F I C A:- - - - - - - - - - - - - - Este </w:t>
      </w:r>
      <w:r w:rsidR="00A136E6" w:rsidRPr="00B435F0">
        <w:rPr>
          <w:rFonts w:ascii="Arial" w:hAnsi="Arial" w:cs="Arial"/>
          <w:b/>
          <w:sz w:val="28"/>
          <w:szCs w:val="28"/>
        </w:rPr>
        <w:t xml:space="preserve">ACUERDO GENERAL NÚMERO 7/2022, DE DIEZ DE OCTUBRE DE DOS MIL VEINTIDÓS, DEL PLENO DE LA SUPREMA CORTE DE JUSTICIA DE LA NACIÓN, POR EL QUE SE LEVANTA EL APLAZAMIENTO EN EL DICTADO DE LA RESOLUCIÓN DE LOS AMPAROS EN REVISIÓN DEL CONOCIMIENTO DE LOS TRIBUNALES COLEGIADOS DE CIRCUITO PRIMERO Y SEGUNDO EN MATERIA ADMINISTRATIVA, ESPECIALIZADOS EN COMPETENCIA ECONÓMICA, RADIODIFUSIÓN Y TELECOMUNICACIONES, CON RESIDENCIA EN LA </w:t>
      </w:r>
      <w:r w:rsidR="00A136E6" w:rsidRPr="00B435F0">
        <w:rPr>
          <w:rFonts w:ascii="Arial" w:hAnsi="Arial" w:cs="Arial"/>
          <w:b/>
          <w:sz w:val="28"/>
          <w:szCs w:val="28"/>
        </w:rPr>
        <w:lastRenderedPageBreak/>
        <w:t>CIUDAD DE MÉXICO Y JURISDICCIÓN EN TODA LA REPÚBLICA, O RADICADOS EN CUALQUIER OTRO TRIBUNAL COLEGIADO DE CIRCUITO, EN LOS QUE SUBSISTA EL PROBLEMA DE CONSTITUCIONALIDAD DEL DECRETO POR EL QUE SE REFORMAN Y ADICIONAN DIVERSAS DISPOSICIONES DE LA LEY DE LA INDUSTRIA ELÉCTRICA, PUBLICADO EN EL DIARIO OFICIAL DE LA FEDERACIÓN DEL NUEVE DE MARZO DE DOS MIL VEINTIUNO; RELACIONADO CON EL DIVERSO 3/2022, DE DIECISIETE DE FEBRERO DE DOS MIL VEINTIDÓS</w:t>
      </w:r>
      <w:r w:rsidRPr="00B435F0">
        <w:rPr>
          <w:rFonts w:ascii="Arial" w:hAnsi="Arial" w:cs="Arial"/>
          <w:b/>
          <w:sz w:val="28"/>
          <w:szCs w:val="28"/>
        </w:rPr>
        <w:t xml:space="preserve">, </w:t>
      </w:r>
      <w:r w:rsidR="00380C6C" w:rsidRPr="00B435F0">
        <w:rPr>
          <w:rFonts w:ascii="Arial" w:hAnsi="Arial" w:cs="Arial"/>
          <w:b/>
          <w:sz w:val="28"/>
          <w:szCs w:val="28"/>
        </w:rPr>
        <w:t xml:space="preserve">fue emitido por el Tribunal Pleno en Sesión Privada celebrada el día de hoy, por unanimidad de </w:t>
      </w:r>
      <w:r w:rsidR="00380C6C" w:rsidRPr="00B435F0">
        <w:rPr>
          <w:rFonts w:ascii="Arial" w:hAnsi="Arial" w:cs="Arial"/>
          <w:b/>
          <w:sz w:val="28"/>
          <w:szCs w:val="28"/>
        </w:rPr>
        <w:t>nueve</w:t>
      </w:r>
      <w:r w:rsidR="00380C6C" w:rsidRPr="00B435F0">
        <w:rPr>
          <w:rFonts w:ascii="Arial" w:hAnsi="Arial" w:cs="Arial"/>
          <w:b/>
          <w:sz w:val="28"/>
          <w:szCs w:val="28"/>
        </w:rPr>
        <w:t xml:space="preserve"> votos de las señoras Ministras y de los señores Ministros Alfredo Gutiérrez Ortiz Mena, Juan Luis González Alcántara Carrancá, Yasmín Esquivel </w:t>
      </w:r>
      <w:proofErr w:type="spellStart"/>
      <w:r w:rsidR="00380C6C" w:rsidRPr="00B435F0">
        <w:rPr>
          <w:rFonts w:ascii="Arial" w:hAnsi="Arial" w:cs="Arial"/>
          <w:b/>
          <w:sz w:val="28"/>
          <w:szCs w:val="28"/>
        </w:rPr>
        <w:t>Mossa</w:t>
      </w:r>
      <w:proofErr w:type="spellEnd"/>
      <w:r w:rsidR="00380C6C" w:rsidRPr="00B435F0">
        <w:rPr>
          <w:rFonts w:ascii="Arial" w:hAnsi="Arial" w:cs="Arial"/>
          <w:b/>
          <w:sz w:val="28"/>
          <w:szCs w:val="28"/>
        </w:rPr>
        <w:t xml:space="preserve">, Loretta Ortiz </w:t>
      </w:r>
      <w:proofErr w:type="spellStart"/>
      <w:r w:rsidR="00380C6C" w:rsidRPr="00B435F0">
        <w:rPr>
          <w:rFonts w:ascii="Arial" w:hAnsi="Arial" w:cs="Arial"/>
          <w:b/>
          <w:sz w:val="28"/>
          <w:szCs w:val="28"/>
        </w:rPr>
        <w:t>Ahlf</w:t>
      </w:r>
      <w:proofErr w:type="spellEnd"/>
      <w:r w:rsidR="00380C6C" w:rsidRPr="00B435F0">
        <w:rPr>
          <w:rFonts w:ascii="Arial" w:hAnsi="Arial" w:cs="Arial"/>
          <w:b/>
          <w:sz w:val="28"/>
          <w:szCs w:val="28"/>
        </w:rPr>
        <w:t>, Luis María Aguilar Morales, Norma Lucía Piña Hernández, Javier Laynez Potisek, Alberto Pérez Dayán y Presidente Arturo Zaldívar Lelo de Larrea.- - - - - - - - - - - - - - - - - - -</w:t>
      </w:r>
      <w:r w:rsidR="00380C6C" w:rsidRPr="00B435F0">
        <w:rPr>
          <w:rFonts w:ascii="Arial" w:hAnsi="Arial" w:cs="Arial"/>
          <w:b/>
          <w:sz w:val="28"/>
          <w:szCs w:val="28"/>
        </w:rPr>
        <w:t xml:space="preserve"> - - - - -</w:t>
      </w:r>
      <w:r w:rsidRPr="00B435F0">
        <w:rPr>
          <w:rFonts w:ascii="Arial" w:hAnsi="Arial" w:cs="Arial"/>
          <w:b/>
          <w:sz w:val="28"/>
          <w:szCs w:val="28"/>
        </w:rPr>
        <w:t xml:space="preserve">. La señora Ministra Ana Margarita Ríos </w:t>
      </w:r>
      <w:proofErr w:type="spellStart"/>
      <w:r w:rsidRPr="00B435F0">
        <w:rPr>
          <w:rFonts w:ascii="Arial" w:hAnsi="Arial" w:cs="Arial"/>
          <w:b/>
          <w:sz w:val="28"/>
          <w:szCs w:val="28"/>
        </w:rPr>
        <w:t>Farjat</w:t>
      </w:r>
      <w:proofErr w:type="spellEnd"/>
      <w:r w:rsidRPr="00B435F0">
        <w:rPr>
          <w:rFonts w:ascii="Arial" w:hAnsi="Arial" w:cs="Arial"/>
          <w:b/>
          <w:sz w:val="28"/>
          <w:szCs w:val="28"/>
        </w:rPr>
        <w:t xml:space="preserve"> </w:t>
      </w:r>
      <w:r w:rsidR="00380C6C" w:rsidRPr="00B435F0">
        <w:rPr>
          <w:rFonts w:ascii="Arial" w:hAnsi="Arial" w:cs="Arial"/>
          <w:b/>
          <w:sz w:val="28"/>
          <w:szCs w:val="28"/>
        </w:rPr>
        <w:t xml:space="preserve">y el señor Ministro </w:t>
      </w:r>
      <w:r w:rsidR="00380C6C" w:rsidRPr="00B435F0">
        <w:rPr>
          <w:rFonts w:ascii="Arial" w:hAnsi="Arial" w:cs="Arial"/>
          <w:b/>
          <w:sz w:val="28"/>
          <w:szCs w:val="28"/>
        </w:rPr>
        <w:t>Jorge Mario Pardo Rebolledo</w:t>
      </w:r>
      <w:r w:rsidR="00380C6C" w:rsidRPr="00B435F0">
        <w:rPr>
          <w:rFonts w:ascii="Arial" w:hAnsi="Arial" w:cs="Arial"/>
          <w:b/>
          <w:sz w:val="28"/>
          <w:szCs w:val="28"/>
        </w:rPr>
        <w:t xml:space="preserve"> </w:t>
      </w:r>
      <w:r w:rsidRPr="00B435F0">
        <w:rPr>
          <w:rFonts w:ascii="Arial" w:hAnsi="Arial" w:cs="Arial"/>
          <w:b/>
          <w:sz w:val="28"/>
          <w:szCs w:val="28"/>
        </w:rPr>
        <w:t>estuv</w:t>
      </w:r>
      <w:r w:rsidR="00380C6C" w:rsidRPr="00B435F0">
        <w:rPr>
          <w:rFonts w:ascii="Arial" w:hAnsi="Arial" w:cs="Arial"/>
          <w:b/>
          <w:sz w:val="28"/>
          <w:szCs w:val="28"/>
        </w:rPr>
        <w:t>ieron ausentes</w:t>
      </w:r>
      <w:r w:rsidR="00380C6C" w:rsidRPr="00B435F0">
        <w:rPr>
          <w:rFonts w:ascii="Arial" w:hAnsi="Arial" w:cs="Arial"/>
          <w:b/>
          <w:sz w:val="28"/>
          <w:szCs w:val="28"/>
        </w:rPr>
        <w:t>,</w:t>
      </w:r>
      <w:r w:rsidR="00380C6C" w:rsidRPr="00B435F0">
        <w:rPr>
          <w:rFonts w:ascii="Arial" w:hAnsi="Arial" w:cs="Arial"/>
          <w:b/>
          <w:sz w:val="28"/>
          <w:szCs w:val="28"/>
        </w:rPr>
        <w:t xml:space="preserve"> </w:t>
      </w:r>
      <w:r w:rsidRPr="00B435F0">
        <w:rPr>
          <w:rFonts w:ascii="Arial" w:hAnsi="Arial" w:cs="Arial"/>
          <w:b/>
          <w:sz w:val="28"/>
          <w:szCs w:val="28"/>
        </w:rPr>
        <w:t xml:space="preserve">previo </w:t>
      </w:r>
      <w:proofErr w:type="gramStart"/>
      <w:r w:rsidRPr="00B435F0">
        <w:rPr>
          <w:rFonts w:ascii="Arial" w:hAnsi="Arial" w:cs="Arial"/>
          <w:b/>
          <w:sz w:val="28"/>
          <w:szCs w:val="28"/>
        </w:rPr>
        <w:t>aviso.-</w:t>
      </w:r>
      <w:proofErr w:type="gramEnd"/>
      <w:r w:rsidRPr="00B435F0">
        <w:rPr>
          <w:rFonts w:ascii="Arial" w:hAnsi="Arial" w:cs="Arial"/>
          <w:b/>
          <w:sz w:val="28"/>
          <w:szCs w:val="28"/>
        </w:rPr>
        <w:t xml:space="preserve"> - - - - - - - - - - - - - - - - - - - - - - - - Ciudad de México, a </w:t>
      </w:r>
      <w:r w:rsidR="00380C6C" w:rsidRPr="00B435F0">
        <w:rPr>
          <w:rFonts w:ascii="Arial" w:hAnsi="Arial" w:cs="Arial"/>
          <w:b/>
          <w:sz w:val="28"/>
          <w:szCs w:val="28"/>
        </w:rPr>
        <w:t>diez de octubre</w:t>
      </w:r>
      <w:r w:rsidRPr="00B435F0">
        <w:rPr>
          <w:rFonts w:ascii="Arial" w:hAnsi="Arial" w:cs="Arial"/>
          <w:b/>
          <w:sz w:val="28"/>
          <w:szCs w:val="28"/>
        </w:rPr>
        <w:t xml:space="preserve"> de dos mil veintidós.- - - - - - - - - - - - - - - - - - - - - - - - - - - - - - - - - - -</w:t>
      </w:r>
    </w:p>
    <w:sectPr w:rsidR="00DA7F0D" w:rsidRPr="00B435F0" w:rsidSect="001E20F2">
      <w:headerReference w:type="default" r:id="rId8"/>
      <w:footerReference w:type="default" r:id="rId9"/>
      <w:pgSz w:w="12240" w:h="19293" w:code="305"/>
      <w:pgMar w:top="2835" w:right="1418" w:bottom="1701"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039C3" w14:textId="77777777" w:rsidR="00150F2E" w:rsidRDefault="00150F2E" w:rsidP="009D1B0E">
      <w:pPr>
        <w:spacing w:after="0" w:line="240" w:lineRule="auto"/>
      </w:pPr>
      <w:r>
        <w:separator/>
      </w:r>
    </w:p>
  </w:endnote>
  <w:endnote w:type="continuationSeparator" w:id="0">
    <w:p w14:paraId="3AA2945A" w14:textId="77777777" w:rsidR="00150F2E" w:rsidRDefault="00150F2E" w:rsidP="009D1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EC13E" w14:textId="3E7F586C" w:rsidR="009D1B0E" w:rsidRDefault="00000000" w:rsidP="009D1B0E">
    <w:pPr>
      <w:pStyle w:val="Piedepgina"/>
      <w:jc w:val="center"/>
      <w:rPr>
        <w:rFonts w:ascii="Arial" w:hAnsi="Arial" w:cs="Arial"/>
        <w:b/>
        <w:sz w:val="28"/>
        <w:szCs w:val="28"/>
      </w:rPr>
    </w:pPr>
    <w:sdt>
      <w:sdtPr>
        <w:id w:val="29536530"/>
        <w:docPartObj>
          <w:docPartGallery w:val="Page Numbers (Bottom of Page)"/>
          <w:docPartUnique/>
        </w:docPartObj>
      </w:sdtPr>
      <w:sdtEndPr>
        <w:rPr>
          <w:rFonts w:ascii="Arial" w:hAnsi="Arial" w:cs="Arial"/>
          <w:b/>
          <w:sz w:val="28"/>
          <w:szCs w:val="28"/>
        </w:rPr>
      </w:sdtEndPr>
      <w:sdtContent>
        <w:r w:rsidR="009D1B0E">
          <w:rPr>
            <w:rFonts w:ascii="Arial" w:hAnsi="Arial" w:cs="Arial"/>
            <w:b/>
            <w:sz w:val="28"/>
            <w:szCs w:val="28"/>
          </w:rPr>
          <w:t>-</w:t>
        </w:r>
        <w:r w:rsidR="009D1B0E" w:rsidRPr="009D1B0E">
          <w:rPr>
            <w:rFonts w:ascii="Arial" w:hAnsi="Arial" w:cs="Arial"/>
            <w:b/>
            <w:sz w:val="28"/>
            <w:szCs w:val="28"/>
          </w:rPr>
          <w:fldChar w:fldCharType="begin"/>
        </w:r>
        <w:r w:rsidR="009D1B0E" w:rsidRPr="009D1B0E">
          <w:rPr>
            <w:rFonts w:ascii="Arial" w:hAnsi="Arial" w:cs="Arial"/>
            <w:b/>
            <w:sz w:val="28"/>
            <w:szCs w:val="28"/>
          </w:rPr>
          <w:instrText>PAGE   \* MERGEFORMAT</w:instrText>
        </w:r>
        <w:r w:rsidR="009D1B0E" w:rsidRPr="009D1B0E">
          <w:rPr>
            <w:rFonts w:ascii="Arial" w:hAnsi="Arial" w:cs="Arial"/>
            <w:b/>
            <w:sz w:val="28"/>
            <w:szCs w:val="28"/>
          </w:rPr>
          <w:fldChar w:fldCharType="separate"/>
        </w:r>
        <w:r w:rsidR="001B0B83" w:rsidRPr="001B0B83">
          <w:rPr>
            <w:rFonts w:ascii="Arial" w:hAnsi="Arial" w:cs="Arial"/>
            <w:b/>
            <w:noProof/>
            <w:sz w:val="28"/>
            <w:szCs w:val="28"/>
            <w:lang w:val="es-ES"/>
          </w:rPr>
          <w:t>7</w:t>
        </w:r>
        <w:r w:rsidR="009D1B0E" w:rsidRPr="009D1B0E">
          <w:rPr>
            <w:rFonts w:ascii="Arial" w:hAnsi="Arial" w:cs="Arial"/>
            <w:b/>
            <w:sz w:val="28"/>
            <w:szCs w:val="28"/>
          </w:rPr>
          <w:fldChar w:fldCharType="end"/>
        </w:r>
      </w:sdtContent>
    </w:sdt>
    <w:r w:rsidR="009D1B0E">
      <w:rPr>
        <w:rFonts w:ascii="Arial" w:hAnsi="Arial" w:cs="Arial"/>
        <w:b/>
        <w:sz w:val="28"/>
        <w:szCs w:val="28"/>
      </w:rPr>
      <w:t>-</w:t>
    </w:r>
  </w:p>
  <w:p w14:paraId="366FFD7A" w14:textId="62CC2EE0" w:rsidR="00A408E7" w:rsidRPr="00A408E7" w:rsidRDefault="00A408E7" w:rsidP="00FF588A">
    <w:pPr>
      <w:pStyle w:val="Piedepgina"/>
      <w:rPr>
        <w:rFonts w:ascii="Arial" w:hAnsi="Arial" w:cs="Arial"/>
        <w:b/>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35FB8" w14:textId="77777777" w:rsidR="00150F2E" w:rsidRDefault="00150F2E" w:rsidP="009D1B0E">
      <w:pPr>
        <w:spacing w:after="0" w:line="240" w:lineRule="auto"/>
      </w:pPr>
      <w:r>
        <w:separator/>
      </w:r>
    </w:p>
  </w:footnote>
  <w:footnote w:type="continuationSeparator" w:id="0">
    <w:p w14:paraId="3620CDA3" w14:textId="77777777" w:rsidR="00150F2E" w:rsidRDefault="00150F2E" w:rsidP="009D1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3D1F" w14:textId="022DB4F0" w:rsidR="009D1B0E" w:rsidRPr="009D1B0E" w:rsidRDefault="009D1B0E" w:rsidP="009D1B0E">
    <w:pPr>
      <w:pStyle w:val="Encabezado"/>
      <w:jc w:val="center"/>
      <w:rPr>
        <w:rFonts w:ascii="Arial" w:hAnsi="Arial" w:cs="Arial"/>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914E1"/>
    <w:multiLevelType w:val="singleLevel"/>
    <w:tmpl w:val="BE741BC4"/>
    <w:lvl w:ilvl="0">
      <w:start w:val="1"/>
      <w:numFmt w:val="upperLetter"/>
      <w:lvlText w:val="%1)"/>
      <w:lvlJc w:val="left"/>
      <w:pPr>
        <w:tabs>
          <w:tab w:val="num" w:pos="2487"/>
        </w:tabs>
        <w:ind w:left="2487" w:hanging="360"/>
      </w:pPr>
      <w:rPr>
        <w:rFonts w:hint="default"/>
        <w:b/>
      </w:rPr>
    </w:lvl>
  </w:abstractNum>
  <w:abstractNum w:abstractNumId="1" w15:restartNumberingAfterBreak="0">
    <w:nsid w:val="59C23D38"/>
    <w:multiLevelType w:val="singleLevel"/>
    <w:tmpl w:val="641850E8"/>
    <w:lvl w:ilvl="0">
      <w:start w:val="1"/>
      <w:numFmt w:val="upperRoman"/>
      <w:lvlText w:val="%1."/>
      <w:lvlJc w:val="left"/>
      <w:pPr>
        <w:tabs>
          <w:tab w:val="num" w:pos="2847"/>
        </w:tabs>
        <w:ind w:left="2847" w:hanging="720"/>
      </w:pPr>
      <w:rPr>
        <w:rFonts w:hint="default"/>
        <w:b/>
      </w:rPr>
    </w:lvl>
  </w:abstractNum>
  <w:num w:numId="1" w16cid:durableId="428618960">
    <w:abstractNumId w:val="1"/>
  </w:num>
  <w:num w:numId="2" w16cid:durableId="1210458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F92"/>
    <w:rsid w:val="0001229A"/>
    <w:rsid w:val="00013D9F"/>
    <w:rsid w:val="000228C0"/>
    <w:rsid w:val="00026DB7"/>
    <w:rsid w:val="00033F7F"/>
    <w:rsid w:val="00034AC3"/>
    <w:rsid w:val="00036C76"/>
    <w:rsid w:val="00042D6D"/>
    <w:rsid w:val="00056CCB"/>
    <w:rsid w:val="00066AF8"/>
    <w:rsid w:val="00072D0B"/>
    <w:rsid w:val="000764D2"/>
    <w:rsid w:val="00077440"/>
    <w:rsid w:val="0008629D"/>
    <w:rsid w:val="00095E50"/>
    <w:rsid w:val="000B279A"/>
    <w:rsid w:val="000B3967"/>
    <w:rsid w:val="000C7966"/>
    <w:rsid w:val="000D3A5C"/>
    <w:rsid w:val="000D61F0"/>
    <w:rsid w:val="000E7F92"/>
    <w:rsid w:val="000F1E4D"/>
    <w:rsid w:val="000F37CC"/>
    <w:rsid w:val="000F52D1"/>
    <w:rsid w:val="001031D0"/>
    <w:rsid w:val="001051D3"/>
    <w:rsid w:val="00106859"/>
    <w:rsid w:val="00106D9E"/>
    <w:rsid w:val="00130F27"/>
    <w:rsid w:val="00131312"/>
    <w:rsid w:val="00134116"/>
    <w:rsid w:val="00150F2E"/>
    <w:rsid w:val="00163F80"/>
    <w:rsid w:val="0016717C"/>
    <w:rsid w:val="00172EDC"/>
    <w:rsid w:val="00174727"/>
    <w:rsid w:val="00176887"/>
    <w:rsid w:val="00177127"/>
    <w:rsid w:val="001817F3"/>
    <w:rsid w:val="0018427E"/>
    <w:rsid w:val="00186F3F"/>
    <w:rsid w:val="00192A22"/>
    <w:rsid w:val="00193244"/>
    <w:rsid w:val="001A1A83"/>
    <w:rsid w:val="001A563D"/>
    <w:rsid w:val="001B0B83"/>
    <w:rsid w:val="001B26DA"/>
    <w:rsid w:val="001B32AC"/>
    <w:rsid w:val="001B3684"/>
    <w:rsid w:val="001B5901"/>
    <w:rsid w:val="001C1918"/>
    <w:rsid w:val="001D34F0"/>
    <w:rsid w:val="001D5122"/>
    <w:rsid w:val="001D5D77"/>
    <w:rsid w:val="001E0862"/>
    <w:rsid w:val="001E20F2"/>
    <w:rsid w:val="001F4B65"/>
    <w:rsid w:val="00202851"/>
    <w:rsid w:val="00220098"/>
    <w:rsid w:val="00223846"/>
    <w:rsid w:val="00237D21"/>
    <w:rsid w:val="002422D4"/>
    <w:rsid w:val="00250CB3"/>
    <w:rsid w:val="00250EA9"/>
    <w:rsid w:val="002605CD"/>
    <w:rsid w:val="002618E5"/>
    <w:rsid w:val="002634A3"/>
    <w:rsid w:val="0026578D"/>
    <w:rsid w:val="00266204"/>
    <w:rsid w:val="00270774"/>
    <w:rsid w:val="002A03A5"/>
    <w:rsid w:val="002A334C"/>
    <w:rsid w:val="002A3A21"/>
    <w:rsid w:val="002B2A48"/>
    <w:rsid w:val="002C5D6F"/>
    <w:rsid w:val="002C7771"/>
    <w:rsid w:val="002E0FC1"/>
    <w:rsid w:val="002F0903"/>
    <w:rsid w:val="00301216"/>
    <w:rsid w:val="00301A85"/>
    <w:rsid w:val="00302AF1"/>
    <w:rsid w:val="00306BEA"/>
    <w:rsid w:val="003111D0"/>
    <w:rsid w:val="00323227"/>
    <w:rsid w:val="00324D8A"/>
    <w:rsid w:val="00326BF6"/>
    <w:rsid w:val="00331089"/>
    <w:rsid w:val="0033275B"/>
    <w:rsid w:val="00336959"/>
    <w:rsid w:val="00336F8E"/>
    <w:rsid w:val="003400F4"/>
    <w:rsid w:val="00342952"/>
    <w:rsid w:val="00343C66"/>
    <w:rsid w:val="003518BC"/>
    <w:rsid w:val="00356D15"/>
    <w:rsid w:val="00360027"/>
    <w:rsid w:val="00360C00"/>
    <w:rsid w:val="00360DEE"/>
    <w:rsid w:val="0036648B"/>
    <w:rsid w:val="00371184"/>
    <w:rsid w:val="00380122"/>
    <w:rsid w:val="00380C6C"/>
    <w:rsid w:val="00380EBF"/>
    <w:rsid w:val="003844FD"/>
    <w:rsid w:val="003A0F23"/>
    <w:rsid w:val="003A1692"/>
    <w:rsid w:val="003A3654"/>
    <w:rsid w:val="003A608C"/>
    <w:rsid w:val="003A6C8A"/>
    <w:rsid w:val="003B122B"/>
    <w:rsid w:val="003C421D"/>
    <w:rsid w:val="003C606E"/>
    <w:rsid w:val="003C7575"/>
    <w:rsid w:val="003D190E"/>
    <w:rsid w:val="003D29F7"/>
    <w:rsid w:val="003E7F19"/>
    <w:rsid w:val="003F5044"/>
    <w:rsid w:val="00410CEA"/>
    <w:rsid w:val="00430B98"/>
    <w:rsid w:val="004365D6"/>
    <w:rsid w:val="00453CFA"/>
    <w:rsid w:val="00465188"/>
    <w:rsid w:val="00470693"/>
    <w:rsid w:val="00482401"/>
    <w:rsid w:val="004836D0"/>
    <w:rsid w:val="004854BE"/>
    <w:rsid w:val="00490625"/>
    <w:rsid w:val="00493400"/>
    <w:rsid w:val="00497B24"/>
    <w:rsid w:val="004A1664"/>
    <w:rsid w:val="004A1DBF"/>
    <w:rsid w:val="004A2027"/>
    <w:rsid w:val="004B72A3"/>
    <w:rsid w:val="004C05AD"/>
    <w:rsid w:val="004C15B2"/>
    <w:rsid w:val="004C4D01"/>
    <w:rsid w:val="004C697E"/>
    <w:rsid w:val="004D308C"/>
    <w:rsid w:val="004D3D92"/>
    <w:rsid w:val="004E6F5D"/>
    <w:rsid w:val="004F247E"/>
    <w:rsid w:val="004F6C9D"/>
    <w:rsid w:val="005008D3"/>
    <w:rsid w:val="0050564C"/>
    <w:rsid w:val="005132E6"/>
    <w:rsid w:val="005136DB"/>
    <w:rsid w:val="00522A87"/>
    <w:rsid w:val="00534142"/>
    <w:rsid w:val="00542460"/>
    <w:rsid w:val="0055419B"/>
    <w:rsid w:val="00590748"/>
    <w:rsid w:val="005C1AF1"/>
    <w:rsid w:val="005C4C0B"/>
    <w:rsid w:val="005D4277"/>
    <w:rsid w:val="005E18F4"/>
    <w:rsid w:val="005E58A9"/>
    <w:rsid w:val="005F01A3"/>
    <w:rsid w:val="005F6690"/>
    <w:rsid w:val="005F7686"/>
    <w:rsid w:val="006150A6"/>
    <w:rsid w:val="00622238"/>
    <w:rsid w:val="0062459D"/>
    <w:rsid w:val="00636ED4"/>
    <w:rsid w:val="00637C54"/>
    <w:rsid w:val="0064603E"/>
    <w:rsid w:val="00647EB6"/>
    <w:rsid w:val="00650BD2"/>
    <w:rsid w:val="00655FBB"/>
    <w:rsid w:val="0065680B"/>
    <w:rsid w:val="00676663"/>
    <w:rsid w:val="00682AC6"/>
    <w:rsid w:val="0068615D"/>
    <w:rsid w:val="00687ADB"/>
    <w:rsid w:val="006A5F42"/>
    <w:rsid w:val="006C29F9"/>
    <w:rsid w:val="006D7962"/>
    <w:rsid w:val="006E276B"/>
    <w:rsid w:val="006E3AF8"/>
    <w:rsid w:val="006E69F4"/>
    <w:rsid w:val="00702327"/>
    <w:rsid w:val="00703AB9"/>
    <w:rsid w:val="00707602"/>
    <w:rsid w:val="007107B3"/>
    <w:rsid w:val="00713833"/>
    <w:rsid w:val="00724D87"/>
    <w:rsid w:val="00731A43"/>
    <w:rsid w:val="007324DE"/>
    <w:rsid w:val="00754EFB"/>
    <w:rsid w:val="00764D67"/>
    <w:rsid w:val="00775981"/>
    <w:rsid w:val="0077608A"/>
    <w:rsid w:val="007813D5"/>
    <w:rsid w:val="00792B56"/>
    <w:rsid w:val="007968FF"/>
    <w:rsid w:val="00796F8F"/>
    <w:rsid w:val="007A0EDA"/>
    <w:rsid w:val="007C138E"/>
    <w:rsid w:val="007C1598"/>
    <w:rsid w:val="007D6336"/>
    <w:rsid w:val="007F1720"/>
    <w:rsid w:val="007F75D1"/>
    <w:rsid w:val="00805A55"/>
    <w:rsid w:val="00807DE8"/>
    <w:rsid w:val="0085179D"/>
    <w:rsid w:val="00864FDA"/>
    <w:rsid w:val="008672B2"/>
    <w:rsid w:val="00867FE7"/>
    <w:rsid w:val="00885F59"/>
    <w:rsid w:val="008A55D1"/>
    <w:rsid w:val="008A6123"/>
    <w:rsid w:val="008A7185"/>
    <w:rsid w:val="008A74DA"/>
    <w:rsid w:val="008B0762"/>
    <w:rsid w:val="008B48AD"/>
    <w:rsid w:val="008C2FEA"/>
    <w:rsid w:val="008D120D"/>
    <w:rsid w:val="008D1C35"/>
    <w:rsid w:val="008F55E5"/>
    <w:rsid w:val="008F71B1"/>
    <w:rsid w:val="009116DA"/>
    <w:rsid w:val="0091225F"/>
    <w:rsid w:val="00916F91"/>
    <w:rsid w:val="0092037F"/>
    <w:rsid w:val="00960F82"/>
    <w:rsid w:val="00973626"/>
    <w:rsid w:val="00977346"/>
    <w:rsid w:val="0098205D"/>
    <w:rsid w:val="00991496"/>
    <w:rsid w:val="0099472D"/>
    <w:rsid w:val="00995F5B"/>
    <w:rsid w:val="009A5002"/>
    <w:rsid w:val="009A5CB6"/>
    <w:rsid w:val="009A6EA1"/>
    <w:rsid w:val="009B1367"/>
    <w:rsid w:val="009B42D6"/>
    <w:rsid w:val="009B4793"/>
    <w:rsid w:val="009C3C9F"/>
    <w:rsid w:val="009D1B0E"/>
    <w:rsid w:val="009E3307"/>
    <w:rsid w:val="009E647A"/>
    <w:rsid w:val="009E71A6"/>
    <w:rsid w:val="009E73BE"/>
    <w:rsid w:val="009F168F"/>
    <w:rsid w:val="009F1D61"/>
    <w:rsid w:val="009F3648"/>
    <w:rsid w:val="00A136E6"/>
    <w:rsid w:val="00A21A13"/>
    <w:rsid w:val="00A22B96"/>
    <w:rsid w:val="00A23424"/>
    <w:rsid w:val="00A27326"/>
    <w:rsid w:val="00A27D21"/>
    <w:rsid w:val="00A30A80"/>
    <w:rsid w:val="00A32541"/>
    <w:rsid w:val="00A32E33"/>
    <w:rsid w:val="00A34877"/>
    <w:rsid w:val="00A408E7"/>
    <w:rsid w:val="00A5527B"/>
    <w:rsid w:val="00A61074"/>
    <w:rsid w:val="00A62FD6"/>
    <w:rsid w:val="00A66154"/>
    <w:rsid w:val="00A66CB6"/>
    <w:rsid w:val="00A816CF"/>
    <w:rsid w:val="00A8312A"/>
    <w:rsid w:val="00A866CC"/>
    <w:rsid w:val="00A8738E"/>
    <w:rsid w:val="00AB1F7C"/>
    <w:rsid w:val="00AB5D01"/>
    <w:rsid w:val="00AC28FC"/>
    <w:rsid w:val="00AC3943"/>
    <w:rsid w:val="00AC66C6"/>
    <w:rsid w:val="00AE7DAC"/>
    <w:rsid w:val="00AF533B"/>
    <w:rsid w:val="00B055B7"/>
    <w:rsid w:val="00B1637B"/>
    <w:rsid w:val="00B22744"/>
    <w:rsid w:val="00B2616D"/>
    <w:rsid w:val="00B31936"/>
    <w:rsid w:val="00B3666B"/>
    <w:rsid w:val="00B435F0"/>
    <w:rsid w:val="00B44A2A"/>
    <w:rsid w:val="00B514A5"/>
    <w:rsid w:val="00B70030"/>
    <w:rsid w:val="00B74710"/>
    <w:rsid w:val="00B87F44"/>
    <w:rsid w:val="00B9540F"/>
    <w:rsid w:val="00B97286"/>
    <w:rsid w:val="00BB300C"/>
    <w:rsid w:val="00BE37E5"/>
    <w:rsid w:val="00BE6FCE"/>
    <w:rsid w:val="00BF0C47"/>
    <w:rsid w:val="00BF1F9F"/>
    <w:rsid w:val="00BF5D29"/>
    <w:rsid w:val="00C16DCB"/>
    <w:rsid w:val="00C25491"/>
    <w:rsid w:val="00C36F89"/>
    <w:rsid w:val="00C373DA"/>
    <w:rsid w:val="00C40DC3"/>
    <w:rsid w:val="00C44C32"/>
    <w:rsid w:val="00C45507"/>
    <w:rsid w:val="00C53E9B"/>
    <w:rsid w:val="00C6090D"/>
    <w:rsid w:val="00C72C70"/>
    <w:rsid w:val="00C814B4"/>
    <w:rsid w:val="00C94B71"/>
    <w:rsid w:val="00C95715"/>
    <w:rsid w:val="00CA4F62"/>
    <w:rsid w:val="00CB440C"/>
    <w:rsid w:val="00CC2DCD"/>
    <w:rsid w:val="00CD0BD9"/>
    <w:rsid w:val="00CD1A9C"/>
    <w:rsid w:val="00CD5E5F"/>
    <w:rsid w:val="00CF0530"/>
    <w:rsid w:val="00CF6B70"/>
    <w:rsid w:val="00D01622"/>
    <w:rsid w:val="00D06919"/>
    <w:rsid w:val="00D06ABC"/>
    <w:rsid w:val="00D11C0D"/>
    <w:rsid w:val="00D128BD"/>
    <w:rsid w:val="00D159AC"/>
    <w:rsid w:val="00D20935"/>
    <w:rsid w:val="00D31025"/>
    <w:rsid w:val="00D31D20"/>
    <w:rsid w:val="00D41077"/>
    <w:rsid w:val="00D422DB"/>
    <w:rsid w:val="00D47A62"/>
    <w:rsid w:val="00D5065E"/>
    <w:rsid w:val="00D50D59"/>
    <w:rsid w:val="00D62606"/>
    <w:rsid w:val="00D72EAA"/>
    <w:rsid w:val="00D7595D"/>
    <w:rsid w:val="00D8083E"/>
    <w:rsid w:val="00D82E24"/>
    <w:rsid w:val="00D877CD"/>
    <w:rsid w:val="00D9636E"/>
    <w:rsid w:val="00D97E6B"/>
    <w:rsid w:val="00D97FEF"/>
    <w:rsid w:val="00DA415E"/>
    <w:rsid w:val="00DA733F"/>
    <w:rsid w:val="00DA7F0D"/>
    <w:rsid w:val="00DD3292"/>
    <w:rsid w:val="00DD78EA"/>
    <w:rsid w:val="00DE736D"/>
    <w:rsid w:val="00DF25D2"/>
    <w:rsid w:val="00DF4372"/>
    <w:rsid w:val="00E015BC"/>
    <w:rsid w:val="00E23ACA"/>
    <w:rsid w:val="00E310CC"/>
    <w:rsid w:val="00E333A0"/>
    <w:rsid w:val="00E34B1A"/>
    <w:rsid w:val="00E43E40"/>
    <w:rsid w:val="00E444C0"/>
    <w:rsid w:val="00E54A67"/>
    <w:rsid w:val="00E62F9C"/>
    <w:rsid w:val="00E64DD9"/>
    <w:rsid w:val="00E73DE0"/>
    <w:rsid w:val="00E83679"/>
    <w:rsid w:val="00E8415B"/>
    <w:rsid w:val="00E844C4"/>
    <w:rsid w:val="00E87956"/>
    <w:rsid w:val="00E96E00"/>
    <w:rsid w:val="00EA02F7"/>
    <w:rsid w:val="00EB3DDF"/>
    <w:rsid w:val="00EB3EAB"/>
    <w:rsid w:val="00EB659D"/>
    <w:rsid w:val="00EC5B84"/>
    <w:rsid w:val="00ED4DB9"/>
    <w:rsid w:val="00ED4E03"/>
    <w:rsid w:val="00ED72B0"/>
    <w:rsid w:val="00EF38AD"/>
    <w:rsid w:val="00F026B0"/>
    <w:rsid w:val="00F07D70"/>
    <w:rsid w:val="00F22944"/>
    <w:rsid w:val="00F37887"/>
    <w:rsid w:val="00F443A2"/>
    <w:rsid w:val="00F452B0"/>
    <w:rsid w:val="00F53DC1"/>
    <w:rsid w:val="00F55FA7"/>
    <w:rsid w:val="00F606BE"/>
    <w:rsid w:val="00F70A06"/>
    <w:rsid w:val="00F720DD"/>
    <w:rsid w:val="00F760AD"/>
    <w:rsid w:val="00FA0DAE"/>
    <w:rsid w:val="00FA2DCD"/>
    <w:rsid w:val="00FB6C43"/>
    <w:rsid w:val="00FC77E4"/>
    <w:rsid w:val="00FD5E2F"/>
    <w:rsid w:val="00FD6430"/>
    <w:rsid w:val="00FF58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60C77"/>
  <w15:chartTrackingRefBased/>
  <w15:docId w15:val="{D0EAA1FB-B1F1-413B-AF9C-C92155CE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1B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1B0E"/>
  </w:style>
  <w:style w:type="paragraph" w:styleId="Piedepgina">
    <w:name w:val="footer"/>
    <w:basedOn w:val="Normal"/>
    <w:link w:val="PiedepginaCar"/>
    <w:uiPriority w:val="99"/>
    <w:unhideWhenUsed/>
    <w:rsid w:val="009D1B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1B0E"/>
  </w:style>
  <w:style w:type="paragraph" w:styleId="NormalWeb">
    <w:name w:val="Normal (Web)"/>
    <w:basedOn w:val="Normal"/>
    <w:rsid w:val="00DE736D"/>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paragraph" w:styleId="Textodeglobo">
    <w:name w:val="Balloon Text"/>
    <w:basedOn w:val="Normal"/>
    <w:link w:val="TextodegloboCar"/>
    <w:unhideWhenUsed/>
    <w:rsid w:val="003111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3111D0"/>
    <w:rPr>
      <w:rFonts w:ascii="Segoe UI" w:hAnsi="Segoe UI" w:cs="Segoe UI"/>
      <w:sz w:val="18"/>
      <w:szCs w:val="18"/>
    </w:rPr>
  </w:style>
  <w:style w:type="paragraph" w:customStyle="1" w:styleId="corte4fondo">
    <w:name w:val="corte4 fondo"/>
    <w:basedOn w:val="Normal"/>
    <w:link w:val="corte4fondoCar1"/>
    <w:qFormat/>
    <w:rsid w:val="001D5D77"/>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1">
    <w:name w:val="corte4 fondo Car1"/>
    <w:link w:val="corte4fondo"/>
    <w:rsid w:val="001D5D77"/>
    <w:rPr>
      <w:rFonts w:ascii="Arial" w:eastAsia="Times New Roman" w:hAnsi="Arial" w:cs="Times New Roman"/>
      <w:sz w:val="30"/>
      <w:szCs w:val="20"/>
      <w:lang w:val="es-ES_tradnl" w:eastAsia="es-MX"/>
    </w:rPr>
  </w:style>
  <w:style w:type="paragraph" w:customStyle="1" w:styleId="Prrafo">
    <w:name w:val="Párrafo"/>
    <w:basedOn w:val="Normal"/>
    <w:qFormat/>
    <w:rsid w:val="004836D0"/>
    <w:pPr>
      <w:spacing w:before="240" w:after="240" w:line="360" w:lineRule="auto"/>
      <w:jc w:val="both"/>
    </w:pPr>
    <w:rPr>
      <w:rFonts w:ascii="Arial" w:hAnsi="Arial" w:cs="Arial"/>
      <w:sz w:val="26"/>
      <w:szCs w:val="26"/>
    </w:rPr>
  </w:style>
  <w:style w:type="paragraph" w:styleId="Textonotapie">
    <w:name w:val="footnote text"/>
    <w:basedOn w:val="Normal"/>
    <w:link w:val="TextonotapieCar"/>
    <w:uiPriority w:val="99"/>
    <w:semiHidden/>
    <w:unhideWhenUsed/>
    <w:rsid w:val="00FD643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6430"/>
    <w:rPr>
      <w:sz w:val="20"/>
      <w:szCs w:val="20"/>
    </w:rPr>
  </w:style>
  <w:style w:type="character" w:styleId="Refdenotaalpie">
    <w:name w:val="footnote reference"/>
    <w:basedOn w:val="Fuentedeprrafopredeter"/>
    <w:uiPriority w:val="99"/>
    <w:semiHidden/>
    <w:unhideWhenUsed/>
    <w:rsid w:val="00FD64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49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3EBA6-5FA6-4BEF-A559-878B1997D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1775</Words>
  <Characters>9767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JAZMIN BONILLA GARCIA</dc:creator>
  <cp:keywords/>
  <dc:description/>
  <cp:lastModifiedBy>Gustavo Adolfo Castillo Torres</cp:lastModifiedBy>
  <cp:revision>13</cp:revision>
  <cp:lastPrinted>2022-10-04T21:40:00Z</cp:lastPrinted>
  <dcterms:created xsi:type="dcterms:W3CDTF">2022-10-10T17:01:00Z</dcterms:created>
  <dcterms:modified xsi:type="dcterms:W3CDTF">2022-10-10T17:13:00Z</dcterms:modified>
</cp:coreProperties>
</file>