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65C4D" w14:textId="5E5DA12A" w:rsidR="0092357A" w:rsidRPr="0079563C" w:rsidRDefault="0092357A" w:rsidP="0092357A">
      <w:pPr>
        <w:spacing w:after="0" w:line="23" w:lineRule="atLeast"/>
        <w:jc w:val="both"/>
        <w:rPr>
          <w:rFonts w:ascii="Arial" w:eastAsia="Times New Roman" w:hAnsi="Arial" w:cs="Arial"/>
          <w:b/>
          <w:bCs/>
          <w:color w:val="000000" w:themeColor="text1"/>
          <w:sz w:val="26"/>
          <w:szCs w:val="26"/>
          <w:lang w:val="es-MX"/>
        </w:rPr>
      </w:pPr>
      <w:bookmarkStart w:id="0" w:name="OLE_LINK1"/>
      <w:r w:rsidRPr="0079563C">
        <w:rPr>
          <w:rFonts w:ascii="Arial" w:eastAsia="Times New Roman" w:hAnsi="Arial" w:cs="Arial"/>
          <w:b/>
          <w:bCs/>
          <w:color w:val="000000" w:themeColor="text1"/>
          <w:sz w:val="26"/>
          <w:szCs w:val="26"/>
          <w:lang w:val="es-ES_tradnl"/>
        </w:rPr>
        <w:t>ACUERDO GENERAL NÚMERO</w:t>
      </w:r>
      <w:r w:rsidR="00EC417D">
        <w:rPr>
          <w:rFonts w:ascii="Arial" w:eastAsia="Times New Roman" w:hAnsi="Arial" w:cs="Arial"/>
          <w:b/>
          <w:bCs/>
          <w:color w:val="000000" w:themeColor="text1"/>
          <w:sz w:val="26"/>
          <w:szCs w:val="26"/>
          <w:lang w:val="es-ES_tradnl"/>
        </w:rPr>
        <w:t xml:space="preserve"> 3</w:t>
      </w:r>
      <w:r w:rsidR="00EC417D" w:rsidRPr="0079563C">
        <w:rPr>
          <w:rFonts w:ascii="Arial" w:eastAsia="Times New Roman" w:hAnsi="Arial" w:cs="Arial"/>
          <w:b/>
          <w:bCs/>
          <w:color w:val="000000" w:themeColor="text1"/>
          <w:sz w:val="26"/>
          <w:szCs w:val="26"/>
          <w:lang w:val="es-ES_tradnl"/>
        </w:rPr>
        <w:t>/2025</w:t>
      </w:r>
      <w:r w:rsidR="00EC417D">
        <w:rPr>
          <w:rFonts w:ascii="Arial" w:eastAsia="Times New Roman" w:hAnsi="Arial" w:cs="Arial"/>
          <w:b/>
          <w:bCs/>
          <w:color w:val="000000" w:themeColor="text1"/>
          <w:sz w:val="26"/>
          <w:szCs w:val="26"/>
          <w:lang w:val="es-ES_tradnl"/>
        </w:rPr>
        <w:t xml:space="preserve"> </w:t>
      </w:r>
      <w:r w:rsidR="00EC417D">
        <w:rPr>
          <w:rFonts w:ascii="Arial" w:hAnsi="Arial" w:cs="Arial"/>
          <w:b/>
          <w:bCs/>
          <w:color w:val="000000" w:themeColor="text1"/>
          <w:sz w:val="26"/>
          <w:szCs w:val="26"/>
        </w:rPr>
        <w:t>(12a.),</w:t>
      </w:r>
      <w:r w:rsidR="00F70165">
        <w:rPr>
          <w:rFonts w:ascii="Arial" w:hAnsi="Arial" w:cs="Arial"/>
          <w:b/>
          <w:bCs/>
          <w:color w:val="000000" w:themeColor="text1"/>
          <w:sz w:val="26"/>
          <w:szCs w:val="26"/>
        </w:rPr>
        <w:t xml:space="preserve"> </w:t>
      </w:r>
      <w:r w:rsidR="00EC417D" w:rsidRPr="0079563C">
        <w:rPr>
          <w:rFonts w:ascii="Arial" w:eastAsia="Times New Roman" w:hAnsi="Arial" w:cs="Arial"/>
          <w:b/>
          <w:bCs/>
          <w:color w:val="000000" w:themeColor="text1"/>
          <w:sz w:val="26"/>
          <w:szCs w:val="26"/>
          <w:lang w:val="es-ES_tradnl"/>
        </w:rPr>
        <w:t xml:space="preserve">DEL </w:t>
      </w:r>
      <w:r w:rsidR="00EC417D" w:rsidRPr="0079563C">
        <w:rPr>
          <w:rFonts w:ascii="Arial" w:eastAsia="Times New Roman" w:hAnsi="Arial" w:cs="Arial"/>
          <w:b/>
          <w:bCs/>
          <w:color w:val="000000" w:themeColor="text1"/>
          <w:sz w:val="26"/>
          <w:szCs w:val="26"/>
          <w:lang w:val="es-MX"/>
        </w:rPr>
        <w:t>PLENO DE LA SUPREMA CORTE DE JUSTICIA DE LA NACIÓN</w:t>
      </w:r>
      <w:r w:rsidR="00EC417D">
        <w:rPr>
          <w:rFonts w:ascii="Arial" w:eastAsia="Times New Roman" w:hAnsi="Arial" w:cs="Arial"/>
          <w:b/>
          <w:bCs/>
          <w:color w:val="000000" w:themeColor="text1"/>
          <w:sz w:val="26"/>
          <w:szCs w:val="26"/>
          <w:lang w:val="es-ES_tradnl"/>
        </w:rPr>
        <w:t>,</w:t>
      </w:r>
      <w:r w:rsidR="00F70165">
        <w:rPr>
          <w:rFonts w:ascii="Arial" w:eastAsia="Times New Roman" w:hAnsi="Arial" w:cs="Arial"/>
          <w:b/>
          <w:bCs/>
          <w:color w:val="000000" w:themeColor="text1"/>
          <w:sz w:val="26"/>
          <w:szCs w:val="26"/>
          <w:lang w:val="es-ES_tradnl"/>
        </w:rPr>
        <w:t xml:space="preserve"> </w:t>
      </w:r>
      <w:r w:rsidR="00F70165">
        <w:rPr>
          <w:rFonts w:ascii="Arial" w:hAnsi="Arial" w:cs="Arial"/>
          <w:b/>
          <w:bCs/>
          <w:color w:val="000000" w:themeColor="text1"/>
          <w:sz w:val="26"/>
          <w:szCs w:val="26"/>
        </w:rPr>
        <w:t>DE TRES DE SEPTIEMBRE DE DOS MIL VEINTICINCO,</w:t>
      </w:r>
      <w:r w:rsidR="00F70165">
        <w:rPr>
          <w:rFonts w:ascii="Arial" w:eastAsia="Times New Roman" w:hAnsi="Arial" w:cs="Arial"/>
          <w:b/>
          <w:bCs/>
          <w:color w:val="000000" w:themeColor="text1"/>
          <w:sz w:val="26"/>
          <w:szCs w:val="26"/>
          <w:lang w:val="es-MX"/>
        </w:rPr>
        <w:t xml:space="preserve"> </w:t>
      </w:r>
      <w:r w:rsidRPr="0079563C">
        <w:rPr>
          <w:rFonts w:ascii="Arial" w:eastAsia="Times New Roman" w:hAnsi="Arial" w:cs="Arial"/>
          <w:b/>
          <w:bCs/>
          <w:color w:val="000000" w:themeColor="text1"/>
          <w:sz w:val="26"/>
          <w:szCs w:val="26"/>
          <w:lang w:val="es-MX"/>
        </w:rPr>
        <w:t>QUE REGULA LA PROCEDENCIA Y TRÁMITE DE LOS RECURSOS DE REVISIÓN EN AMPARO DIRECTO.</w:t>
      </w:r>
    </w:p>
    <w:p w14:paraId="5BEFE6BD"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1D73C8BD"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r w:rsidRPr="0079563C">
        <w:rPr>
          <w:rFonts w:ascii="Arial" w:eastAsia="Times New Roman" w:hAnsi="Arial" w:cs="Arial"/>
          <w:b/>
          <w:bCs/>
          <w:color w:val="000000" w:themeColor="text1"/>
          <w:sz w:val="26"/>
          <w:szCs w:val="26"/>
        </w:rPr>
        <w:t>RECONOCIMIENTO</w:t>
      </w:r>
    </w:p>
    <w:p w14:paraId="7DE8B999"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p>
    <w:p w14:paraId="64251299" w14:textId="3AD678E9" w:rsidR="0092357A" w:rsidRPr="0079563C" w:rsidRDefault="0092357A" w:rsidP="0092357A">
      <w:pPr>
        <w:spacing w:after="0" w:line="23" w:lineRule="atLeast"/>
        <w:jc w:val="both"/>
        <w:rPr>
          <w:rFonts w:ascii="Arial" w:hAnsi="Arial" w:cs="Arial"/>
          <w:bCs/>
          <w:color w:val="000000" w:themeColor="text1"/>
          <w:sz w:val="26"/>
          <w:szCs w:val="26"/>
          <w:lang w:val="es-MX"/>
        </w:rPr>
      </w:pPr>
      <w:r w:rsidRPr="0079563C">
        <w:rPr>
          <w:rFonts w:ascii="Arial" w:hAnsi="Arial" w:cs="Arial"/>
          <w:bCs/>
          <w:color w:val="000000" w:themeColor="text1"/>
          <w:sz w:val="26"/>
          <w:szCs w:val="26"/>
          <w:lang w:val="es-MX"/>
        </w:rPr>
        <w:t xml:space="preserve">Conforme a la información estadística de los últimos años, ingresan a la Suprema Corte de Justicia de la Nación (SCJN), un gran número de recursos de revisión en </w:t>
      </w:r>
      <w:r w:rsidR="00741E77">
        <w:rPr>
          <w:rFonts w:ascii="Arial" w:hAnsi="Arial" w:cs="Arial"/>
          <w:bCs/>
          <w:color w:val="000000" w:themeColor="text1"/>
          <w:sz w:val="26"/>
          <w:szCs w:val="26"/>
          <w:lang w:val="es-MX"/>
        </w:rPr>
        <w:t>a</w:t>
      </w:r>
      <w:r w:rsidRPr="0079563C">
        <w:rPr>
          <w:rFonts w:ascii="Arial" w:hAnsi="Arial" w:cs="Arial"/>
          <w:bCs/>
          <w:color w:val="000000" w:themeColor="text1"/>
          <w:sz w:val="26"/>
          <w:szCs w:val="26"/>
          <w:lang w:val="es-MX"/>
        </w:rPr>
        <w:t xml:space="preserve">mparo </w:t>
      </w:r>
      <w:r w:rsidR="00741E77">
        <w:rPr>
          <w:rFonts w:ascii="Arial" w:hAnsi="Arial" w:cs="Arial"/>
          <w:bCs/>
          <w:color w:val="000000" w:themeColor="text1"/>
          <w:sz w:val="26"/>
          <w:szCs w:val="26"/>
          <w:lang w:val="es-MX"/>
        </w:rPr>
        <w:t>d</w:t>
      </w:r>
      <w:r w:rsidRPr="0079563C">
        <w:rPr>
          <w:rFonts w:ascii="Arial" w:hAnsi="Arial" w:cs="Arial"/>
          <w:bCs/>
          <w:color w:val="000000" w:themeColor="text1"/>
          <w:sz w:val="26"/>
          <w:szCs w:val="26"/>
          <w:lang w:val="es-MX"/>
        </w:rPr>
        <w:t xml:space="preserve">irecto, aun cuando se trata de un medio de defensa que sólo procede tratándose de asuntos que revistan un interés excepcional en materia constitucional o de derechos humanos. </w:t>
      </w:r>
    </w:p>
    <w:p w14:paraId="7D4766B3" w14:textId="77777777" w:rsidR="0092357A" w:rsidRPr="0079563C" w:rsidRDefault="0092357A" w:rsidP="0092357A">
      <w:pPr>
        <w:spacing w:after="0" w:line="23" w:lineRule="atLeast"/>
        <w:jc w:val="both"/>
        <w:rPr>
          <w:rFonts w:ascii="Arial" w:hAnsi="Arial" w:cs="Arial"/>
          <w:bCs/>
          <w:color w:val="000000" w:themeColor="text1"/>
          <w:sz w:val="26"/>
          <w:szCs w:val="26"/>
          <w:lang w:val="es-MX"/>
        </w:rPr>
      </w:pPr>
    </w:p>
    <w:p w14:paraId="54E0EC09" w14:textId="070E3A08" w:rsidR="0092357A" w:rsidRPr="0079563C" w:rsidRDefault="0092357A" w:rsidP="0092357A">
      <w:pPr>
        <w:spacing w:after="0" w:line="23" w:lineRule="atLeast"/>
        <w:jc w:val="both"/>
        <w:rPr>
          <w:rFonts w:ascii="Arial" w:hAnsi="Arial" w:cs="Arial"/>
          <w:bCs/>
          <w:color w:val="000000" w:themeColor="text1"/>
          <w:sz w:val="26"/>
          <w:szCs w:val="26"/>
          <w:lang w:val="es-MX"/>
        </w:rPr>
      </w:pPr>
      <w:r w:rsidRPr="0079563C">
        <w:rPr>
          <w:rFonts w:ascii="Arial" w:hAnsi="Arial" w:cs="Arial"/>
          <w:bCs/>
          <w:color w:val="000000" w:themeColor="text1"/>
          <w:sz w:val="26"/>
          <w:szCs w:val="26"/>
          <w:lang w:val="es-MX"/>
        </w:rPr>
        <w:t xml:space="preserve">Por tal razón, se estima necesario emitir </w:t>
      </w:r>
      <w:r w:rsidR="005645C8" w:rsidRPr="0079563C">
        <w:rPr>
          <w:rFonts w:ascii="Arial" w:hAnsi="Arial" w:cs="Arial"/>
          <w:bCs/>
          <w:color w:val="000000" w:themeColor="text1"/>
          <w:sz w:val="26"/>
          <w:szCs w:val="26"/>
          <w:lang w:val="es-MX"/>
        </w:rPr>
        <w:t>criterios orientadores</w:t>
      </w:r>
      <w:r w:rsidRPr="0079563C">
        <w:rPr>
          <w:rFonts w:ascii="Arial" w:hAnsi="Arial" w:cs="Arial"/>
          <w:bCs/>
          <w:color w:val="000000" w:themeColor="text1"/>
          <w:sz w:val="26"/>
          <w:szCs w:val="26"/>
          <w:lang w:val="es-MX"/>
        </w:rPr>
        <w:t xml:space="preserve"> que ayuden a decidir con mayor prontitud los casos que realmente revistan un interés excepcional en materia constitucional y de derechos humanos; asimismo, resulta indispensable establecer reglas que fijen las bases para el trámite de este recurso</w:t>
      </w:r>
      <w:r w:rsidR="00AE7241">
        <w:rPr>
          <w:rFonts w:ascii="Arial" w:hAnsi="Arial" w:cs="Arial"/>
          <w:bCs/>
          <w:color w:val="000000" w:themeColor="text1"/>
          <w:sz w:val="26"/>
          <w:szCs w:val="26"/>
          <w:lang w:val="es-MX"/>
        </w:rPr>
        <w:t>.</w:t>
      </w:r>
      <w:r w:rsidRPr="0079563C">
        <w:rPr>
          <w:rFonts w:ascii="Arial" w:hAnsi="Arial" w:cs="Arial"/>
          <w:bCs/>
          <w:color w:val="000000" w:themeColor="text1"/>
          <w:sz w:val="26"/>
          <w:szCs w:val="26"/>
          <w:lang w:val="es-MX"/>
        </w:rPr>
        <w:t xml:space="preserve"> </w:t>
      </w:r>
    </w:p>
    <w:p w14:paraId="53CBFC72"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53A07FD3"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r w:rsidRPr="0079563C">
        <w:rPr>
          <w:rFonts w:ascii="Arial" w:eastAsia="Times New Roman" w:hAnsi="Arial" w:cs="Arial"/>
          <w:b/>
          <w:bCs/>
          <w:color w:val="000000" w:themeColor="text1"/>
          <w:sz w:val="26"/>
          <w:szCs w:val="26"/>
        </w:rPr>
        <w:t>CONSIDERANDO</w:t>
      </w:r>
    </w:p>
    <w:p w14:paraId="4F549665"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7B1A8B3C" w14:textId="1626B31C"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b/>
          <w:bCs/>
          <w:color w:val="000000" w:themeColor="text1"/>
          <w:sz w:val="26"/>
          <w:szCs w:val="26"/>
        </w:rPr>
        <w:t xml:space="preserve">PRIMERO. Problemática. </w:t>
      </w:r>
      <w:r w:rsidRPr="0079563C">
        <w:rPr>
          <w:rFonts w:ascii="Arial" w:eastAsia="Times New Roman" w:hAnsi="Arial" w:cs="Arial"/>
          <w:color w:val="000000" w:themeColor="text1"/>
          <w:sz w:val="26"/>
          <w:szCs w:val="26"/>
        </w:rPr>
        <w:t>Conforme al informe de labores de la Presidencia de la SCJN</w:t>
      </w:r>
      <w:r w:rsidR="005645C8" w:rsidRPr="0079563C">
        <w:rPr>
          <w:rStyle w:val="Refdenotaalpie"/>
          <w:rFonts w:ascii="Arial" w:eastAsia="Times New Roman" w:hAnsi="Arial" w:cs="Arial"/>
          <w:color w:val="000000" w:themeColor="text1"/>
          <w:sz w:val="26"/>
          <w:szCs w:val="26"/>
        </w:rPr>
        <w:footnoteReference w:id="1"/>
      </w:r>
      <w:r w:rsidRPr="0079563C">
        <w:rPr>
          <w:rFonts w:ascii="Arial" w:eastAsia="Times New Roman" w:hAnsi="Arial" w:cs="Arial"/>
          <w:color w:val="000000" w:themeColor="text1"/>
          <w:sz w:val="26"/>
          <w:szCs w:val="26"/>
        </w:rPr>
        <w:t xml:space="preserve">, en 2024 de los 16,129 asuntos recibidos 7,581 fueron </w:t>
      </w:r>
      <w:r w:rsidRPr="0079563C">
        <w:rPr>
          <w:rFonts w:ascii="Arial" w:eastAsia="Times New Roman" w:hAnsi="Arial" w:cs="Arial"/>
          <w:b/>
          <w:bCs/>
          <w:color w:val="000000" w:themeColor="text1"/>
          <w:sz w:val="26"/>
          <w:szCs w:val="26"/>
        </w:rPr>
        <w:t>amparos directos en revisión</w:t>
      </w:r>
      <w:r w:rsidRPr="0079563C">
        <w:rPr>
          <w:rFonts w:ascii="Arial" w:eastAsia="Times New Roman" w:hAnsi="Arial" w:cs="Arial"/>
          <w:color w:val="000000" w:themeColor="text1"/>
          <w:sz w:val="26"/>
          <w:szCs w:val="26"/>
        </w:rPr>
        <w:t xml:space="preserve"> lo que constituyó el 47%. Del total recibido, 6,376 fueron desechados por acuerdo presidencial. De igual modo, según el mismo informe, sólo en 300 asuntos la SCJN entró al estudio de fondo, lo que significa apenas el 16% de los asuntos admitidos y el 1.8% del total recibido.</w:t>
      </w:r>
    </w:p>
    <w:p w14:paraId="445C883D"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2CE36759" w14:textId="77777777" w:rsidR="0092357A" w:rsidRPr="0079563C" w:rsidRDefault="0092357A" w:rsidP="0092357A">
      <w:pPr>
        <w:spacing w:after="0" w:line="23" w:lineRule="atLeast"/>
        <w:jc w:val="both"/>
        <w:rPr>
          <w:rFonts w:ascii="Arial" w:eastAsia="Times New Roman" w:hAnsi="Arial" w:cs="Arial"/>
          <w:color w:val="000000" w:themeColor="text1"/>
          <w:sz w:val="26"/>
          <w:szCs w:val="26"/>
          <w:lang w:val="es-ES_tradnl"/>
        </w:rPr>
      </w:pPr>
      <w:r w:rsidRPr="0079563C">
        <w:rPr>
          <w:rFonts w:ascii="Arial" w:eastAsia="Times New Roman" w:hAnsi="Arial" w:cs="Arial"/>
          <w:color w:val="000000" w:themeColor="text1"/>
          <w:sz w:val="26"/>
          <w:szCs w:val="26"/>
          <w:lang w:val="es-ES_tradnl"/>
        </w:rPr>
        <w:t>La totalidad de los asuntos recibidos son atendidos por la SCJN. No obstante, en el 86% de ellos, el trabajo no refleja una justicia real y verdadera, por el contrario, afectan el derecho a una justicia pronta y expedita. Por ello, es necesario agilizar el trámite, optimizar los tiempos de respuesta, despachar a la brevedad los asuntos que no representan un interés excepcional y destinar los esfuerzos a los casos</w:t>
      </w:r>
      <w:r w:rsidRPr="0079563C">
        <w:rPr>
          <w:rFonts w:ascii="Arial" w:eastAsia="Times New Roman" w:hAnsi="Arial" w:cs="Arial"/>
          <w:b/>
          <w:bCs/>
          <w:color w:val="000000" w:themeColor="text1"/>
          <w:sz w:val="26"/>
          <w:szCs w:val="26"/>
          <w:lang w:val="es-ES_tradnl"/>
        </w:rPr>
        <w:t xml:space="preserve"> </w:t>
      </w:r>
      <w:r w:rsidRPr="0079563C">
        <w:rPr>
          <w:rFonts w:ascii="Arial" w:eastAsia="Times New Roman" w:hAnsi="Arial" w:cs="Arial"/>
          <w:color w:val="000000" w:themeColor="text1"/>
          <w:sz w:val="26"/>
          <w:szCs w:val="26"/>
          <w:lang w:val="es-ES_tradnl"/>
        </w:rPr>
        <w:t>que ameriten un pronunciamiento de constitucionalidad o de derechos humanos.</w:t>
      </w:r>
    </w:p>
    <w:p w14:paraId="2B009D58"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51A114E8" w14:textId="607258AF"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r w:rsidRPr="0079563C">
        <w:rPr>
          <w:rFonts w:ascii="Arial" w:eastAsia="Times New Roman" w:hAnsi="Arial" w:cs="Arial"/>
          <w:b/>
          <w:bCs/>
          <w:color w:val="000000" w:themeColor="text1"/>
          <w:sz w:val="26"/>
          <w:szCs w:val="26"/>
        </w:rPr>
        <w:t xml:space="preserve">SEGUNDO. Base constitucional y legal. </w:t>
      </w:r>
      <w:r w:rsidRPr="0079563C">
        <w:rPr>
          <w:rFonts w:ascii="Arial" w:eastAsia="Times New Roman" w:hAnsi="Arial" w:cs="Arial"/>
          <w:color w:val="000000" w:themeColor="text1"/>
          <w:sz w:val="26"/>
          <w:szCs w:val="26"/>
        </w:rPr>
        <w:t>El artículo 107, fracción IX, de la Constitución Política de los Estados Unidos Mexicanos</w:t>
      </w:r>
      <w:r w:rsidR="007C5E4D">
        <w:rPr>
          <w:rFonts w:ascii="Arial" w:eastAsia="Times New Roman" w:hAnsi="Arial" w:cs="Arial"/>
          <w:color w:val="000000" w:themeColor="text1"/>
          <w:sz w:val="26"/>
          <w:szCs w:val="26"/>
        </w:rPr>
        <w:t xml:space="preserve"> (CPEUM)</w:t>
      </w:r>
      <w:r w:rsidRPr="0079563C">
        <w:rPr>
          <w:rFonts w:ascii="Arial" w:eastAsia="Times New Roman" w:hAnsi="Arial" w:cs="Arial"/>
          <w:color w:val="000000" w:themeColor="text1"/>
          <w:sz w:val="26"/>
          <w:szCs w:val="26"/>
        </w:rPr>
        <w:t xml:space="preserve">, regula los casos y condiciones en que procede el </w:t>
      </w:r>
      <w:r w:rsidR="000D2E4D" w:rsidRPr="0079563C">
        <w:rPr>
          <w:rFonts w:ascii="Arial" w:eastAsia="Times New Roman" w:hAnsi="Arial" w:cs="Arial"/>
          <w:color w:val="000000" w:themeColor="text1"/>
          <w:sz w:val="26"/>
          <w:szCs w:val="26"/>
        </w:rPr>
        <w:t>amparo directo en revisión</w:t>
      </w:r>
      <w:r w:rsidRPr="0079563C">
        <w:rPr>
          <w:rFonts w:ascii="Arial" w:eastAsia="Times New Roman" w:hAnsi="Arial" w:cs="Arial"/>
          <w:color w:val="000000" w:themeColor="text1"/>
          <w:sz w:val="26"/>
          <w:szCs w:val="26"/>
        </w:rPr>
        <w:t>. En particular, precisa que será procedente “</w:t>
      </w:r>
      <w:r w:rsidRPr="0079563C">
        <w:rPr>
          <w:rFonts w:ascii="Arial" w:eastAsia="Times New Roman" w:hAnsi="Arial" w:cs="Arial"/>
          <w:color w:val="000000" w:themeColor="text1"/>
          <w:sz w:val="26"/>
          <w:szCs w:val="26"/>
          <w:lang w:val="es-MX"/>
        </w:rPr>
        <w:t>siempre que a juicio de la Suprema Corte de Justicia de la Nación el asunto revista un interés excepcional en materia constitucional o de derechos humanos”.</w:t>
      </w:r>
    </w:p>
    <w:p w14:paraId="2BABDD40" w14:textId="77777777"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p>
    <w:p w14:paraId="7B53B956" w14:textId="08D5142A"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lastRenderedPageBreak/>
        <w:t>Por su parte, el artículo 81, fracción II</w:t>
      </w:r>
      <w:r w:rsidR="000B2A60">
        <w:rPr>
          <w:rFonts w:ascii="Arial" w:eastAsia="Times New Roman" w:hAnsi="Arial" w:cs="Arial"/>
          <w:color w:val="000000" w:themeColor="text1"/>
          <w:sz w:val="26"/>
          <w:szCs w:val="26"/>
        </w:rPr>
        <w:t>,</w:t>
      </w:r>
      <w:r w:rsidRPr="0079563C">
        <w:rPr>
          <w:rFonts w:ascii="Arial" w:eastAsia="Times New Roman" w:hAnsi="Arial" w:cs="Arial"/>
          <w:color w:val="000000" w:themeColor="text1"/>
          <w:sz w:val="26"/>
          <w:szCs w:val="26"/>
        </w:rPr>
        <w:t xml:space="preserve"> de la Ley de Amparo, establece que el recurso de revisión en amparo directo procede en contra de las sentencias que resuelvan sobre la constitucionalidad de normas generales, que establezcan la interpretación directa de un precepto de la </w:t>
      </w:r>
      <w:r w:rsidR="007C5E4D">
        <w:rPr>
          <w:rFonts w:ascii="Arial" w:eastAsia="Times New Roman" w:hAnsi="Arial" w:cs="Arial"/>
          <w:color w:val="000000" w:themeColor="text1"/>
          <w:sz w:val="26"/>
          <w:szCs w:val="26"/>
        </w:rPr>
        <w:t>CPEUM</w:t>
      </w:r>
      <w:r w:rsidRPr="0079563C">
        <w:rPr>
          <w:rFonts w:ascii="Arial" w:eastAsia="Times New Roman" w:hAnsi="Arial" w:cs="Arial"/>
          <w:color w:val="000000" w:themeColor="text1"/>
          <w:sz w:val="26"/>
          <w:szCs w:val="26"/>
        </w:rPr>
        <w:t xml:space="preserve"> u omitan decidir sobre tales cuestiones cuando hubieren sido planteadas, siempre que a juicio de la SCJN el asunto revista un interés excepcional en materia constitucional o de derechos humanos.</w:t>
      </w:r>
    </w:p>
    <w:p w14:paraId="55FA1752"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638CB56F" w14:textId="0109D399" w:rsidR="005645C8"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b/>
          <w:bCs/>
          <w:color w:val="000000" w:themeColor="text1"/>
          <w:sz w:val="26"/>
          <w:szCs w:val="26"/>
        </w:rPr>
        <w:t>TERCERO.</w:t>
      </w:r>
      <w:r w:rsidRPr="0079563C">
        <w:rPr>
          <w:rFonts w:ascii="Arial" w:eastAsia="Times New Roman" w:hAnsi="Arial" w:cs="Arial"/>
          <w:color w:val="000000" w:themeColor="text1"/>
          <w:sz w:val="26"/>
          <w:szCs w:val="26"/>
        </w:rPr>
        <w:t xml:space="preserve"> </w:t>
      </w:r>
      <w:r w:rsidRPr="0079563C">
        <w:rPr>
          <w:rFonts w:ascii="Arial" w:eastAsia="Times New Roman" w:hAnsi="Arial" w:cs="Arial"/>
          <w:b/>
          <w:bCs/>
          <w:color w:val="000000" w:themeColor="text1"/>
          <w:sz w:val="26"/>
          <w:szCs w:val="26"/>
          <w:lang w:val="es-MX"/>
        </w:rPr>
        <w:t>Criterios</w:t>
      </w:r>
      <w:r w:rsidRPr="0079563C">
        <w:rPr>
          <w:rFonts w:ascii="Arial" w:eastAsia="Times New Roman" w:hAnsi="Arial" w:cs="Arial"/>
          <w:b/>
          <w:bCs/>
          <w:color w:val="000000" w:themeColor="text1"/>
          <w:sz w:val="26"/>
          <w:szCs w:val="26"/>
        </w:rPr>
        <w:t xml:space="preserve"> para determinar el interés excepcional.</w:t>
      </w:r>
      <w:r w:rsidRPr="0079563C">
        <w:rPr>
          <w:rFonts w:ascii="Arial" w:eastAsia="Times New Roman" w:hAnsi="Arial" w:cs="Arial"/>
          <w:color w:val="000000" w:themeColor="text1"/>
          <w:sz w:val="26"/>
          <w:szCs w:val="26"/>
        </w:rPr>
        <w:t xml:space="preserve"> </w:t>
      </w:r>
      <w:r w:rsidR="005645C8" w:rsidRPr="0079563C">
        <w:rPr>
          <w:rFonts w:ascii="Arial" w:eastAsia="Times New Roman" w:hAnsi="Arial" w:cs="Arial"/>
          <w:color w:val="000000" w:themeColor="text1"/>
          <w:sz w:val="26"/>
          <w:szCs w:val="26"/>
        </w:rPr>
        <w:t>De conformidad con el fundamento constitucional y legal señalado en el apartado anterior, para la procedencia del amparo directo en revisión deben acreditarse dos elementos: uno objetivo, consistente en que exista una cuestión propiamente constitucional; y otro subjetivo, relativo a que el asunto revista un interés excepcional en materia constitucional y de derechos humanos.</w:t>
      </w:r>
    </w:p>
    <w:p w14:paraId="411EE535" w14:textId="77777777" w:rsidR="005645C8" w:rsidRPr="0079563C" w:rsidRDefault="005645C8" w:rsidP="0092357A">
      <w:pPr>
        <w:spacing w:after="0" w:line="23" w:lineRule="atLeast"/>
        <w:jc w:val="both"/>
        <w:rPr>
          <w:rFonts w:ascii="Arial" w:eastAsia="Times New Roman" w:hAnsi="Arial" w:cs="Arial"/>
          <w:color w:val="000000" w:themeColor="text1"/>
          <w:sz w:val="26"/>
          <w:szCs w:val="26"/>
        </w:rPr>
      </w:pPr>
    </w:p>
    <w:p w14:paraId="0CC0104A" w14:textId="5C82BB4A" w:rsidR="005645C8" w:rsidRPr="0079563C" w:rsidRDefault="005645C8"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t xml:space="preserve">No obstante, </w:t>
      </w:r>
      <w:r w:rsidR="0092357A" w:rsidRPr="0079563C">
        <w:rPr>
          <w:rFonts w:ascii="Arial" w:eastAsia="Times New Roman" w:hAnsi="Arial" w:cs="Arial"/>
          <w:color w:val="000000" w:themeColor="text1"/>
          <w:sz w:val="26"/>
          <w:szCs w:val="26"/>
        </w:rPr>
        <w:t xml:space="preserve">el examen del carácter excepcional de los asuntos en que procede </w:t>
      </w:r>
      <w:r w:rsidR="000D2E4D" w:rsidRPr="0079563C">
        <w:rPr>
          <w:rFonts w:ascii="Arial" w:eastAsia="Times New Roman" w:hAnsi="Arial" w:cs="Arial"/>
          <w:color w:val="000000" w:themeColor="text1"/>
          <w:sz w:val="26"/>
          <w:szCs w:val="26"/>
        </w:rPr>
        <w:t xml:space="preserve">el amparo directo en revisión </w:t>
      </w:r>
      <w:r w:rsidR="0092357A" w:rsidRPr="0079563C">
        <w:rPr>
          <w:rFonts w:ascii="Arial" w:eastAsia="Times New Roman" w:hAnsi="Arial" w:cs="Arial"/>
          <w:color w:val="000000" w:themeColor="text1"/>
          <w:sz w:val="26"/>
          <w:szCs w:val="26"/>
        </w:rPr>
        <w:t xml:space="preserve">constituye </w:t>
      </w:r>
      <w:r w:rsidRPr="0079563C">
        <w:rPr>
          <w:rFonts w:ascii="Arial" w:eastAsia="Times New Roman" w:hAnsi="Arial" w:cs="Arial"/>
          <w:color w:val="000000" w:themeColor="text1"/>
          <w:sz w:val="26"/>
          <w:szCs w:val="26"/>
        </w:rPr>
        <w:t xml:space="preserve">un </w:t>
      </w:r>
      <w:r w:rsidR="0092357A" w:rsidRPr="0079563C">
        <w:rPr>
          <w:rFonts w:ascii="Arial" w:eastAsia="Times New Roman" w:hAnsi="Arial" w:cs="Arial"/>
          <w:color w:val="000000" w:themeColor="text1"/>
          <w:sz w:val="26"/>
          <w:szCs w:val="26"/>
        </w:rPr>
        <w:t xml:space="preserve">elemento </w:t>
      </w:r>
      <w:r w:rsidRPr="0079563C">
        <w:rPr>
          <w:rFonts w:ascii="Arial" w:eastAsia="Times New Roman" w:hAnsi="Arial" w:cs="Arial"/>
          <w:color w:val="000000" w:themeColor="text1"/>
          <w:sz w:val="26"/>
          <w:szCs w:val="26"/>
        </w:rPr>
        <w:t xml:space="preserve">indispensable para </w:t>
      </w:r>
      <w:r w:rsidR="0092357A" w:rsidRPr="0079563C">
        <w:rPr>
          <w:rFonts w:ascii="Arial" w:eastAsia="Times New Roman" w:hAnsi="Arial" w:cs="Arial"/>
          <w:color w:val="000000" w:themeColor="text1"/>
          <w:sz w:val="26"/>
          <w:szCs w:val="26"/>
        </w:rPr>
        <w:t xml:space="preserve">que la SCJN </w:t>
      </w:r>
      <w:r w:rsidRPr="0079563C">
        <w:rPr>
          <w:rFonts w:ascii="Arial" w:eastAsia="Times New Roman" w:hAnsi="Arial" w:cs="Arial"/>
          <w:color w:val="000000" w:themeColor="text1"/>
          <w:sz w:val="26"/>
          <w:szCs w:val="26"/>
        </w:rPr>
        <w:t xml:space="preserve">conozca únicamente </w:t>
      </w:r>
      <w:r w:rsidR="00ED11EF" w:rsidRPr="0079563C">
        <w:rPr>
          <w:rFonts w:ascii="Arial" w:eastAsia="Times New Roman" w:hAnsi="Arial" w:cs="Arial"/>
          <w:color w:val="000000" w:themeColor="text1"/>
          <w:sz w:val="26"/>
          <w:szCs w:val="26"/>
        </w:rPr>
        <w:t>de aquellos asuntos que, además de plantear un problema constitucional, ameriten su intervención por la relevancia excepcional que representan. De este modo se asegura el adecuado ejercicio de este recurso y el óptimo desempeño de sus facultades como</w:t>
      </w:r>
      <w:r w:rsidR="001E5E7E" w:rsidRPr="0079563C">
        <w:rPr>
          <w:rFonts w:ascii="Arial" w:eastAsia="Times New Roman" w:hAnsi="Arial" w:cs="Arial"/>
          <w:color w:val="000000" w:themeColor="text1"/>
          <w:sz w:val="26"/>
          <w:szCs w:val="26"/>
        </w:rPr>
        <w:t xml:space="preserve"> </w:t>
      </w:r>
      <w:r w:rsidR="00ED11EF" w:rsidRPr="0079563C">
        <w:rPr>
          <w:rFonts w:ascii="Arial" w:eastAsia="Times New Roman" w:hAnsi="Arial" w:cs="Arial"/>
          <w:color w:val="000000" w:themeColor="text1"/>
          <w:sz w:val="26"/>
          <w:szCs w:val="26"/>
        </w:rPr>
        <w:t>tribunal constitucional.</w:t>
      </w:r>
    </w:p>
    <w:p w14:paraId="38A5551D" w14:textId="77777777" w:rsidR="005645C8" w:rsidRPr="0079563C" w:rsidRDefault="005645C8" w:rsidP="0092357A">
      <w:pPr>
        <w:spacing w:after="0" w:line="23" w:lineRule="atLeast"/>
        <w:jc w:val="both"/>
        <w:rPr>
          <w:rFonts w:ascii="Arial" w:eastAsia="Times New Roman" w:hAnsi="Arial" w:cs="Arial"/>
          <w:color w:val="000000" w:themeColor="text1"/>
          <w:sz w:val="26"/>
          <w:szCs w:val="26"/>
        </w:rPr>
      </w:pPr>
    </w:p>
    <w:p w14:paraId="33A612F0" w14:textId="0418CE10"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rPr>
        <w:t xml:space="preserve">En </w:t>
      </w:r>
      <w:r w:rsidR="000B2A60">
        <w:rPr>
          <w:rFonts w:ascii="Arial" w:eastAsia="Times New Roman" w:hAnsi="Arial" w:cs="Arial"/>
          <w:color w:val="000000" w:themeColor="text1"/>
          <w:sz w:val="26"/>
          <w:szCs w:val="26"/>
        </w:rPr>
        <w:t>esa virtud</w:t>
      </w:r>
      <w:r w:rsidRPr="0079563C">
        <w:rPr>
          <w:rFonts w:ascii="Arial" w:eastAsia="Times New Roman" w:hAnsi="Arial" w:cs="Arial"/>
          <w:color w:val="000000" w:themeColor="text1"/>
          <w:sz w:val="26"/>
          <w:szCs w:val="26"/>
        </w:rPr>
        <w:t xml:space="preserve">, </w:t>
      </w:r>
      <w:r w:rsidRPr="0079563C">
        <w:rPr>
          <w:rFonts w:ascii="Arial" w:eastAsia="Times New Roman" w:hAnsi="Arial" w:cs="Arial"/>
          <w:color w:val="000000" w:themeColor="text1"/>
          <w:sz w:val="26"/>
          <w:szCs w:val="26"/>
          <w:lang w:val="es-MX"/>
        </w:rPr>
        <w:t>resulta conveniente establecer los criterios generales que permitan determinar con prontitud los casos en los que se surten los requisitos de interés excepcional en materia constitucional o de derechos humanos a que se refieren dichos preceptos.</w:t>
      </w:r>
      <w:r w:rsidRPr="0079563C" w:rsidDel="00967A09">
        <w:rPr>
          <w:rFonts w:ascii="Arial" w:eastAsia="Times New Roman" w:hAnsi="Arial" w:cs="Arial"/>
          <w:color w:val="000000" w:themeColor="text1"/>
          <w:sz w:val="26"/>
          <w:szCs w:val="26"/>
        </w:rPr>
        <w:t xml:space="preserve"> </w:t>
      </w:r>
    </w:p>
    <w:p w14:paraId="7C923A55" w14:textId="77777777"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p>
    <w:p w14:paraId="10D4BC6D" w14:textId="28338962"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lang w:val="es-MX"/>
        </w:rPr>
        <w:t xml:space="preserve">En consecuencia, con fundamento en el artículo 17, fracción VII, de la Ley Orgánica del Poder Judicial de la Federación y </w:t>
      </w:r>
      <w:r w:rsidRPr="0079563C">
        <w:rPr>
          <w:rFonts w:ascii="Arial" w:eastAsia="Times New Roman" w:hAnsi="Arial" w:cs="Arial"/>
          <w:color w:val="000000" w:themeColor="text1"/>
          <w:sz w:val="26"/>
          <w:szCs w:val="26"/>
        </w:rPr>
        <w:t xml:space="preserve">94, párrafo noveno, de la </w:t>
      </w:r>
      <w:r w:rsidR="007C5E4D">
        <w:rPr>
          <w:rFonts w:ascii="Arial" w:eastAsia="Times New Roman" w:hAnsi="Arial" w:cs="Arial"/>
          <w:color w:val="000000" w:themeColor="text1"/>
          <w:sz w:val="26"/>
          <w:szCs w:val="26"/>
        </w:rPr>
        <w:t>CPEUM</w:t>
      </w:r>
      <w:r w:rsidRPr="0079563C">
        <w:rPr>
          <w:rFonts w:ascii="Arial" w:eastAsia="Times New Roman" w:hAnsi="Arial" w:cs="Arial"/>
          <w:color w:val="000000" w:themeColor="text1"/>
          <w:sz w:val="26"/>
          <w:szCs w:val="26"/>
        </w:rPr>
        <w:t xml:space="preserve">, el Pleno de la </w:t>
      </w:r>
      <w:r w:rsidR="007C5E4D" w:rsidRPr="0079563C">
        <w:rPr>
          <w:rFonts w:ascii="Arial" w:hAnsi="Arial" w:cs="Arial"/>
          <w:bCs/>
          <w:color w:val="000000" w:themeColor="text1"/>
          <w:sz w:val="26"/>
          <w:szCs w:val="26"/>
          <w:lang w:val="es-MX"/>
        </w:rPr>
        <w:t>SCJN</w:t>
      </w:r>
      <w:r w:rsidRPr="0079563C">
        <w:rPr>
          <w:rFonts w:ascii="Arial" w:eastAsia="Times New Roman" w:hAnsi="Arial" w:cs="Arial"/>
          <w:color w:val="000000" w:themeColor="text1"/>
          <w:sz w:val="26"/>
          <w:szCs w:val="26"/>
        </w:rPr>
        <w:t xml:space="preserve"> expide el siguiente:</w:t>
      </w:r>
    </w:p>
    <w:p w14:paraId="4C4D6AA7"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51016654"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r w:rsidRPr="0079563C">
        <w:rPr>
          <w:rFonts w:ascii="Arial" w:eastAsia="Times New Roman" w:hAnsi="Arial" w:cs="Arial"/>
          <w:b/>
          <w:bCs/>
          <w:color w:val="000000" w:themeColor="text1"/>
          <w:sz w:val="26"/>
          <w:szCs w:val="26"/>
        </w:rPr>
        <w:t>ACUERDO</w:t>
      </w:r>
    </w:p>
    <w:p w14:paraId="3DBF804E"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p>
    <w:p w14:paraId="76A9F75D" w14:textId="54070CC9" w:rsidR="0092357A" w:rsidRPr="0079563C" w:rsidRDefault="0092357A" w:rsidP="0092357A">
      <w:pPr>
        <w:spacing w:after="0" w:line="23" w:lineRule="atLeast"/>
        <w:jc w:val="both"/>
        <w:rPr>
          <w:rFonts w:ascii="Arial" w:eastAsia="Times New Roman" w:hAnsi="Arial" w:cs="Arial"/>
          <w:b/>
          <w:bCs/>
          <w:color w:val="000000" w:themeColor="text1"/>
          <w:sz w:val="26"/>
          <w:szCs w:val="26"/>
          <w:lang w:val="es-MX"/>
        </w:rPr>
      </w:pPr>
      <w:r w:rsidRPr="0079563C">
        <w:rPr>
          <w:rFonts w:ascii="Arial" w:eastAsia="Times New Roman" w:hAnsi="Arial" w:cs="Arial"/>
          <w:b/>
          <w:bCs/>
          <w:color w:val="000000" w:themeColor="text1"/>
          <w:sz w:val="26"/>
          <w:szCs w:val="26"/>
        </w:rPr>
        <w:t xml:space="preserve">PRIMERO. </w:t>
      </w:r>
      <w:r w:rsidR="00ED11EF" w:rsidRPr="0079563C">
        <w:rPr>
          <w:rFonts w:ascii="Arial" w:eastAsia="Times New Roman" w:hAnsi="Arial" w:cs="Arial"/>
          <w:b/>
          <w:bCs/>
          <w:color w:val="000000" w:themeColor="text1"/>
          <w:sz w:val="26"/>
          <w:szCs w:val="26"/>
        </w:rPr>
        <w:t>Objeto</w:t>
      </w:r>
      <w:r w:rsidRPr="0079563C">
        <w:rPr>
          <w:rFonts w:ascii="Arial" w:eastAsia="Times New Roman" w:hAnsi="Arial" w:cs="Arial"/>
          <w:color w:val="000000" w:themeColor="text1"/>
          <w:sz w:val="26"/>
          <w:szCs w:val="26"/>
          <w:lang w:val="es-MX"/>
        </w:rPr>
        <w:t>. E</w:t>
      </w:r>
      <w:r w:rsidRPr="0079563C">
        <w:rPr>
          <w:rFonts w:ascii="Arial" w:eastAsia="Times New Roman" w:hAnsi="Arial" w:cs="Arial"/>
          <w:color w:val="000000" w:themeColor="text1"/>
          <w:sz w:val="26"/>
          <w:szCs w:val="26"/>
        </w:rPr>
        <w:t xml:space="preserve">l presente Acuerdo General </w:t>
      </w:r>
      <w:r w:rsidRPr="0079563C">
        <w:rPr>
          <w:rFonts w:ascii="Arial" w:eastAsia="Times New Roman" w:hAnsi="Arial" w:cs="Arial"/>
          <w:color w:val="000000" w:themeColor="text1"/>
          <w:sz w:val="26"/>
          <w:szCs w:val="26"/>
          <w:lang w:val="es-MX"/>
        </w:rPr>
        <w:t xml:space="preserve">tiene por objeto establecer las reglas para la tramitación del recurso de revisión en amparo directo, en los casos en que se actualice </w:t>
      </w:r>
      <w:r w:rsidR="00ED11EF" w:rsidRPr="0079563C">
        <w:rPr>
          <w:rFonts w:ascii="Arial" w:eastAsia="Times New Roman" w:hAnsi="Arial" w:cs="Arial"/>
          <w:color w:val="000000" w:themeColor="text1"/>
          <w:sz w:val="26"/>
          <w:szCs w:val="26"/>
          <w:lang w:val="es-MX"/>
        </w:rPr>
        <w:t xml:space="preserve">una cuestión propiamente constitucional y </w:t>
      </w:r>
      <w:r w:rsidRPr="0079563C">
        <w:rPr>
          <w:rFonts w:ascii="Arial" w:eastAsia="Times New Roman" w:hAnsi="Arial" w:cs="Arial"/>
          <w:color w:val="000000" w:themeColor="text1"/>
          <w:sz w:val="26"/>
          <w:szCs w:val="26"/>
          <w:lang w:val="es-MX"/>
        </w:rPr>
        <w:t xml:space="preserve">el </w:t>
      </w:r>
      <w:r w:rsidRPr="0079563C">
        <w:rPr>
          <w:rFonts w:ascii="Arial" w:eastAsia="Times New Roman" w:hAnsi="Arial" w:cs="Arial"/>
          <w:color w:val="000000" w:themeColor="text1"/>
          <w:sz w:val="26"/>
          <w:szCs w:val="26"/>
        </w:rPr>
        <w:t xml:space="preserve">carácter excepcional en materia constitucional y de derechos humanos de los asuntos en que procede, así como </w:t>
      </w:r>
      <w:r w:rsidRPr="0079563C">
        <w:rPr>
          <w:rFonts w:ascii="Arial" w:eastAsia="Times New Roman" w:hAnsi="Arial" w:cs="Arial"/>
          <w:color w:val="000000" w:themeColor="text1"/>
          <w:sz w:val="26"/>
          <w:szCs w:val="26"/>
          <w:lang w:val="es-MX"/>
        </w:rPr>
        <w:t>garantizar su resolución expedita.</w:t>
      </w:r>
    </w:p>
    <w:p w14:paraId="7183B27A"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6462F0B9" w14:textId="7CE596EA"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b/>
          <w:bCs/>
          <w:color w:val="000000" w:themeColor="text1"/>
          <w:sz w:val="26"/>
          <w:szCs w:val="26"/>
        </w:rPr>
        <w:t xml:space="preserve">SEGUNDO. Procedencia </w:t>
      </w:r>
      <w:r w:rsidR="00D14F17" w:rsidRPr="0079563C">
        <w:rPr>
          <w:rFonts w:ascii="Arial" w:eastAsia="Times New Roman" w:hAnsi="Arial" w:cs="Arial"/>
          <w:b/>
          <w:bCs/>
          <w:color w:val="000000" w:themeColor="text1"/>
          <w:sz w:val="26"/>
          <w:szCs w:val="26"/>
        </w:rPr>
        <w:t>o</w:t>
      </w:r>
      <w:r w:rsidRPr="0079563C">
        <w:rPr>
          <w:rFonts w:ascii="Arial" w:eastAsia="Times New Roman" w:hAnsi="Arial" w:cs="Arial"/>
          <w:b/>
          <w:bCs/>
          <w:color w:val="000000" w:themeColor="text1"/>
          <w:sz w:val="26"/>
          <w:szCs w:val="26"/>
        </w:rPr>
        <w:t xml:space="preserve"> impedimento para tene</w:t>
      </w:r>
      <w:r w:rsidR="00D14F17" w:rsidRPr="0079563C">
        <w:rPr>
          <w:rFonts w:ascii="Arial" w:eastAsia="Times New Roman" w:hAnsi="Arial" w:cs="Arial"/>
          <w:b/>
          <w:bCs/>
          <w:color w:val="000000" w:themeColor="text1"/>
          <w:sz w:val="26"/>
          <w:szCs w:val="26"/>
        </w:rPr>
        <w:t xml:space="preserve">r </w:t>
      </w:r>
      <w:r w:rsidRPr="0079563C">
        <w:rPr>
          <w:rFonts w:ascii="Arial" w:eastAsia="Times New Roman" w:hAnsi="Arial" w:cs="Arial"/>
          <w:b/>
          <w:bCs/>
          <w:color w:val="000000" w:themeColor="text1"/>
          <w:sz w:val="26"/>
          <w:szCs w:val="26"/>
        </w:rPr>
        <w:t>por no interpuest</w:t>
      </w:r>
      <w:r w:rsidR="00D14F17" w:rsidRPr="0079563C">
        <w:rPr>
          <w:rFonts w:ascii="Arial" w:eastAsia="Times New Roman" w:hAnsi="Arial" w:cs="Arial"/>
          <w:b/>
          <w:bCs/>
          <w:color w:val="000000" w:themeColor="text1"/>
          <w:sz w:val="26"/>
          <w:szCs w:val="26"/>
        </w:rPr>
        <w:t>o el recurso</w:t>
      </w:r>
      <w:r w:rsidRPr="0079563C">
        <w:rPr>
          <w:rFonts w:ascii="Arial" w:eastAsia="Times New Roman" w:hAnsi="Arial" w:cs="Arial"/>
          <w:b/>
          <w:bCs/>
          <w:color w:val="000000" w:themeColor="text1"/>
          <w:sz w:val="26"/>
          <w:szCs w:val="26"/>
        </w:rPr>
        <w:t xml:space="preserve">. </w:t>
      </w:r>
      <w:r w:rsidRPr="0079563C">
        <w:rPr>
          <w:rFonts w:ascii="Arial" w:eastAsia="Times New Roman" w:hAnsi="Arial" w:cs="Arial"/>
          <w:color w:val="000000" w:themeColor="text1"/>
          <w:sz w:val="26"/>
          <w:szCs w:val="26"/>
        </w:rPr>
        <w:t xml:space="preserve">Será procedente el recurso de revisión en </w:t>
      </w:r>
      <w:r w:rsidR="000B2A60">
        <w:rPr>
          <w:rFonts w:ascii="Arial" w:eastAsia="Times New Roman" w:hAnsi="Arial" w:cs="Arial"/>
          <w:color w:val="000000" w:themeColor="text1"/>
          <w:sz w:val="26"/>
          <w:szCs w:val="26"/>
        </w:rPr>
        <w:t>a</w:t>
      </w:r>
      <w:r w:rsidRPr="0079563C">
        <w:rPr>
          <w:rFonts w:ascii="Arial" w:eastAsia="Times New Roman" w:hAnsi="Arial" w:cs="Arial"/>
          <w:color w:val="000000" w:themeColor="text1"/>
          <w:sz w:val="26"/>
          <w:szCs w:val="26"/>
        </w:rPr>
        <w:t>mparo directo, en términos del artículo 107, fracción IX</w:t>
      </w:r>
      <w:r w:rsidR="000B2A60">
        <w:rPr>
          <w:rFonts w:ascii="Arial" w:eastAsia="Times New Roman" w:hAnsi="Arial" w:cs="Arial"/>
          <w:color w:val="000000" w:themeColor="text1"/>
          <w:sz w:val="26"/>
          <w:szCs w:val="26"/>
        </w:rPr>
        <w:t>,</w:t>
      </w:r>
      <w:r w:rsidRPr="0079563C">
        <w:rPr>
          <w:rFonts w:ascii="Arial" w:eastAsia="Times New Roman" w:hAnsi="Arial" w:cs="Arial"/>
          <w:color w:val="000000" w:themeColor="text1"/>
          <w:sz w:val="26"/>
          <w:szCs w:val="26"/>
        </w:rPr>
        <w:t xml:space="preserve"> de la </w:t>
      </w:r>
      <w:r w:rsidR="007C5E4D">
        <w:rPr>
          <w:rFonts w:ascii="Arial" w:eastAsia="Times New Roman" w:hAnsi="Arial" w:cs="Arial"/>
          <w:color w:val="000000" w:themeColor="text1"/>
          <w:sz w:val="26"/>
          <w:szCs w:val="26"/>
        </w:rPr>
        <w:t>CPEUM</w:t>
      </w:r>
      <w:r w:rsidRPr="0079563C">
        <w:rPr>
          <w:rFonts w:ascii="Arial" w:eastAsia="Times New Roman" w:hAnsi="Arial" w:cs="Arial"/>
          <w:color w:val="000000" w:themeColor="text1"/>
          <w:sz w:val="26"/>
          <w:szCs w:val="26"/>
        </w:rPr>
        <w:t>, en los casos a que se refiere el artículo 81, fracción II</w:t>
      </w:r>
      <w:r w:rsidR="004F13FD">
        <w:rPr>
          <w:rFonts w:ascii="Arial" w:eastAsia="Times New Roman" w:hAnsi="Arial" w:cs="Arial"/>
          <w:color w:val="000000" w:themeColor="text1"/>
          <w:sz w:val="26"/>
          <w:szCs w:val="26"/>
        </w:rPr>
        <w:t>,</w:t>
      </w:r>
      <w:r w:rsidRPr="0079563C">
        <w:rPr>
          <w:rFonts w:ascii="Arial" w:eastAsia="Times New Roman" w:hAnsi="Arial" w:cs="Arial"/>
          <w:color w:val="000000" w:themeColor="text1"/>
          <w:sz w:val="26"/>
          <w:szCs w:val="26"/>
        </w:rPr>
        <w:t xml:space="preserve"> de la Ley de Amparo.</w:t>
      </w:r>
    </w:p>
    <w:p w14:paraId="42B9D388"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6DF4D894" w14:textId="2E8A9E92"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t>En los casos a que se refiere el artículo 88</w:t>
      </w:r>
      <w:r w:rsidR="004F13FD">
        <w:rPr>
          <w:rFonts w:ascii="Arial" w:eastAsia="Times New Roman" w:hAnsi="Arial" w:cs="Arial"/>
          <w:color w:val="000000" w:themeColor="text1"/>
          <w:sz w:val="26"/>
          <w:szCs w:val="26"/>
        </w:rPr>
        <w:t>,</w:t>
      </w:r>
      <w:r w:rsidRPr="0079563C">
        <w:rPr>
          <w:rFonts w:ascii="Arial" w:eastAsia="Times New Roman" w:hAnsi="Arial" w:cs="Arial"/>
          <w:color w:val="000000" w:themeColor="text1"/>
          <w:sz w:val="26"/>
          <w:szCs w:val="26"/>
        </w:rPr>
        <w:t xml:space="preserve"> </w:t>
      </w:r>
      <w:r w:rsidR="004F13FD">
        <w:rPr>
          <w:rFonts w:ascii="Arial" w:eastAsia="Times New Roman" w:hAnsi="Arial" w:cs="Arial"/>
          <w:color w:val="000000" w:themeColor="text1"/>
          <w:sz w:val="26"/>
          <w:szCs w:val="26"/>
        </w:rPr>
        <w:t xml:space="preserve">párrafo último, </w:t>
      </w:r>
      <w:r w:rsidRPr="0079563C">
        <w:rPr>
          <w:rFonts w:ascii="Arial" w:eastAsia="Times New Roman" w:hAnsi="Arial" w:cs="Arial"/>
          <w:color w:val="000000" w:themeColor="text1"/>
          <w:sz w:val="26"/>
          <w:szCs w:val="26"/>
        </w:rPr>
        <w:t>de la Ley de Amparo,</w:t>
      </w:r>
      <w:r w:rsidR="004F13FD">
        <w:rPr>
          <w:rFonts w:ascii="Arial" w:eastAsia="Times New Roman" w:hAnsi="Arial" w:cs="Arial"/>
          <w:color w:val="000000" w:themeColor="text1"/>
          <w:sz w:val="26"/>
          <w:szCs w:val="26"/>
        </w:rPr>
        <w:t xml:space="preserve"> tratándose de grupos y personas en situación de vulnerabilidad</w:t>
      </w:r>
      <w:r w:rsidR="000B2A60">
        <w:rPr>
          <w:rFonts w:ascii="Arial" w:eastAsia="Times New Roman" w:hAnsi="Arial" w:cs="Arial"/>
          <w:color w:val="000000" w:themeColor="text1"/>
          <w:sz w:val="26"/>
          <w:szCs w:val="26"/>
        </w:rPr>
        <w:t>,</w:t>
      </w:r>
      <w:r w:rsidRPr="0079563C">
        <w:rPr>
          <w:rFonts w:ascii="Arial" w:eastAsia="Times New Roman" w:hAnsi="Arial" w:cs="Arial"/>
          <w:color w:val="000000" w:themeColor="text1"/>
          <w:sz w:val="26"/>
          <w:szCs w:val="26"/>
        </w:rPr>
        <w:t xml:space="preserve"> el </w:t>
      </w:r>
      <w:r w:rsidRPr="0079563C">
        <w:rPr>
          <w:rFonts w:ascii="Arial" w:eastAsia="Times New Roman" w:hAnsi="Arial" w:cs="Arial"/>
          <w:color w:val="000000" w:themeColor="text1"/>
          <w:sz w:val="26"/>
          <w:szCs w:val="26"/>
        </w:rPr>
        <w:lastRenderedPageBreak/>
        <w:t>Tribunal Colegiado de Circuito que corresponda estará impedido de tener por no interpuesto el recurso de revisión, aun cuando no se hayan</w:t>
      </w:r>
      <w:r w:rsidRPr="0079563C">
        <w:rPr>
          <w:rFonts w:ascii="Arial" w:eastAsia="Times New Roman" w:hAnsi="Arial" w:cs="Arial"/>
          <w:color w:val="000000" w:themeColor="text1"/>
          <w:sz w:val="26"/>
          <w:szCs w:val="26"/>
          <w:lang w:val="es-MX"/>
        </w:rPr>
        <w:t xml:space="preserve"> transcrito textualmente la parte de la sentencia que contenga el pronunciamiento sobre constitucionalidad o la parte del concepto de violación respectivo cuyo análisis se hubiese omitido en la sentencia, u omitido presentar copias, de conformidad con lo dispuesto </w:t>
      </w:r>
      <w:r w:rsidR="000B2A60">
        <w:rPr>
          <w:rFonts w:ascii="Arial" w:eastAsia="Times New Roman" w:hAnsi="Arial" w:cs="Arial"/>
          <w:color w:val="000000" w:themeColor="text1"/>
          <w:sz w:val="26"/>
          <w:szCs w:val="26"/>
          <w:lang w:val="es-MX"/>
        </w:rPr>
        <w:t>en</w:t>
      </w:r>
      <w:r w:rsidRPr="0079563C">
        <w:rPr>
          <w:rFonts w:ascii="Arial" w:eastAsia="Times New Roman" w:hAnsi="Arial" w:cs="Arial"/>
          <w:color w:val="000000" w:themeColor="text1"/>
          <w:sz w:val="26"/>
          <w:szCs w:val="26"/>
          <w:lang w:val="es-MX"/>
        </w:rPr>
        <w:t xml:space="preserve"> dicho precepto.</w:t>
      </w:r>
    </w:p>
    <w:p w14:paraId="65258D3D"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36E69E60" w14:textId="39A48E60" w:rsidR="0092357A" w:rsidRPr="0079563C" w:rsidRDefault="00AE7241" w:rsidP="0092357A">
      <w:pPr>
        <w:spacing w:after="0" w:line="23" w:lineRule="atLeast"/>
        <w:jc w:val="both"/>
        <w:rPr>
          <w:rFonts w:ascii="Arial" w:eastAsia="Times New Roman" w:hAnsi="Arial" w:cs="Arial"/>
          <w:color w:val="000000" w:themeColor="text1"/>
          <w:sz w:val="26"/>
          <w:szCs w:val="26"/>
        </w:rPr>
      </w:pPr>
      <w:r>
        <w:rPr>
          <w:rFonts w:ascii="Arial" w:eastAsia="Times New Roman" w:hAnsi="Arial" w:cs="Arial"/>
          <w:b/>
          <w:bCs/>
          <w:color w:val="000000" w:themeColor="text1"/>
          <w:sz w:val="26"/>
          <w:szCs w:val="26"/>
        </w:rPr>
        <w:t>TERCERO</w:t>
      </w:r>
      <w:r w:rsidR="0092357A" w:rsidRPr="0079563C">
        <w:rPr>
          <w:rFonts w:ascii="Arial" w:eastAsia="Times New Roman" w:hAnsi="Arial" w:cs="Arial"/>
          <w:b/>
          <w:bCs/>
          <w:color w:val="000000" w:themeColor="text1"/>
          <w:sz w:val="26"/>
          <w:szCs w:val="26"/>
        </w:rPr>
        <w:t>.</w:t>
      </w:r>
      <w:r w:rsidR="0092357A" w:rsidRPr="0079563C">
        <w:rPr>
          <w:rFonts w:ascii="Arial" w:eastAsia="Times New Roman" w:hAnsi="Arial" w:cs="Arial"/>
          <w:color w:val="000000" w:themeColor="text1"/>
          <w:sz w:val="26"/>
          <w:szCs w:val="26"/>
          <w:lang w:val="es-MX"/>
        </w:rPr>
        <w:t xml:space="preserve"> </w:t>
      </w:r>
      <w:r w:rsidR="0092357A" w:rsidRPr="0079563C">
        <w:rPr>
          <w:rFonts w:ascii="Arial" w:eastAsia="Times New Roman" w:hAnsi="Arial" w:cs="Arial"/>
          <w:b/>
          <w:bCs/>
          <w:color w:val="000000" w:themeColor="text1"/>
          <w:sz w:val="26"/>
          <w:szCs w:val="26"/>
        </w:rPr>
        <w:t>Análisis preliminar</w:t>
      </w:r>
      <w:r w:rsidR="0092357A" w:rsidRPr="0079563C">
        <w:rPr>
          <w:rFonts w:ascii="Arial" w:eastAsia="Times New Roman" w:hAnsi="Arial" w:cs="Arial"/>
          <w:color w:val="000000" w:themeColor="text1"/>
          <w:sz w:val="26"/>
          <w:szCs w:val="26"/>
        </w:rPr>
        <w:t xml:space="preserve">. Recibido el </w:t>
      </w:r>
      <w:r w:rsidR="000D2E4D" w:rsidRPr="0079563C">
        <w:rPr>
          <w:rFonts w:ascii="Arial" w:eastAsia="Times New Roman" w:hAnsi="Arial" w:cs="Arial"/>
          <w:color w:val="000000" w:themeColor="text1"/>
          <w:sz w:val="26"/>
          <w:szCs w:val="26"/>
        </w:rPr>
        <w:t xml:space="preserve">amparo directo en revisión, la </w:t>
      </w:r>
      <w:r w:rsidR="0092357A" w:rsidRPr="0079563C">
        <w:rPr>
          <w:rFonts w:ascii="Arial" w:eastAsia="Times New Roman" w:hAnsi="Arial" w:cs="Arial"/>
          <w:color w:val="000000" w:themeColor="text1"/>
          <w:sz w:val="26"/>
          <w:szCs w:val="26"/>
        </w:rPr>
        <w:t xml:space="preserve">Presidencia de la </w:t>
      </w:r>
      <w:r w:rsidR="000D2E4D" w:rsidRPr="0079563C">
        <w:rPr>
          <w:rFonts w:ascii="Arial" w:eastAsia="Times New Roman" w:hAnsi="Arial" w:cs="Arial"/>
          <w:color w:val="000000" w:themeColor="text1"/>
          <w:sz w:val="26"/>
          <w:szCs w:val="26"/>
        </w:rPr>
        <w:t>SCJN</w:t>
      </w:r>
      <w:r w:rsidR="0092357A" w:rsidRPr="0079563C">
        <w:rPr>
          <w:rFonts w:ascii="Arial" w:eastAsia="Times New Roman" w:hAnsi="Arial" w:cs="Arial"/>
          <w:color w:val="000000" w:themeColor="text1"/>
          <w:sz w:val="26"/>
          <w:szCs w:val="26"/>
        </w:rPr>
        <w:t xml:space="preserve"> verificará que se cumplan los siguientes requisitos de procedencia:</w:t>
      </w:r>
    </w:p>
    <w:p w14:paraId="48568BF0"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3B433F78" w14:textId="6869F065" w:rsidR="0092357A" w:rsidRPr="0079563C" w:rsidRDefault="0092357A" w:rsidP="0092357A">
      <w:pPr>
        <w:pStyle w:val="Prrafodelista"/>
        <w:numPr>
          <w:ilvl w:val="0"/>
          <w:numId w:val="10"/>
        </w:numPr>
        <w:spacing w:after="0" w:line="23" w:lineRule="atLeast"/>
        <w:ind w:left="567" w:hanging="283"/>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t xml:space="preserve">El recurso sea interpuesto oportunamente y por parte legitimada; </w:t>
      </w:r>
    </w:p>
    <w:p w14:paraId="1DE6AACC" w14:textId="77777777" w:rsidR="0092357A" w:rsidRPr="0079563C" w:rsidRDefault="0092357A" w:rsidP="0092357A">
      <w:pPr>
        <w:pStyle w:val="Prrafodelista"/>
        <w:spacing w:after="0" w:line="23" w:lineRule="atLeast"/>
        <w:ind w:left="567"/>
        <w:jc w:val="both"/>
        <w:rPr>
          <w:rFonts w:ascii="Arial" w:eastAsia="Times New Roman" w:hAnsi="Arial" w:cs="Arial"/>
          <w:color w:val="000000" w:themeColor="text1"/>
          <w:sz w:val="26"/>
          <w:szCs w:val="26"/>
        </w:rPr>
      </w:pPr>
    </w:p>
    <w:p w14:paraId="6F3F17D7" w14:textId="261C7FA6" w:rsidR="00ED11EF" w:rsidRPr="0079563C" w:rsidRDefault="0092357A" w:rsidP="00ED11EF">
      <w:pPr>
        <w:pStyle w:val="Prrafodelista"/>
        <w:numPr>
          <w:ilvl w:val="0"/>
          <w:numId w:val="10"/>
        </w:numPr>
        <w:spacing w:after="0" w:line="23" w:lineRule="atLeast"/>
        <w:ind w:left="567" w:hanging="283"/>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t xml:space="preserve">En la sentencia recurrida el Tribunal Colegiado haya realizado un pronunciamiento sobre la constitucionalidad de alguna norma general, la interpretación directa de algún precepto constitucional, de un derecho humano establecido en los Tratados Internacionales de los que el Estado Mexicano sea parte, o bien, que el </w:t>
      </w:r>
      <w:r w:rsidR="000867DC" w:rsidRPr="0079563C">
        <w:rPr>
          <w:rFonts w:ascii="Arial" w:eastAsia="Times New Roman" w:hAnsi="Arial" w:cs="Arial"/>
          <w:color w:val="000000" w:themeColor="text1"/>
          <w:sz w:val="26"/>
          <w:szCs w:val="26"/>
        </w:rPr>
        <w:t>T</w:t>
      </w:r>
      <w:r w:rsidRPr="0079563C">
        <w:rPr>
          <w:rFonts w:ascii="Arial" w:eastAsia="Times New Roman" w:hAnsi="Arial" w:cs="Arial"/>
          <w:color w:val="000000" w:themeColor="text1"/>
          <w:sz w:val="26"/>
          <w:szCs w:val="26"/>
        </w:rPr>
        <w:t xml:space="preserve">ribunal </w:t>
      </w:r>
      <w:r w:rsidR="000867DC" w:rsidRPr="0079563C">
        <w:rPr>
          <w:rFonts w:ascii="Arial" w:eastAsia="Times New Roman" w:hAnsi="Arial" w:cs="Arial"/>
          <w:color w:val="000000" w:themeColor="text1"/>
          <w:sz w:val="26"/>
          <w:szCs w:val="26"/>
        </w:rPr>
        <w:t>C</w:t>
      </w:r>
      <w:r w:rsidRPr="0079563C">
        <w:rPr>
          <w:rFonts w:ascii="Arial" w:eastAsia="Times New Roman" w:hAnsi="Arial" w:cs="Arial"/>
          <w:color w:val="000000" w:themeColor="text1"/>
          <w:sz w:val="26"/>
          <w:szCs w:val="26"/>
        </w:rPr>
        <w:t xml:space="preserve">olegiado de </w:t>
      </w:r>
      <w:r w:rsidR="000867DC" w:rsidRPr="0079563C">
        <w:rPr>
          <w:rFonts w:ascii="Arial" w:eastAsia="Times New Roman" w:hAnsi="Arial" w:cs="Arial"/>
          <w:color w:val="000000" w:themeColor="text1"/>
          <w:sz w:val="26"/>
          <w:szCs w:val="26"/>
        </w:rPr>
        <w:t>C</w:t>
      </w:r>
      <w:r w:rsidRPr="0079563C">
        <w:rPr>
          <w:rFonts w:ascii="Arial" w:eastAsia="Times New Roman" w:hAnsi="Arial" w:cs="Arial"/>
          <w:color w:val="000000" w:themeColor="text1"/>
          <w:sz w:val="26"/>
          <w:szCs w:val="26"/>
        </w:rPr>
        <w:t>ircuito haya omitido el estudio de dichas cuestiones</w:t>
      </w:r>
      <w:r w:rsidR="008F1CF6">
        <w:rPr>
          <w:rFonts w:ascii="Arial" w:eastAsia="Times New Roman" w:hAnsi="Arial" w:cs="Arial"/>
          <w:color w:val="000000" w:themeColor="text1"/>
          <w:sz w:val="26"/>
          <w:szCs w:val="26"/>
        </w:rPr>
        <w:t>, y</w:t>
      </w:r>
    </w:p>
    <w:p w14:paraId="6A1967B9" w14:textId="77777777" w:rsidR="00ED11EF" w:rsidRPr="0079563C" w:rsidRDefault="00ED11EF" w:rsidP="00ED11EF">
      <w:pPr>
        <w:pStyle w:val="Prrafodelista"/>
        <w:spacing w:after="0" w:line="23" w:lineRule="atLeast"/>
        <w:ind w:left="567"/>
        <w:jc w:val="both"/>
        <w:rPr>
          <w:rFonts w:ascii="Arial" w:eastAsia="Times New Roman" w:hAnsi="Arial" w:cs="Arial"/>
          <w:color w:val="000000" w:themeColor="text1"/>
          <w:sz w:val="26"/>
          <w:szCs w:val="26"/>
        </w:rPr>
      </w:pPr>
    </w:p>
    <w:p w14:paraId="0D24A6CC" w14:textId="755CD419" w:rsidR="0092357A" w:rsidRPr="0079563C" w:rsidRDefault="0092357A" w:rsidP="00ED11EF">
      <w:pPr>
        <w:pStyle w:val="Prrafodelista"/>
        <w:numPr>
          <w:ilvl w:val="0"/>
          <w:numId w:val="10"/>
        </w:numPr>
        <w:spacing w:after="0" w:line="23" w:lineRule="atLeast"/>
        <w:ind w:left="567" w:hanging="283"/>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lang w:val="es-MX"/>
        </w:rPr>
        <w:t>El asunto revista un interés excepcional en materia constitucional o de derechos humanos.</w:t>
      </w:r>
    </w:p>
    <w:p w14:paraId="521F9EF9"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22229F82" w14:textId="7EAF9A54"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color w:val="000000" w:themeColor="text1"/>
          <w:sz w:val="26"/>
          <w:szCs w:val="26"/>
        </w:rPr>
        <w:t xml:space="preserve">Cuando no se reúna alguno de estos requisitos, la Presidencia de la </w:t>
      </w:r>
      <w:r w:rsidR="000D2E4D" w:rsidRPr="0079563C">
        <w:rPr>
          <w:rFonts w:ascii="Arial" w:eastAsia="Times New Roman" w:hAnsi="Arial" w:cs="Arial"/>
          <w:color w:val="000000" w:themeColor="text1"/>
          <w:sz w:val="26"/>
          <w:szCs w:val="26"/>
        </w:rPr>
        <w:t>SCJN</w:t>
      </w:r>
      <w:r w:rsidRPr="0079563C">
        <w:rPr>
          <w:rFonts w:ascii="Arial" w:eastAsia="Times New Roman" w:hAnsi="Arial" w:cs="Arial"/>
          <w:color w:val="000000" w:themeColor="text1"/>
          <w:sz w:val="26"/>
          <w:szCs w:val="26"/>
        </w:rPr>
        <w:t xml:space="preserve"> desechará de plano el recurso de que se trate, sin que dicho auto pueda ser recurrido en términos del artículo 107 fracción IX, última parte, de la </w:t>
      </w:r>
      <w:r w:rsidR="007C5E4D">
        <w:rPr>
          <w:rFonts w:ascii="Arial" w:eastAsia="Times New Roman" w:hAnsi="Arial" w:cs="Arial"/>
          <w:color w:val="000000" w:themeColor="text1"/>
          <w:sz w:val="26"/>
          <w:szCs w:val="26"/>
        </w:rPr>
        <w:t>CPEUM</w:t>
      </w:r>
      <w:r w:rsidRPr="0079563C">
        <w:rPr>
          <w:rFonts w:ascii="Arial" w:eastAsia="Times New Roman" w:hAnsi="Arial" w:cs="Arial"/>
          <w:color w:val="000000" w:themeColor="text1"/>
          <w:sz w:val="26"/>
          <w:szCs w:val="26"/>
        </w:rPr>
        <w:t>.</w:t>
      </w:r>
    </w:p>
    <w:p w14:paraId="254E0B08"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3E09EC5A" w14:textId="647F7F0D" w:rsidR="0092357A" w:rsidRPr="0079563C" w:rsidRDefault="00AE7241" w:rsidP="0092357A">
      <w:pPr>
        <w:spacing w:after="0" w:line="23" w:lineRule="atLeast"/>
        <w:jc w:val="both"/>
        <w:rPr>
          <w:rFonts w:ascii="Arial" w:eastAsia="Times New Roman" w:hAnsi="Arial" w:cs="Arial"/>
          <w:b/>
          <w:bCs/>
          <w:color w:val="000000" w:themeColor="text1"/>
          <w:sz w:val="26"/>
          <w:szCs w:val="26"/>
        </w:rPr>
      </w:pPr>
      <w:r>
        <w:rPr>
          <w:rFonts w:ascii="Arial" w:eastAsia="Times New Roman" w:hAnsi="Arial" w:cs="Arial"/>
          <w:b/>
          <w:bCs/>
          <w:color w:val="000000" w:themeColor="text1"/>
          <w:sz w:val="26"/>
          <w:szCs w:val="26"/>
        </w:rPr>
        <w:t>CUARTO</w:t>
      </w:r>
      <w:r w:rsidR="0092357A" w:rsidRPr="0079563C">
        <w:rPr>
          <w:rFonts w:ascii="Arial" w:eastAsia="Times New Roman" w:hAnsi="Arial" w:cs="Arial"/>
          <w:b/>
          <w:bCs/>
          <w:color w:val="000000" w:themeColor="text1"/>
          <w:sz w:val="26"/>
          <w:szCs w:val="26"/>
        </w:rPr>
        <w:t xml:space="preserve">. Criterios orientadores sobre el interés excepcional. </w:t>
      </w:r>
      <w:r w:rsidR="0092357A" w:rsidRPr="0079563C">
        <w:rPr>
          <w:rFonts w:ascii="Arial" w:eastAsia="Times New Roman" w:hAnsi="Arial" w:cs="Arial"/>
          <w:color w:val="000000" w:themeColor="text1"/>
          <w:sz w:val="26"/>
          <w:szCs w:val="26"/>
          <w:lang w:val="es-MX"/>
        </w:rPr>
        <w:t>Para efectos de este Acuerdo</w:t>
      </w:r>
      <w:r w:rsidR="002E72F3">
        <w:rPr>
          <w:rFonts w:ascii="Arial" w:eastAsia="Times New Roman" w:hAnsi="Arial" w:cs="Arial"/>
          <w:color w:val="000000" w:themeColor="text1"/>
          <w:sz w:val="26"/>
          <w:szCs w:val="26"/>
          <w:lang w:val="es-MX"/>
        </w:rPr>
        <w:t xml:space="preserve"> General</w:t>
      </w:r>
      <w:r w:rsidR="0092357A" w:rsidRPr="0079563C">
        <w:rPr>
          <w:rFonts w:ascii="Arial" w:eastAsia="Times New Roman" w:hAnsi="Arial" w:cs="Arial"/>
          <w:color w:val="000000" w:themeColor="text1"/>
          <w:sz w:val="26"/>
          <w:szCs w:val="26"/>
          <w:lang w:val="es-MX"/>
        </w:rPr>
        <w:t>, se considerará que un asunto reviste interés excepcional en materia constitucional o de derechos humanos, entre otros, en los siguientes supuestos:</w:t>
      </w:r>
    </w:p>
    <w:p w14:paraId="1DBD0640" w14:textId="77777777" w:rsidR="0092357A" w:rsidRPr="0079563C" w:rsidRDefault="0092357A" w:rsidP="0092357A">
      <w:pPr>
        <w:spacing w:after="0" w:line="23" w:lineRule="atLeast"/>
        <w:ind w:left="1134"/>
        <w:jc w:val="both"/>
        <w:rPr>
          <w:rFonts w:ascii="Arial" w:eastAsia="Times New Roman" w:hAnsi="Arial" w:cs="Arial"/>
          <w:color w:val="000000" w:themeColor="text1"/>
          <w:sz w:val="26"/>
          <w:szCs w:val="26"/>
          <w:lang w:val="es-MX"/>
        </w:rPr>
      </w:pPr>
    </w:p>
    <w:p w14:paraId="77A578A6" w14:textId="5085EBF6" w:rsidR="0092357A" w:rsidRPr="0079563C" w:rsidRDefault="0092357A" w:rsidP="0092357A">
      <w:pPr>
        <w:pStyle w:val="Prrafodelista"/>
        <w:numPr>
          <w:ilvl w:val="1"/>
          <w:numId w:val="4"/>
        </w:numPr>
        <w:spacing w:after="0" w:line="23" w:lineRule="atLeast"/>
        <w:ind w:left="0" w:firstLine="567"/>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lang w:val="es-MX"/>
        </w:rPr>
        <w:t xml:space="preserve">El asunto plantee una problemática novedosa o que requiera un </w:t>
      </w:r>
      <w:r w:rsidR="00AE7241" w:rsidRPr="0079563C">
        <w:rPr>
          <w:rFonts w:ascii="Arial" w:eastAsia="Times New Roman" w:hAnsi="Arial" w:cs="Arial"/>
          <w:color w:val="000000" w:themeColor="text1"/>
          <w:sz w:val="26"/>
          <w:szCs w:val="26"/>
          <w:lang w:val="es-MX"/>
        </w:rPr>
        <w:t>análisis</w:t>
      </w:r>
      <w:r w:rsidRPr="0079563C">
        <w:rPr>
          <w:rFonts w:ascii="Arial" w:eastAsia="Times New Roman" w:hAnsi="Arial" w:cs="Arial"/>
          <w:color w:val="000000" w:themeColor="text1"/>
          <w:sz w:val="26"/>
          <w:szCs w:val="26"/>
          <w:lang w:val="es-MX"/>
        </w:rPr>
        <w:t xml:space="preserve"> más profundo por</w:t>
      </w:r>
      <w:r w:rsidR="00AE7241">
        <w:rPr>
          <w:rFonts w:ascii="Arial" w:eastAsia="Times New Roman" w:hAnsi="Arial" w:cs="Arial"/>
          <w:color w:val="000000" w:themeColor="text1"/>
          <w:sz w:val="26"/>
          <w:szCs w:val="26"/>
          <w:lang w:val="es-MX"/>
        </w:rPr>
        <w:t xml:space="preserve"> </w:t>
      </w:r>
      <w:r w:rsidRPr="0079563C">
        <w:rPr>
          <w:rFonts w:ascii="Arial" w:eastAsia="Times New Roman" w:hAnsi="Arial" w:cs="Arial"/>
          <w:color w:val="000000" w:themeColor="text1"/>
          <w:sz w:val="26"/>
          <w:szCs w:val="26"/>
          <w:lang w:val="es-MX"/>
        </w:rPr>
        <w:t xml:space="preserve">la </w:t>
      </w:r>
      <w:r w:rsidR="007C5E4D" w:rsidRPr="0079563C">
        <w:rPr>
          <w:rFonts w:ascii="Arial" w:hAnsi="Arial" w:cs="Arial"/>
          <w:bCs/>
          <w:color w:val="000000" w:themeColor="text1"/>
          <w:sz w:val="26"/>
          <w:szCs w:val="26"/>
          <w:lang w:val="es-MX"/>
        </w:rPr>
        <w:t>SCJN</w:t>
      </w:r>
      <w:r w:rsidRPr="0079563C">
        <w:rPr>
          <w:rFonts w:ascii="Arial" w:eastAsia="Times New Roman" w:hAnsi="Arial" w:cs="Arial"/>
          <w:color w:val="000000" w:themeColor="text1"/>
          <w:sz w:val="26"/>
          <w:szCs w:val="26"/>
          <w:lang w:val="es-MX"/>
        </w:rPr>
        <w:t>, especialmente en torno a la interpretación de normas constitucionales o derechos humanos</w:t>
      </w:r>
      <w:r w:rsidR="000D2E4D" w:rsidRPr="0079563C">
        <w:rPr>
          <w:rFonts w:ascii="Arial" w:eastAsia="Times New Roman" w:hAnsi="Arial" w:cs="Arial"/>
          <w:color w:val="000000" w:themeColor="text1"/>
          <w:sz w:val="26"/>
          <w:szCs w:val="26"/>
          <w:lang w:val="es-MX"/>
        </w:rPr>
        <w:t>;</w:t>
      </w:r>
    </w:p>
    <w:p w14:paraId="22126960" w14:textId="77777777" w:rsidR="0092357A" w:rsidRPr="0079563C" w:rsidRDefault="0092357A" w:rsidP="0092357A">
      <w:pPr>
        <w:pStyle w:val="Prrafodelista"/>
        <w:spacing w:after="0" w:line="23" w:lineRule="atLeast"/>
        <w:ind w:firstLine="567"/>
        <w:jc w:val="both"/>
        <w:rPr>
          <w:rFonts w:ascii="Arial" w:eastAsia="Times New Roman" w:hAnsi="Arial" w:cs="Arial"/>
          <w:color w:val="000000" w:themeColor="text1"/>
          <w:sz w:val="26"/>
          <w:szCs w:val="26"/>
          <w:lang w:val="es-MX"/>
        </w:rPr>
      </w:pPr>
    </w:p>
    <w:p w14:paraId="37613F19" w14:textId="1B810CC3" w:rsidR="0092357A" w:rsidRPr="0079563C" w:rsidRDefault="0092357A" w:rsidP="0092357A">
      <w:pPr>
        <w:pStyle w:val="Prrafodelista"/>
        <w:numPr>
          <w:ilvl w:val="1"/>
          <w:numId w:val="4"/>
        </w:numPr>
        <w:spacing w:after="0" w:line="23" w:lineRule="atLeast"/>
        <w:ind w:left="0" w:firstLine="567"/>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lang w:val="es-MX"/>
        </w:rPr>
        <w:t>El problema jurídico involucre una violación grave a los derechos humanos</w:t>
      </w:r>
      <w:r w:rsidR="00D14F17" w:rsidRPr="0079563C">
        <w:rPr>
          <w:rFonts w:ascii="Arial" w:eastAsia="Times New Roman" w:hAnsi="Arial" w:cs="Arial"/>
          <w:color w:val="000000" w:themeColor="text1"/>
          <w:sz w:val="26"/>
          <w:szCs w:val="26"/>
          <w:lang w:val="es-MX"/>
        </w:rPr>
        <w:t>;</w:t>
      </w:r>
    </w:p>
    <w:p w14:paraId="29875E7F" w14:textId="77777777" w:rsidR="0092357A" w:rsidRPr="0079563C" w:rsidRDefault="0092357A" w:rsidP="00ED11EF">
      <w:pPr>
        <w:spacing w:line="23" w:lineRule="atLeast"/>
        <w:jc w:val="both"/>
        <w:rPr>
          <w:rFonts w:ascii="Arial" w:eastAsia="Times New Roman" w:hAnsi="Arial" w:cs="Arial"/>
          <w:color w:val="000000" w:themeColor="text1"/>
          <w:sz w:val="26"/>
          <w:szCs w:val="26"/>
          <w:lang w:val="es-MX"/>
        </w:rPr>
      </w:pPr>
    </w:p>
    <w:p w14:paraId="494109A0" w14:textId="73205E25" w:rsidR="0092357A" w:rsidRPr="008F1CF6" w:rsidRDefault="0092357A" w:rsidP="0092357A">
      <w:pPr>
        <w:pStyle w:val="Prrafodelista"/>
        <w:numPr>
          <w:ilvl w:val="1"/>
          <w:numId w:val="4"/>
        </w:numPr>
        <w:spacing w:after="0" w:line="23" w:lineRule="atLeast"/>
        <w:ind w:left="0" w:firstLine="567"/>
        <w:jc w:val="both"/>
        <w:rPr>
          <w:rFonts w:ascii="Arial" w:eastAsia="Times New Roman" w:hAnsi="Arial" w:cs="Arial"/>
          <w:color w:val="000000" w:themeColor="text1"/>
          <w:sz w:val="26"/>
          <w:szCs w:val="26"/>
          <w:lang w:val="es-MX"/>
        </w:rPr>
      </w:pPr>
      <w:r w:rsidRPr="008F1CF6">
        <w:rPr>
          <w:rFonts w:ascii="Arial" w:eastAsia="Times New Roman" w:hAnsi="Arial" w:cs="Arial"/>
          <w:color w:val="000000" w:themeColor="text1"/>
          <w:sz w:val="26"/>
          <w:szCs w:val="26"/>
          <w:lang w:val="es-MX"/>
        </w:rPr>
        <w:t xml:space="preserve">Si la sentencia del Tribunal Colegiado de Circuito hace una interpretación restrictiva de algún precepto de la </w:t>
      </w:r>
      <w:r w:rsidR="007C5E4D">
        <w:rPr>
          <w:rFonts w:ascii="Arial" w:eastAsia="Times New Roman" w:hAnsi="Arial" w:cs="Arial"/>
          <w:color w:val="000000" w:themeColor="text1"/>
          <w:sz w:val="26"/>
          <w:szCs w:val="26"/>
        </w:rPr>
        <w:t>CPEUM</w:t>
      </w:r>
      <w:r w:rsidR="00D14F17" w:rsidRPr="008F1CF6">
        <w:rPr>
          <w:rFonts w:ascii="Arial" w:eastAsia="Times New Roman" w:hAnsi="Arial" w:cs="Arial"/>
          <w:color w:val="000000" w:themeColor="text1"/>
          <w:sz w:val="26"/>
          <w:szCs w:val="26"/>
          <w:lang w:val="es-MX"/>
        </w:rPr>
        <w:t>,</w:t>
      </w:r>
      <w:r w:rsidR="000D2E4D" w:rsidRPr="008F1CF6">
        <w:rPr>
          <w:rFonts w:ascii="Arial" w:eastAsia="Times New Roman" w:hAnsi="Arial" w:cs="Arial"/>
          <w:color w:val="000000" w:themeColor="text1"/>
          <w:sz w:val="26"/>
          <w:szCs w:val="26"/>
          <w:lang w:val="es-MX"/>
        </w:rPr>
        <w:t xml:space="preserve"> </w:t>
      </w:r>
      <w:r w:rsidR="002E72F3" w:rsidRPr="008F1CF6">
        <w:rPr>
          <w:rFonts w:ascii="Arial" w:eastAsia="Times New Roman" w:hAnsi="Arial" w:cs="Arial"/>
          <w:color w:val="000000" w:themeColor="text1"/>
          <w:sz w:val="26"/>
          <w:szCs w:val="26"/>
          <w:lang w:val="es-MX"/>
        </w:rPr>
        <w:t>o</w:t>
      </w:r>
      <w:r w:rsidR="007510D6">
        <w:rPr>
          <w:rFonts w:ascii="Arial" w:eastAsia="Times New Roman" w:hAnsi="Arial" w:cs="Arial"/>
          <w:color w:val="000000" w:themeColor="text1"/>
          <w:sz w:val="26"/>
          <w:szCs w:val="26"/>
          <w:lang w:val="es-MX"/>
        </w:rPr>
        <w:t xml:space="preserve"> de derechos humanos, o</w:t>
      </w:r>
    </w:p>
    <w:p w14:paraId="5F1B10A5" w14:textId="77777777" w:rsidR="0092357A" w:rsidRPr="0079563C" w:rsidRDefault="0092357A" w:rsidP="0092357A">
      <w:pPr>
        <w:pStyle w:val="Prrafodelista"/>
        <w:spacing w:after="0" w:line="23" w:lineRule="atLeast"/>
        <w:ind w:firstLine="567"/>
        <w:jc w:val="both"/>
        <w:rPr>
          <w:rFonts w:ascii="Arial" w:eastAsia="Times New Roman" w:hAnsi="Arial" w:cs="Arial"/>
          <w:color w:val="000000" w:themeColor="text1"/>
          <w:sz w:val="26"/>
          <w:szCs w:val="26"/>
          <w:lang w:val="es-MX"/>
        </w:rPr>
      </w:pPr>
    </w:p>
    <w:p w14:paraId="2C5A7BC2" w14:textId="28A744BA" w:rsidR="0092357A" w:rsidRPr="0079563C" w:rsidRDefault="0092357A" w:rsidP="00D609EE">
      <w:pPr>
        <w:pStyle w:val="Prrafodelista"/>
        <w:numPr>
          <w:ilvl w:val="1"/>
          <w:numId w:val="4"/>
        </w:numPr>
        <w:spacing w:after="0" w:line="23" w:lineRule="atLeast"/>
        <w:ind w:left="0" w:firstLine="567"/>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lang w:val="es-MX"/>
        </w:rPr>
        <w:t xml:space="preserve">La sentencia recurrida contradiga o desconozca un criterio sostenido por la </w:t>
      </w:r>
      <w:r w:rsidR="007C5E4D" w:rsidRPr="0079563C">
        <w:rPr>
          <w:rFonts w:ascii="Arial" w:hAnsi="Arial" w:cs="Arial"/>
          <w:bCs/>
          <w:color w:val="000000" w:themeColor="text1"/>
          <w:sz w:val="26"/>
          <w:szCs w:val="26"/>
          <w:lang w:val="es-MX"/>
        </w:rPr>
        <w:t>SCJN</w:t>
      </w:r>
      <w:r w:rsidRPr="0079563C">
        <w:rPr>
          <w:rFonts w:ascii="Arial" w:eastAsia="Times New Roman" w:hAnsi="Arial" w:cs="Arial"/>
          <w:color w:val="000000" w:themeColor="text1"/>
          <w:sz w:val="26"/>
          <w:szCs w:val="26"/>
          <w:lang w:val="es-MX"/>
        </w:rPr>
        <w:t xml:space="preserve"> en materia constitucional</w:t>
      </w:r>
      <w:r w:rsidR="007510D6">
        <w:rPr>
          <w:rFonts w:ascii="Arial" w:eastAsia="Times New Roman" w:hAnsi="Arial" w:cs="Arial"/>
          <w:color w:val="000000" w:themeColor="text1"/>
          <w:sz w:val="26"/>
          <w:szCs w:val="26"/>
          <w:lang w:val="es-MX"/>
        </w:rPr>
        <w:t xml:space="preserve"> o de derechos humanos</w:t>
      </w:r>
      <w:r w:rsidRPr="0079563C">
        <w:rPr>
          <w:rFonts w:ascii="Arial" w:eastAsia="Times New Roman" w:hAnsi="Arial" w:cs="Arial"/>
          <w:color w:val="000000" w:themeColor="text1"/>
          <w:sz w:val="26"/>
          <w:szCs w:val="26"/>
          <w:lang w:val="es-MX"/>
        </w:rPr>
        <w:t>.</w:t>
      </w:r>
    </w:p>
    <w:p w14:paraId="264A97F2"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16B3E9EC" w14:textId="77777777" w:rsidR="0092357A" w:rsidRPr="0079563C" w:rsidRDefault="0092357A" w:rsidP="0092357A">
      <w:pPr>
        <w:spacing w:after="0" w:line="23" w:lineRule="atLeast"/>
        <w:jc w:val="center"/>
        <w:rPr>
          <w:rFonts w:ascii="Arial" w:eastAsia="Times New Roman" w:hAnsi="Arial" w:cs="Arial"/>
          <w:b/>
          <w:bCs/>
          <w:color w:val="000000" w:themeColor="text1"/>
          <w:sz w:val="26"/>
          <w:szCs w:val="26"/>
        </w:rPr>
      </w:pPr>
      <w:r w:rsidRPr="0079563C">
        <w:rPr>
          <w:rFonts w:ascii="Arial" w:eastAsia="Times New Roman" w:hAnsi="Arial" w:cs="Arial"/>
          <w:b/>
          <w:bCs/>
          <w:color w:val="000000" w:themeColor="text1"/>
          <w:sz w:val="26"/>
          <w:szCs w:val="26"/>
        </w:rPr>
        <w:t>TRANSITORIOS</w:t>
      </w:r>
    </w:p>
    <w:p w14:paraId="0F21AF65" w14:textId="77777777" w:rsidR="0092357A" w:rsidRPr="0079563C" w:rsidRDefault="0092357A" w:rsidP="0092357A">
      <w:pPr>
        <w:spacing w:after="0" w:line="23" w:lineRule="atLeast"/>
        <w:jc w:val="both"/>
        <w:rPr>
          <w:rFonts w:ascii="Arial" w:eastAsia="Times New Roman" w:hAnsi="Arial" w:cs="Arial"/>
          <w:b/>
          <w:bCs/>
          <w:color w:val="000000" w:themeColor="text1"/>
          <w:sz w:val="26"/>
          <w:szCs w:val="26"/>
        </w:rPr>
      </w:pPr>
    </w:p>
    <w:p w14:paraId="1A52730F"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r w:rsidRPr="0079563C">
        <w:rPr>
          <w:rFonts w:ascii="Arial" w:eastAsia="Times New Roman" w:hAnsi="Arial" w:cs="Arial"/>
          <w:b/>
          <w:bCs/>
          <w:color w:val="000000" w:themeColor="text1"/>
          <w:sz w:val="26"/>
          <w:szCs w:val="26"/>
        </w:rPr>
        <w:t xml:space="preserve">PRIMERO. </w:t>
      </w:r>
      <w:r w:rsidRPr="0079563C">
        <w:rPr>
          <w:rFonts w:ascii="Arial" w:eastAsia="Times New Roman" w:hAnsi="Arial" w:cs="Arial"/>
          <w:color w:val="000000" w:themeColor="text1"/>
          <w:sz w:val="26"/>
          <w:szCs w:val="26"/>
        </w:rPr>
        <w:t>El presente Acuerdo General entrará en vigor al día siguiente de su publicación en el Diario Oficial de la Federación.</w:t>
      </w:r>
    </w:p>
    <w:p w14:paraId="6814D738" w14:textId="77777777" w:rsidR="0092357A" w:rsidRPr="0079563C" w:rsidRDefault="0092357A" w:rsidP="0092357A">
      <w:pPr>
        <w:spacing w:after="0" w:line="23" w:lineRule="atLeast"/>
        <w:jc w:val="both"/>
        <w:rPr>
          <w:rFonts w:ascii="Arial" w:eastAsia="Times New Roman" w:hAnsi="Arial" w:cs="Arial"/>
          <w:color w:val="000000" w:themeColor="text1"/>
          <w:sz w:val="26"/>
          <w:szCs w:val="26"/>
        </w:rPr>
      </w:pPr>
    </w:p>
    <w:p w14:paraId="02917835" w14:textId="0F9380F4" w:rsidR="0092357A" w:rsidRPr="0079563C" w:rsidRDefault="0092357A" w:rsidP="0092357A">
      <w:pPr>
        <w:spacing w:after="0" w:line="23" w:lineRule="atLeast"/>
        <w:jc w:val="both"/>
        <w:rPr>
          <w:rFonts w:ascii="Arial" w:eastAsia="Times New Roman" w:hAnsi="Arial" w:cs="Arial"/>
          <w:b/>
          <w:bCs/>
          <w:color w:val="000000" w:themeColor="text1"/>
          <w:sz w:val="26"/>
          <w:szCs w:val="26"/>
          <w:lang w:val="es-MX"/>
        </w:rPr>
      </w:pPr>
      <w:r w:rsidRPr="0079563C">
        <w:rPr>
          <w:rFonts w:ascii="Arial" w:eastAsia="Times New Roman" w:hAnsi="Arial" w:cs="Arial"/>
          <w:b/>
          <w:bCs/>
          <w:color w:val="000000" w:themeColor="text1"/>
          <w:sz w:val="26"/>
          <w:szCs w:val="26"/>
          <w:lang w:val="es-MX"/>
        </w:rPr>
        <w:t xml:space="preserve">SEGUNDO. </w:t>
      </w:r>
      <w:r w:rsidR="003530C7">
        <w:rPr>
          <w:rFonts w:ascii="Arial" w:eastAsia="Times New Roman" w:hAnsi="Arial" w:cs="Arial"/>
          <w:color w:val="000000" w:themeColor="text1"/>
          <w:sz w:val="26"/>
          <w:szCs w:val="26"/>
          <w:lang w:val="es-MX"/>
        </w:rPr>
        <w:t>S</w:t>
      </w:r>
      <w:r w:rsidRPr="0079563C">
        <w:rPr>
          <w:rFonts w:ascii="Arial" w:eastAsia="Times New Roman" w:hAnsi="Arial" w:cs="Arial"/>
          <w:color w:val="000000" w:themeColor="text1"/>
          <w:sz w:val="26"/>
          <w:szCs w:val="26"/>
          <w:lang w:val="es-MX"/>
        </w:rPr>
        <w:t xml:space="preserve">e abroga el Acuerdo General 9/2015 de ocho de junio de dos mil quince, del Pleno de la Suprema Corte de Justicia de la Nación, que establece las bases generales para la procedencia y tramitación de los recursos de revisión en amparo directo, así como cualquier otra disposición que se oponga al presente Acuerdo General. </w:t>
      </w:r>
    </w:p>
    <w:p w14:paraId="21BD3C35" w14:textId="77777777" w:rsidR="0092357A" w:rsidRPr="0079563C" w:rsidRDefault="0092357A" w:rsidP="0092357A">
      <w:pPr>
        <w:spacing w:after="0" w:line="23" w:lineRule="atLeast"/>
        <w:jc w:val="both"/>
        <w:rPr>
          <w:rFonts w:ascii="Arial" w:eastAsia="Times New Roman" w:hAnsi="Arial" w:cs="Arial"/>
          <w:color w:val="000000" w:themeColor="text1"/>
          <w:sz w:val="26"/>
          <w:szCs w:val="26"/>
          <w:lang w:val="es-MX"/>
        </w:rPr>
      </w:pPr>
      <w:r w:rsidRPr="0079563C">
        <w:rPr>
          <w:rFonts w:ascii="Arial" w:eastAsia="Times New Roman" w:hAnsi="Arial" w:cs="Arial"/>
          <w:color w:val="000000" w:themeColor="text1"/>
          <w:sz w:val="26"/>
          <w:szCs w:val="26"/>
          <w:lang w:val="es-MX"/>
        </w:rPr>
        <w:t> </w:t>
      </w:r>
    </w:p>
    <w:p w14:paraId="46D6B5F9" w14:textId="4563EC79" w:rsidR="000B2A60" w:rsidRPr="0079563C" w:rsidRDefault="0092357A" w:rsidP="000B2A60">
      <w:pPr>
        <w:spacing w:line="240" w:lineRule="auto"/>
        <w:jc w:val="both"/>
        <w:rPr>
          <w:rFonts w:ascii="Arial" w:hAnsi="Arial" w:cs="Arial"/>
          <w:color w:val="000000" w:themeColor="text1"/>
          <w:sz w:val="26"/>
          <w:szCs w:val="26"/>
          <w:lang w:val="es-ES_tradnl"/>
        </w:rPr>
      </w:pPr>
      <w:r w:rsidRPr="0079563C">
        <w:rPr>
          <w:rFonts w:ascii="Arial" w:eastAsia="Times New Roman" w:hAnsi="Arial" w:cs="Arial"/>
          <w:b/>
          <w:bCs/>
          <w:color w:val="000000" w:themeColor="text1"/>
          <w:sz w:val="26"/>
          <w:szCs w:val="26"/>
          <w:lang w:val="es-MX"/>
        </w:rPr>
        <w:t xml:space="preserve">TERCERO. </w:t>
      </w:r>
      <w:r w:rsidRPr="0079563C">
        <w:rPr>
          <w:rFonts w:ascii="Arial" w:eastAsia="Times New Roman" w:hAnsi="Arial" w:cs="Arial"/>
          <w:color w:val="000000" w:themeColor="text1"/>
          <w:sz w:val="26"/>
          <w:szCs w:val="26"/>
        </w:rPr>
        <w:t>Publíquese el presente Acuerdo General en el Diario Oficial de la Federación, en el Semanario Judicial de la Federación y, en términos de lo dispuesto en el artículo 65, fracción I, de la Ley General de Transparencia y Acceso a la Información Pública, en medios electrónicos de consulta</w:t>
      </w:r>
      <w:r w:rsidR="000D2E4D" w:rsidRPr="0079563C">
        <w:rPr>
          <w:rFonts w:ascii="Arial" w:eastAsia="Times New Roman" w:hAnsi="Arial" w:cs="Arial"/>
          <w:color w:val="000000" w:themeColor="text1"/>
          <w:sz w:val="26"/>
          <w:szCs w:val="26"/>
        </w:rPr>
        <w:t xml:space="preserve"> </w:t>
      </w:r>
      <w:r w:rsidRPr="0079563C">
        <w:rPr>
          <w:rFonts w:ascii="Arial" w:eastAsia="Times New Roman" w:hAnsi="Arial" w:cs="Arial"/>
          <w:color w:val="000000" w:themeColor="text1"/>
          <w:sz w:val="26"/>
          <w:szCs w:val="26"/>
        </w:rPr>
        <w:t>pública.</w:t>
      </w:r>
      <w:bookmarkEnd w:id="0"/>
    </w:p>
    <w:p w14:paraId="33672DE0" w14:textId="77777777" w:rsidR="00EE1DAD" w:rsidRPr="00073F03" w:rsidRDefault="00EE1DAD" w:rsidP="00EE1DAD">
      <w:pPr>
        <w:spacing w:after="0" w:line="240" w:lineRule="auto"/>
        <w:ind w:left="142"/>
        <w:jc w:val="center"/>
        <w:rPr>
          <w:rFonts w:ascii="Arial" w:hAnsi="Arial" w:cs="Arial"/>
          <w:color w:val="000000"/>
          <w:sz w:val="28"/>
          <w:szCs w:val="28"/>
        </w:rPr>
      </w:pPr>
      <w:r>
        <w:rPr>
          <w:rFonts w:ascii="Arial" w:hAnsi="Arial" w:cs="Arial"/>
          <w:b/>
          <w:sz w:val="28"/>
          <w:szCs w:val="28"/>
        </w:rPr>
        <w:t>EL</w:t>
      </w:r>
      <w:r w:rsidRPr="00073F03">
        <w:rPr>
          <w:rFonts w:ascii="Arial" w:hAnsi="Arial" w:cs="Arial"/>
          <w:b/>
          <w:sz w:val="28"/>
          <w:szCs w:val="28"/>
        </w:rPr>
        <w:t xml:space="preserve"> PRESIDENT</w:t>
      </w:r>
      <w:r>
        <w:rPr>
          <w:rFonts w:ascii="Arial" w:hAnsi="Arial" w:cs="Arial"/>
          <w:b/>
          <w:sz w:val="28"/>
          <w:szCs w:val="28"/>
        </w:rPr>
        <w:t>E</w:t>
      </w:r>
      <w:r w:rsidRPr="00073F03">
        <w:rPr>
          <w:rFonts w:ascii="Arial" w:hAnsi="Arial" w:cs="Arial"/>
          <w:b/>
          <w:sz w:val="28"/>
          <w:szCs w:val="28"/>
        </w:rPr>
        <w:t xml:space="preserve"> DE LA SUPREMA CORTE</w:t>
      </w:r>
    </w:p>
    <w:p w14:paraId="1857C0EC" w14:textId="77777777" w:rsidR="00EE1DAD" w:rsidRPr="00073F03" w:rsidRDefault="00EE1DAD" w:rsidP="00EE1DAD">
      <w:pPr>
        <w:spacing w:after="0" w:line="240" w:lineRule="auto"/>
        <w:ind w:left="142"/>
        <w:jc w:val="center"/>
        <w:rPr>
          <w:rFonts w:ascii="Arial" w:hAnsi="Arial" w:cs="Arial"/>
          <w:b/>
          <w:sz w:val="28"/>
          <w:szCs w:val="28"/>
        </w:rPr>
      </w:pPr>
      <w:r w:rsidRPr="00073F03">
        <w:rPr>
          <w:rFonts w:ascii="Arial" w:hAnsi="Arial" w:cs="Arial"/>
          <w:b/>
          <w:sz w:val="28"/>
          <w:szCs w:val="28"/>
        </w:rPr>
        <w:t>DE JUSTICIA DE LA NACIÓN</w:t>
      </w:r>
    </w:p>
    <w:p w14:paraId="7990C957" w14:textId="77777777" w:rsidR="00EE1DAD" w:rsidRPr="00073F03" w:rsidRDefault="00EE1DAD" w:rsidP="00EE1DAD">
      <w:pPr>
        <w:spacing w:after="0" w:line="240" w:lineRule="auto"/>
        <w:ind w:left="142"/>
        <w:jc w:val="center"/>
        <w:rPr>
          <w:rFonts w:ascii="Arial" w:hAnsi="Arial" w:cs="Arial"/>
          <w:b/>
          <w:sz w:val="28"/>
          <w:szCs w:val="28"/>
        </w:rPr>
      </w:pPr>
    </w:p>
    <w:p w14:paraId="4D5B93AE" w14:textId="77777777" w:rsidR="000B2A60" w:rsidRPr="00073F03" w:rsidRDefault="000B2A60" w:rsidP="000B2A60">
      <w:pPr>
        <w:spacing w:after="0" w:line="240" w:lineRule="auto"/>
        <w:rPr>
          <w:rFonts w:ascii="Arial" w:hAnsi="Arial" w:cs="Arial"/>
          <w:b/>
          <w:sz w:val="28"/>
          <w:szCs w:val="28"/>
        </w:rPr>
      </w:pPr>
    </w:p>
    <w:p w14:paraId="76AB7C3B" w14:textId="77777777" w:rsidR="00EE1DAD" w:rsidRPr="00073F03" w:rsidRDefault="00EE1DAD" w:rsidP="00EE1DAD">
      <w:pPr>
        <w:spacing w:after="0" w:line="240" w:lineRule="auto"/>
        <w:ind w:left="142"/>
        <w:jc w:val="center"/>
        <w:rPr>
          <w:rFonts w:ascii="Arial" w:hAnsi="Arial" w:cs="Arial"/>
          <w:b/>
          <w:sz w:val="28"/>
          <w:szCs w:val="28"/>
        </w:rPr>
      </w:pPr>
    </w:p>
    <w:p w14:paraId="2BC9E9EE" w14:textId="77777777" w:rsidR="00EE1DAD" w:rsidRPr="00073F03" w:rsidRDefault="00EE1DAD" w:rsidP="00EE1DAD">
      <w:pPr>
        <w:tabs>
          <w:tab w:val="left" w:pos="851"/>
        </w:tabs>
        <w:spacing w:after="0" w:line="240" w:lineRule="auto"/>
        <w:ind w:left="426"/>
        <w:jc w:val="center"/>
        <w:rPr>
          <w:rFonts w:ascii="Arial" w:hAnsi="Arial" w:cs="Arial"/>
          <w:b/>
          <w:sz w:val="28"/>
          <w:szCs w:val="28"/>
        </w:rPr>
      </w:pPr>
      <w:r w:rsidRPr="00073F03">
        <w:rPr>
          <w:rFonts w:ascii="Arial" w:hAnsi="Arial" w:cs="Arial"/>
          <w:b/>
          <w:sz w:val="28"/>
          <w:szCs w:val="28"/>
        </w:rPr>
        <w:t>MINISTR</w:t>
      </w:r>
      <w:r>
        <w:rPr>
          <w:rFonts w:ascii="Arial" w:hAnsi="Arial" w:cs="Arial"/>
          <w:b/>
          <w:sz w:val="28"/>
          <w:szCs w:val="28"/>
        </w:rPr>
        <w:t>O</w:t>
      </w:r>
      <w:r w:rsidRPr="00073F03">
        <w:rPr>
          <w:rFonts w:ascii="Arial" w:hAnsi="Arial" w:cs="Arial"/>
          <w:b/>
          <w:sz w:val="28"/>
          <w:szCs w:val="28"/>
        </w:rPr>
        <w:t xml:space="preserve"> </w:t>
      </w:r>
      <w:r>
        <w:rPr>
          <w:rFonts w:ascii="Arial" w:hAnsi="Arial" w:cs="Arial"/>
          <w:b/>
          <w:sz w:val="28"/>
          <w:szCs w:val="28"/>
        </w:rPr>
        <w:t>HUGO AGUILAR ORTIZ</w:t>
      </w:r>
    </w:p>
    <w:p w14:paraId="79223D8A" w14:textId="77777777" w:rsidR="00EE1DAD" w:rsidRPr="00073F03" w:rsidRDefault="00EE1DAD" w:rsidP="00EE1DAD">
      <w:pPr>
        <w:tabs>
          <w:tab w:val="left" w:pos="851"/>
        </w:tabs>
        <w:spacing w:after="0" w:line="240" w:lineRule="auto"/>
        <w:ind w:left="426"/>
        <w:jc w:val="center"/>
        <w:rPr>
          <w:rFonts w:ascii="Arial" w:hAnsi="Arial" w:cs="Arial"/>
          <w:b/>
          <w:sz w:val="28"/>
          <w:szCs w:val="28"/>
        </w:rPr>
      </w:pPr>
    </w:p>
    <w:p w14:paraId="319FC0DC" w14:textId="77777777" w:rsidR="00EE1DAD" w:rsidRPr="00073F03" w:rsidRDefault="00EE1DAD" w:rsidP="00EE1DAD">
      <w:pPr>
        <w:tabs>
          <w:tab w:val="left" w:pos="851"/>
        </w:tabs>
        <w:spacing w:after="0" w:line="240" w:lineRule="auto"/>
        <w:ind w:left="426"/>
        <w:jc w:val="center"/>
        <w:rPr>
          <w:rFonts w:ascii="Arial" w:hAnsi="Arial" w:cs="Arial"/>
          <w:b/>
          <w:sz w:val="28"/>
          <w:szCs w:val="28"/>
        </w:rPr>
      </w:pPr>
    </w:p>
    <w:p w14:paraId="58B676C9" w14:textId="77777777" w:rsidR="00EE1DAD" w:rsidRPr="00073F03" w:rsidRDefault="00EE1DAD" w:rsidP="00EE1DAD">
      <w:pPr>
        <w:spacing w:after="0" w:line="240" w:lineRule="auto"/>
        <w:ind w:left="142"/>
        <w:jc w:val="center"/>
        <w:rPr>
          <w:rFonts w:ascii="Arial" w:hAnsi="Arial" w:cs="Arial"/>
          <w:b/>
          <w:sz w:val="28"/>
          <w:szCs w:val="28"/>
        </w:rPr>
      </w:pPr>
      <w:r w:rsidRPr="00073F03">
        <w:rPr>
          <w:rFonts w:ascii="Arial" w:hAnsi="Arial" w:cs="Arial"/>
          <w:b/>
          <w:sz w:val="28"/>
          <w:szCs w:val="28"/>
        </w:rPr>
        <w:t>EL SECRETARIO GENERAL DE ACUERDOS</w:t>
      </w:r>
    </w:p>
    <w:p w14:paraId="6AF7E611" w14:textId="77777777" w:rsidR="00EE1DAD" w:rsidRPr="00073F03" w:rsidRDefault="00EE1DAD" w:rsidP="00EE1DAD">
      <w:pPr>
        <w:spacing w:after="0" w:line="240" w:lineRule="auto"/>
        <w:ind w:left="142"/>
        <w:jc w:val="center"/>
        <w:rPr>
          <w:rFonts w:ascii="Arial" w:hAnsi="Arial" w:cs="Arial"/>
          <w:b/>
          <w:sz w:val="28"/>
          <w:szCs w:val="28"/>
        </w:rPr>
      </w:pPr>
    </w:p>
    <w:p w14:paraId="1BBCD48B" w14:textId="77777777" w:rsidR="000B2A60" w:rsidRPr="00073F03" w:rsidRDefault="000B2A60" w:rsidP="000B2A60">
      <w:pPr>
        <w:spacing w:after="0" w:line="240" w:lineRule="auto"/>
        <w:rPr>
          <w:rFonts w:ascii="Arial" w:hAnsi="Arial" w:cs="Arial"/>
          <w:b/>
          <w:sz w:val="28"/>
          <w:szCs w:val="28"/>
        </w:rPr>
      </w:pPr>
    </w:p>
    <w:p w14:paraId="11BAC6EF" w14:textId="77777777" w:rsidR="00EE1DAD" w:rsidRPr="00073F03" w:rsidRDefault="00EE1DAD" w:rsidP="00EE1DAD">
      <w:pPr>
        <w:spacing w:after="0" w:line="240" w:lineRule="auto"/>
        <w:ind w:left="142"/>
        <w:jc w:val="center"/>
        <w:rPr>
          <w:rFonts w:ascii="Arial" w:hAnsi="Arial" w:cs="Arial"/>
          <w:b/>
          <w:sz w:val="28"/>
          <w:szCs w:val="28"/>
        </w:rPr>
      </w:pPr>
    </w:p>
    <w:p w14:paraId="79A44F3C" w14:textId="4D3D4D02" w:rsidR="0031084E" w:rsidRPr="000B2A60" w:rsidRDefault="00EE1DAD" w:rsidP="000B2A60">
      <w:pPr>
        <w:spacing w:after="0" w:line="240" w:lineRule="auto"/>
        <w:ind w:left="142"/>
        <w:jc w:val="center"/>
        <w:rPr>
          <w:rFonts w:ascii="Arial" w:hAnsi="Arial" w:cs="Arial"/>
          <w:b/>
          <w:sz w:val="28"/>
          <w:szCs w:val="28"/>
        </w:rPr>
      </w:pPr>
      <w:r w:rsidRPr="00073F03">
        <w:rPr>
          <w:rFonts w:ascii="Arial" w:hAnsi="Arial" w:cs="Arial"/>
          <w:b/>
          <w:sz w:val="28"/>
          <w:szCs w:val="28"/>
        </w:rPr>
        <w:t>LIC. RAFAEL COELLO CETINA</w:t>
      </w:r>
    </w:p>
    <w:p w14:paraId="746D7DE5" w14:textId="77777777" w:rsidR="00EE1DAD" w:rsidRDefault="00EE1DAD" w:rsidP="00EE1DAD">
      <w:pPr>
        <w:pStyle w:val="NormalWeb"/>
        <w:spacing w:after="0" w:line="276" w:lineRule="auto"/>
        <w:ind w:firstLine="709"/>
        <w:jc w:val="both"/>
        <w:rPr>
          <w:rFonts w:ascii="Arial" w:hAnsi="Arial" w:cs="Arial"/>
          <w:color w:val="000000" w:themeColor="text1"/>
          <w:sz w:val="26"/>
          <w:szCs w:val="26"/>
        </w:rPr>
      </w:pPr>
    </w:p>
    <w:p w14:paraId="6F8E29ED" w14:textId="177AF53C" w:rsidR="00EE1DAD" w:rsidRPr="00F70165" w:rsidRDefault="00EE1DAD" w:rsidP="00F70165">
      <w:pPr>
        <w:pStyle w:val="NormalWeb"/>
        <w:spacing w:after="0"/>
        <w:ind w:left="142"/>
        <w:jc w:val="both"/>
        <w:rPr>
          <w:rFonts w:ascii="Arial" w:hAnsi="Arial" w:cs="Arial"/>
          <w:b/>
          <w:sz w:val="22"/>
          <w:szCs w:val="22"/>
        </w:rPr>
      </w:pPr>
      <w:bookmarkStart w:id="1" w:name="_Hlk207616137"/>
      <w:r w:rsidRPr="00F70165">
        <w:rPr>
          <w:rFonts w:ascii="Arial" w:hAnsi="Arial" w:cs="Arial"/>
          <w:b/>
          <w:sz w:val="22"/>
          <w:szCs w:val="22"/>
        </w:rPr>
        <w:t>El licenciado Rafael Coello Cetina, Secretario General de Acuerdos de la Suprema Corte de Justicia de la Nación, - - - - - - - - - - - - - - - - - - - - - - - - - - - - - - - - - - - - - -  - - - - - - - - - - - -</w:t>
      </w:r>
      <w:r w:rsidR="00F70165">
        <w:rPr>
          <w:rFonts w:ascii="Arial" w:hAnsi="Arial" w:cs="Arial"/>
          <w:b/>
          <w:sz w:val="22"/>
          <w:szCs w:val="22"/>
        </w:rPr>
        <w:t xml:space="preserve"> - - - - - - - - - - - - - - -</w:t>
      </w:r>
      <w:r w:rsidRPr="00F70165">
        <w:rPr>
          <w:rFonts w:ascii="Arial" w:hAnsi="Arial" w:cs="Arial"/>
          <w:b/>
          <w:sz w:val="22"/>
          <w:szCs w:val="22"/>
        </w:rPr>
        <w:t xml:space="preserve"> C E R T I F I C A:- - - - - - - - - - - - - - - - - - - - - -</w:t>
      </w:r>
      <w:r w:rsidR="00F70165">
        <w:rPr>
          <w:rFonts w:ascii="Arial" w:hAnsi="Arial" w:cs="Arial"/>
          <w:b/>
          <w:sz w:val="22"/>
          <w:szCs w:val="22"/>
        </w:rPr>
        <w:t xml:space="preserve"> - - - -</w:t>
      </w:r>
      <w:r w:rsidRPr="00F70165">
        <w:rPr>
          <w:rFonts w:ascii="Arial" w:hAnsi="Arial" w:cs="Arial"/>
          <w:b/>
          <w:sz w:val="22"/>
          <w:szCs w:val="22"/>
        </w:rPr>
        <w:t xml:space="preserve"> Este </w:t>
      </w:r>
      <w:r w:rsidRPr="00F70165">
        <w:rPr>
          <w:rFonts w:ascii="Arial" w:eastAsia="Times New Roman" w:hAnsi="Arial" w:cs="Arial"/>
          <w:b/>
          <w:bCs/>
          <w:color w:val="000000" w:themeColor="text1"/>
          <w:sz w:val="22"/>
          <w:szCs w:val="22"/>
          <w:lang w:val="es-ES_tradnl"/>
        </w:rPr>
        <w:t xml:space="preserve">ACUERDO GENERAL NÚMERO 3/2025 </w:t>
      </w:r>
      <w:r w:rsidRPr="00F70165">
        <w:rPr>
          <w:rFonts w:ascii="Arial" w:hAnsi="Arial" w:cs="Arial"/>
          <w:b/>
          <w:bCs/>
          <w:color w:val="000000" w:themeColor="text1"/>
          <w:sz w:val="22"/>
          <w:szCs w:val="22"/>
        </w:rPr>
        <w:t xml:space="preserve">(12a.), </w:t>
      </w:r>
      <w:r w:rsidRPr="00F70165">
        <w:rPr>
          <w:rFonts w:ascii="Arial" w:eastAsia="Times New Roman" w:hAnsi="Arial" w:cs="Arial"/>
          <w:b/>
          <w:bCs/>
          <w:color w:val="000000" w:themeColor="text1"/>
          <w:sz w:val="22"/>
          <w:szCs w:val="22"/>
          <w:lang w:val="es-ES_tradnl"/>
        </w:rPr>
        <w:t xml:space="preserve">DEL </w:t>
      </w:r>
      <w:r w:rsidRPr="00F70165">
        <w:rPr>
          <w:rFonts w:ascii="Arial" w:eastAsia="Times New Roman" w:hAnsi="Arial" w:cs="Arial"/>
          <w:b/>
          <w:bCs/>
          <w:color w:val="000000" w:themeColor="text1"/>
          <w:sz w:val="22"/>
          <w:szCs w:val="22"/>
        </w:rPr>
        <w:t>PLENO DE LA SUPREMA CORTE DE JUSTICIA DE LA NACIÓN,</w:t>
      </w:r>
      <w:r w:rsidR="00F70165" w:rsidRPr="00F70165">
        <w:rPr>
          <w:rFonts w:ascii="Arial" w:eastAsia="Times New Roman" w:hAnsi="Arial" w:cs="Arial"/>
          <w:b/>
          <w:bCs/>
          <w:color w:val="000000" w:themeColor="text1"/>
          <w:sz w:val="22"/>
          <w:szCs w:val="22"/>
        </w:rPr>
        <w:t xml:space="preserve"> </w:t>
      </w:r>
      <w:r w:rsidR="00F70165" w:rsidRPr="00F70165">
        <w:rPr>
          <w:rFonts w:ascii="Arial" w:hAnsi="Arial" w:cs="Arial"/>
          <w:b/>
          <w:bCs/>
          <w:color w:val="000000" w:themeColor="text1"/>
          <w:sz w:val="22"/>
          <w:szCs w:val="22"/>
        </w:rPr>
        <w:t>DE TRES DE SEPTIEMBRE DE DOS MIL VEINTICINCO,</w:t>
      </w:r>
      <w:r w:rsidRPr="00F70165">
        <w:rPr>
          <w:rFonts w:ascii="Arial" w:eastAsia="Times New Roman" w:hAnsi="Arial" w:cs="Arial"/>
          <w:b/>
          <w:bCs/>
          <w:color w:val="000000" w:themeColor="text1"/>
          <w:sz w:val="22"/>
          <w:szCs w:val="22"/>
        </w:rPr>
        <w:t xml:space="preserve"> QUE REGULA LA PROCEDENCIA Y TRÁMITE DE LOS RECURSOS DE REVISIÓN EN AMPARO DIRECTO</w:t>
      </w:r>
      <w:r w:rsidRPr="00F70165">
        <w:rPr>
          <w:rFonts w:ascii="Arial" w:hAnsi="Arial" w:cs="Arial"/>
          <w:b/>
          <w:sz w:val="22"/>
          <w:szCs w:val="22"/>
        </w:rPr>
        <w:t>, fue aprobado por el Tribunal Pleno en Sesión Privada celebrada el día de hoy, por unanimidad de nueve votos de las señoras Ministras Lenia Batres Guadarrama, Yasmín Esquivel Mossa, Loretta Ortiz Ahlf, María Estela Ríos González y Sara Irene Herrerías Guerra así como por los señores Ministros Giovanni Azael Figueroa Mejía, Irving Espinosa Betanzo, Arístides Rodrigo Guerrero García y Presidente Hugo Aguilar Ortiz</w:t>
      </w:r>
      <w:r w:rsidR="006E043E" w:rsidRPr="00F70165">
        <w:rPr>
          <w:rFonts w:ascii="Arial" w:hAnsi="Arial" w:cs="Arial"/>
          <w:b/>
          <w:sz w:val="22"/>
          <w:szCs w:val="22"/>
        </w:rPr>
        <w:t>; salvo por lo que se refiere a lo indicado en su punto segundo, párrafo segundo, respecto del cual votaron en contra las señoras Ministras María Estela Ríos González y Yasmín Esquivel Mossa</w:t>
      </w:r>
      <w:r w:rsidR="001E47C3" w:rsidRPr="00F70165">
        <w:rPr>
          <w:rFonts w:ascii="Arial" w:hAnsi="Arial" w:cs="Arial"/>
          <w:b/>
          <w:sz w:val="22"/>
          <w:szCs w:val="22"/>
        </w:rPr>
        <w:t xml:space="preserve"> </w:t>
      </w:r>
      <w:r w:rsidR="00BA1921">
        <w:rPr>
          <w:rFonts w:ascii="Arial" w:hAnsi="Arial" w:cs="Arial"/>
          <w:b/>
          <w:sz w:val="22"/>
          <w:szCs w:val="22"/>
        </w:rPr>
        <w:t xml:space="preserve">así como </w:t>
      </w:r>
      <w:r w:rsidR="001E47C3" w:rsidRPr="00F70165">
        <w:rPr>
          <w:rFonts w:ascii="Arial" w:hAnsi="Arial" w:cs="Arial"/>
          <w:b/>
          <w:sz w:val="22"/>
          <w:szCs w:val="22"/>
        </w:rPr>
        <w:t>el</w:t>
      </w:r>
      <w:r w:rsidR="00D849CB" w:rsidRPr="00F70165">
        <w:rPr>
          <w:rFonts w:ascii="Arial" w:hAnsi="Arial" w:cs="Arial"/>
          <w:b/>
          <w:sz w:val="22"/>
          <w:szCs w:val="22"/>
        </w:rPr>
        <w:t xml:space="preserve"> señor</w:t>
      </w:r>
      <w:r w:rsidR="001E47C3" w:rsidRPr="00F70165">
        <w:rPr>
          <w:rFonts w:ascii="Arial" w:hAnsi="Arial" w:cs="Arial"/>
          <w:b/>
          <w:sz w:val="22"/>
          <w:szCs w:val="22"/>
        </w:rPr>
        <w:t xml:space="preserve"> Ministro Presidente Hugo Aguilar Ortiz</w:t>
      </w:r>
      <w:r w:rsidR="005511F5" w:rsidRPr="00F70165">
        <w:rPr>
          <w:rFonts w:ascii="Arial" w:hAnsi="Arial" w:cs="Arial"/>
          <w:b/>
          <w:sz w:val="22"/>
          <w:szCs w:val="22"/>
        </w:rPr>
        <w:t>,</w:t>
      </w:r>
      <w:r w:rsidR="006E043E" w:rsidRPr="00F70165">
        <w:rPr>
          <w:rFonts w:ascii="Arial" w:hAnsi="Arial" w:cs="Arial"/>
          <w:b/>
          <w:sz w:val="22"/>
          <w:szCs w:val="22"/>
        </w:rPr>
        <w:t xml:space="preserve"> al considerar que deb</w:t>
      </w:r>
      <w:r w:rsidR="005318F0">
        <w:rPr>
          <w:rFonts w:ascii="Arial" w:hAnsi="Arial" w:cs="Arial"/>
          <w:b/>
          <w:sz w:val="22"/>
          <w:szCs w:val="22"/>
        </w:rPr>
        <w:t>ier</w:t>
      </w:r>
      <w:r w:rsidR="00BA1921">
        <w:rPr>
          <w:rFonts w:ascii="Arial" w:hAnsi="Arial" w:cs="Arial"/>
          <w:b/>
          <w:sz w:val="22"/>
          <w:szCs w:val="22"/>
        </w:rPr>
        <w:t>o</w:t>
      </w:r>
      <w:r w:rsidR="005318F0">
        <w:rPr>
          <w:rFonts w:ascii="Arial" w:hAnsi="Arial" w:cs="Arial"/>
          <w:b/>
          <w:sz w:val="22"/>
          <w:szCs w:val="22"/>
        </w:rPr>
        <w:t>n</w:t>
      </w:r>
      <w:r w:rsidR="006E043E" w:rsidRPr="00F70165">
        <w:rPr>
          <w:rFonts w:ascii="Arial" w:hAnsi="Arial" w:cs="Arial"/>
          <w:b/>
          <w:sz w:val="22"/>
          <w:szCs w:val="22"/>
        </w:rPr>
        <w:t xml:space="preserve"> precisarse</w:t>
      </w:r>
      <w:r w:rsidR="00BA1921">
        <w:rPr>
          <w:rFonts w:ascii="Arial" w:hAnsi="Arial" w:cs="Arial"/>
          <w:b/>
          <w:sz w:val="22"/>
          <w:szCs w:val="22"/>
        </w:rPr>
        <w:t>,</w:t>
      </w:r>
      <w:r w:rsidR="006E043E" w:rsidRPr="00F70165">
        <w:rPr>
          <w:rFonts w:ascii="Arial" w:hAnsi="Arial" w:cs="Arial"/>
          <w:b/>
          <w:sz w:val="22"/>
          <w:szCs w:val="22"/>
        </w:rPr>
        <w:t xml:space="preserve"> </w:t>
      </w:r>
      <w:r w:rsidR="00BA1921">
        <w:rPr>
          <w:rFonts w:ascii="Arial" w:hAnsi="Arial" w:cs="Arial"/>
          <w:b/>
          <w:sz w:val="22"/>
          <w:szCs w:val="22"/>
        </w:rPr>
        <w:t>como</w:t>
      </w:r>
      <w:r w:rsidR="006E043E" w:rsidRPr="00F70165">
        <w:rPr>
          <w:rFonts w:ascii="Arial" w:hAnsi="Arial" w:cs="Arial"/>
          <w:b/>
          <w:sz w:val="22"/>
          <w:szCs w:val="22"/>
        </w:rPr>
        <w:t xml:space="preserve"> personas y grupos en situación de vulnerabilidad, entre otros, </w:t>
      </w:r>
      <w:r w:rsidR="005511F5" w:rsidRPr="00F70165">
        <w:rPr>
          <w:rFonts w:ascii="Arial" w:hAnsi="Arial" w:cs="Arial"/>
          <w:b/>
          <w:sz w:val="22"/>
          <w:szCs w:val="22"/>
        </w:rPr>
        <w:t xml:space="preserve">a los Pueblos y Comunidades Indígenas o Afromexicanas, </w:t>
      </w:r>
      <w:r w:rsidR="006E043E" w:rsidRPr="00F70165">
        <w:rPr>
          <w:rFonts w:ascii="Arial" w:hAnsi="Arial" w:cs="Arial"/>
          <w:b/>
          <w:sz w:val="22"/>
          <w:szCs w:val="22"/>
        </w:rPr>
        <w:t>a l</w:t>
      </w:r>
      <w:r w:rsidR="005511F5" w:rsidRPr="00F70165">
        <w:rPr>
          <w:rFonts w:ascii="Arial" w:hAnsi="Arial" w:cs="Arial"/>
          <w:b/>
          <w:sz w:val="22"/>
          <w:szCs w:val="22"/>
        </w:rPr>
        <w:t>a</w:t>
      </w:r>
      <w:r w:rsidR="006E043E" w:rsidRPr="00F70165">
        <w:rPr>
          <w:rFonts w:ascii="Arial" w:hAnsi="Arial" w:cs="Arial"/>
          <w:b/>
          <w:sz w:val="22"/>
          <w:szCs w:val="22"/>
        </w:rPr>
        <w:t xml:space="preserve">s </w:t>
      </w:r>
      <w:r w:rsidR="005511F5" w:rsidRPr="00F70165">
        <w:rPr>
          <w:rFonts w:ascii="Arial" w:hAnsi="Arial" w:cs="Arial"/>
          <w:b/>
          <w:sz w:val="22"/>
          <w:szCs w:val="22"/>
        </w:rPr>
        <w:t xml:space="preserve">personas </w:t>
      </w:r>
      <w:r w:rsidR="006E043E" w:rsidRPr="00F70165">
        <w:rPr>
          <w:rFonts w:ascii="Arial" w:hAnsi="Arial" w:cs="Arial"/>
          <w:b/>
          <w:sz w:val="22"/>
          <w:szCs w:val="22"/>
        </w:rPr>
        <w:t>trabajador</w:t>
      </w:r>
      <w:r w:rsidR="005511F5" w:rsidRPr="00F70165">
        <w:rPr>
          <w:rFonts w:ascii="Arial" w:hAnsi="Arial" w:cs="Arial"/>
          <w:b/>
          <w:sz w:val="22"/>
          <w:szCs w:val="22"/>
        </w:rPr>
        <w:t>a</w:t>
      </w:r>
      <w:r w:rsidR="006E043E" w:rsidRPr="00F70165">
        <w:rPr>
          <w:rFonts w:ascii="Arial" w:hAnsi="Arial" w:cs="Arial"/>
          <w:b/>
          <w:sz w:val="22"/>
          <w:szCs w:val="22"/>
        </w:rPr>
        <w:t>s y a</w:t>
      </w:r>
      <w:r w:rsidR="00BA1921">
        <w:rPr>
          <w:rFonts w:ascii="Arial" w:hAnsi="Arial" w:cs="Arial"/>
          <w:b/>
          <w:sz w:val="22"/>
          <w:szCs w:val="22"/>
        </w:rPr>
        <w:t xml:space="preserve"> las personas</w:t>
      </w:r>
      <w:r w:rsidR="006E043E" w:rsidRPr="00F70165">
        <w:rPr>
          <w:rFonts w:ascii="Arial" w:hAnsi="Arial" w:cs="Arial"/>
          <w:b/>
          <w:sz w:val="22"/>
          <w:szCs w:val="22"/>
        </w:rPr>
        <w:t xml:space="preserve"> migrantes indocumentad</w:t>
      </w:r>
      <w:r w:rsidR="00BA1921">
        <w:rPr>
          <w:rFonts w:ascii="Arial" w:hAnsi="Arial" w:cs="Arial"/>
          <w:b/>
          <w:sz w:val="22"/>
          <w:szCs w:val="22"/>
        </w:rPr>
        <w:t>a</w:t>
      </w:r>
      <w:r w:rsidR="006E043E" w:rsidRPr="00F70165">
        <w:rPr>
          <w:rFonts w:ascii="Arial" w:hAnsi="Arial" w:cs="Arial"/>
          <w:b/>
          <w:sz w:val="22"/>
          <w:szCs w:val="22"/>
        </w:rPr>
        <w:t>s.</w:t>
      </w:r>
      <w:r w:rsidRPr="00F70165">
        <w:rPr>
          <w:rFonts w:ascii="Arial" w:hAnsi="Arial" w:cs="Arial"/>
          <w:b/>
          <w:sz w:val="22"/>
          <w:szCs w:val="22"/>
        </w:rPr>
        <w:t>-</w:t>
      </w:r>
      <w:r w:rsidR="001A3E67" w:rsidRPr="00F70165">
        <w:rPr>
          <w:rFonts w:ascii="Arial" w:hAnsi="Arial" w:cs="Arial"/>
          <w:b/>
          <w:sz w:val="22"/>
          <w:szCs w:val="22"/>
        </w:rPr>
        <w:t xml:space="preserve"> - - - - - - - - - - - - -</w:t>
      </w:r>
      <w:r w:rsidR="00D849CB" w:rsidRPr="00F70165">
        <w:rPr>
          <w:rFonts w:ascii="Arial" w:hAnsi="Arial" w:cs="Arial"/>
          <w:b/>
          <w:sz w:val="22"/>
          <w:szCs w:val="22"/>
        </w:rPr>
        <w:t xml:space="preserve"> - - - - - - </w:t>
      </w:r>
      <w:r w:rsidRPr="00F70165">
        <w:rPr>
          <w:rFonts w:ascii="Arial" w:hAnsi="Arial" w:cs="Arial"/>
          <w:b/>
          <w:sz w:val="22"/>
          <w:szCs w:val="22"/>
        </w:rPr>
        <w:t xml:space="preserve">Ciudad de México, a </w:t>
      </w:r>
      <w:r w:rsidR="001A3E67" w:rsidRPr="00F70165">
        <w:rPr>
          <w:rFonts w:ascii="Arial" w:hAnsi="Arial" w:cs="Arial"/>
          <w:b/>
          <w:sz w:val="22"/>
          <w:szCs w:val="22"/>
        </w:rPr>
        <w:t>tres</w:t>
      </w:r>
      <w:r w:rsidRPr="00F70165">
        <w:rPr>
          <w:rFonts w:ascii="Arial" w:hAnsi="Arial" w:cs="Arial"/>
          <w:b/>
          <w:sz w:val="22"/>
          <w:szCs w:val="22"/>
        </w:rPr>
        <w:t xml:space="preserve"> de septiembre de dos mil veinticinco.- - -    </w:t>
      </w:r>
    </w:p>
    <w:p w14:paraId="3632D9B4" w14:textId="77777777" w:rsidR="000B2A60" w:rsidRPr="000B2A60" w:rsidRDefault="000B2A60" w:rsidP="000B2A60">
      <w:pPr>
        <w:pStyle w:val="NormalWeb"/>
        <w:spacing w:after="0"/>
        <w:ind w:left="142"/>
        <w:jc w:val="both"/>
        <w:rPr>
          <w:rFonts w:ascii="Arial" w:hAnsi="Arial" w:cs="Arial"/>
          <w:b/>
        </w:rPr>
      </w:pPr>
    </w:p>
    <w:p w14:paraId="3BEB512C" w14:textId="2873DF93" w:rsidR="00EE1DAD" w:rsidRPr="00DA306D" w:rsidRDefault="00EE1DAD" w:rsidP="00EE1DAD">
      <w:pPr>
        <w:pStyle w:val="NormalWeb"/>
        <w:spacing w:after="0"/>
        <w:ind w:left="142"/>
        <w:jc w:val="both"/>
        <w:rPr>
          <w:rFonts w:ascii="Arial" w:hAnsi="Arial" w:cs="Arial"/>
          <w:b/>
        </w:rPr>
      </w:pPr>
      <w:bookmarkStart w:id="2" w:name="_Hlk207614592"/>
      <w:r w:rsidRPr="00DA306D">
        <w:rPr>
          <w:rFonts w:ascii="Arial" w:hAnsi="Arial" w:cs="Arial"/>
          <w:b/>
          <w:lang w:val="es-ES_tradnl"/>
        </w:rPr>
        <w:lastRenderedPageBreak/>
        <w:t>EL LICENCIADO RAFAEL COELLO CETINA, SECRETARIO GENERAL DE ACUERDOS DE LA SUPREMA CORTE DE JUSTICIA DE LA NACIÓN,- - - - - - - - - - - - - - - - - - - - - - - - - - - -</w:t>
      </w:r>
      <w:r>
        <w:rPr>
          <w:rFonts w:ascii="Arial" w:hAnsi="Arial" w:cs="Arial"/>
          <w:b/>
          <w:lang w:val="es-ES_tradnl"/>
        </w:rPr>
        <w:t xml:space="preserve"> -</w:t>
      </w:r>
      <w:r w:rsidRPr="00DA306D">
        <w:rPr>
          <w:rFonts w:ascii="Arial" w:hAnsi="Arial" w:cs="Arial"/>
          <w:b/>
          <w:lang w:val="es-ES_tradnl"/>
        </w:rPr>
        <w:t xml:space="preserve"> C E R T I F I C A:- - - - - - - - - - - - - - -</w:t>
      </w:r>
      <w:r>
        <w:rPr>
          <w:rFonts w:ascii="Arial" w:hAnsi="Arial" w:cs="Arial"/>
          <w:b/>
          <w:lang w:val="es-ES_tradnl"/>
        </w:rPr>
        <w:t xml:space="preserve"> - - - - - - - - -</w:t>
      </w:r>
      <w:r w:rsidRPr="00DA306D">
        <w:rPr>
          <w:rFonts w:ascii="Arial" w:hAnsi="Arial" w:cs="Arial"/>
          <w:b/>
          <w:lang w:val="es-ES_tradnl"/>
        </w:rPr>
        <w:t xml:space="preserve">Que esta copia fotostática constante de </w:t>
      </w:r>
      <w:r>
        <w:rPr>
          <w:rFonts w:ascii="Arial" w:hAnsi="Arial" w:cs="Arial"/>
          <w:b/>
          <w:lang w:val="es-ES_tradnl"/>
        </w:rPr>
        <w:t>c</w:t>
      </w:r>
      <w:r w:rsidR="00D849CB">
        <w:rPr>
          <w:rFonts w:ascii="Arial" w:hAnsi="Arial" w:cs="Arial"/>
          <w:b/>
          <w:lang w:val="es-ES_tradnl"/>
        </w:rPr>
        <w:t>uatro</w:t>
      </w:r>
      <w:r w:rsidRPr="00DA306D">
        <w:rPr>
          <w:rFonts w:ascii="Arial" w:hAnsi="Arial" w:cs="Arial"/>
          <w:b/>
          <w:lang w:val="es-ES_tradnl"/>
        </w:rPr>
        <w:t xml:space="preserve"> fojas útiles</w:t>
      </w:r>
      <w:r>
        <w:rPr>
          <w:rFonts w:ascii="Arial" w:hAnsi="Arial" w:cs="Arial"/>
          <w:b/>
          <w:lang w:val="es-ES_tradnl"/>
        </w:rPr>
        <w:t>,</w:t>
      </w:r>
      <w:r w:rsidRPr="00DA306D">
        <w:rPr>
          <w:rFonts w:ascii="Arial" w:hAnsi="Arial" w:cs="Arial"/>
          <w:b/>
          <w:lang w:val="es-ES_tradnl"/>
        </w:rPr>
        <w:t xml:space="preserve"> </w:t>
      </w:r>
      <w:r>
        <w:rPr>
          <w:rFonts w:ascii="Arial" w:hAnsi="Arial" w:cs="Arial"/>
          <w:b/>
          <w:lang w:val="es-ES_tradnl"/>
        </w:rPr>
        <w:t xml:space="preserve">incluyendo esta certificación, </w:t>
      </w:r>
      <w:r w:rsidRPr="00DA306D">
        <w:rPr>
          <w:rFonts w:ascii="Arial" w:hAnsi="Arial" w:cs="Arial"/>
          <w:b/>
          <w:lang w:val="es-ES_tradnl"/>
        </w:rPr>
        <w:t>concuerda fiel y exactamente con el original del</w:t>
      </w:r>
      <w:r>
        <w:rPr>
          <w:rFonts w:ascii="Arial" w:hAnsi="Arial" w:cs="Arial"/>
          <w:b/>
          <w:lang w:val="es-ES_tradnl"/>
        </w:rPr>
        <w:t xml:space="preserve"> </w:t>
      </w:r>
      <w:r w:rsidRPr="0079563C">
        <w:rPr>
          <w:rFonts w:ascii="Arial" w:eastAsia="Times New Roman" w:hAnsi="Arial" w:cs="Arial"/>
          <w:b/>
          <w:bCs/>
          <w:color w:val="000000" w:themeColor="text1"/>
          <w:sz w:val="26"/>
          <w:szCs w:val="26"/>
          <w:lang w:val="es-ES_tradnl"/>
        </w:rPr>
        <w:t xml:space="preserve">ACUERDO GENERAL NÚMERO </w:t>
      </w:r>
      <w:r>
        <w:rPr>
          <w:rFonts w:ascii="Arial" w:eastAsia="Times New Roman" w:hAnsi="Arial" w:cs="Arial"/>
          <w:b/>
          <w:bCs/>
          <w:color w:val="000000" w:themeColor="text1"/>
          <w:sz w:val="26"/>
          <w:szCs w:val="26"/>
          <w:lang w:val="es-ES_tradnl"/>
        </w:rPr>
        <w:t>3</w:t>
      </w:r>
      <w:r w:rsidRPr="0079563C">
        <w:rPr>
          <w:rFonts w:ascii="Arial" w:eastAsia="Times New Roman" w:hAnsi="Arial" w:cs="Arial"/>
          <w:b/>
          <w:bCs/>
          <w:color w:val="000000" w:themeColor="text1"/>
          <w:sz w:val="26"/>
          <w:szCs w:val="26"/>
          <w:lang w:val="es-ES_tradnl"/>
        </w:rPr>
        <w:t>/2025</w:t>
      </w:r>
      <w:r>
        <w:rPr>
          <w:rFonts w:ascii="Arial" w:eastAsia="Times New Roman" w:hAnsi="Arial" w:cs="Arial"/>
          <w:b/>
          <w:bCs/>
          <w:color w:val="000000" w:themeColor="text1"/>
          <w:sz w:val="26"/>
          <w:szCs w:val="26"/>
          <w:lang w:val="es-ES_tradnl"/>
        </w:rPr>
        <w:t xml:space="preserve"> </w:t>
      </w:r>
      <w:r>
        <w:rPr>
          <w:rFonts w:ascii="Arial" w:hAnsi="Arial" w:cs="Arial"/>
          <w:b/>
          <w:bCs/>
          <w:color w:val="000000" w:themeColor="text1"/>
          <w:sz w:val="26"/>
          <w:szCs w:val="26"/>
        </w:rPr>
        <w:t xml:space="preserve">(12a.), </w:t>
      </w:r>
      <w:r w:rsidRPr="0079563C">
        <w:rPr>
          <w:rFonts w:ascii="Arial" w:eastAsia="Times New Roman" w:hAnsi="Arial" w:cs="Arial"/>
          <w:b/>
          <w:bCs/>
          <w:color w:val="000000" w:themeColor="text1"/>
          <w:sz w:val="26"/>
          <w:szCs w:val="26"/>
          <w:lang w:val="es-ES_tradnl"/>
        </w:rPr>
        <w:t xml:space="preserve">DEL </w:t>
      </w:r>
      <w:r w:rsidRPr="0079563C">
        <w:rPr>
          <w:rFonts w:ascii="Arial" w:eastAsia="Times New Roman" w:hAnsi="Arial" w:cs="Arial"/>
          <w:b/>
          <w:bCs/>
          <w:color w:val="000000" w:themeColor="text1"/>
          <w:sz w:val="26"/>
          <w:szCs w:val="26"/>
        </w:rPr>
        <w:t>PLENO DE LA SUPREMA CORTE DE JUSTICIA DE LA NACIÓN</w:t>
      </w:r>
      <w:r>
        <w:rPr>
          <w:rFonts w:ascii="Arial" w:eastAsia="Times New Roman" w:hAnsi="Arial" w:cs="Arial"/>
          <w:b/>
          <w:bCs/>
          <w:color w:val="000000" w:themeColor="text1"/>
          <w:sz w:val="26"/>
          <w:szCs w:val="26"/>
        </w:rPr>
        <w:t>,</w:t>
      </w:r>
      <w:r w:rsidRPr="0079563C">
        <w:rPr>
          <w:rFonts w:ascii="Arial" w:eastAsia="Times New Roman" w:hAnsi="Arial" w:cs="Arial"/>
          <w:b/>
          <w:bCs/>
          <w:color w:val="000000" w:themeColor="text1"/>
          <w:sz w:val="26"/>
          <w:szCs w:val="26"/>
        </w:rPr>
        <w:t xml:space="preserve"> </w:t>
      </w:r>
      <w:r w:rsidR="00F70165">
        <w:rPr>
          <w:rFonts w:ascii="Arial" w:eastAsia="Times New Roman" w:hAnsi="Arial" w:cs="Arial"/>
          <w:b/>
          <w:bCs/>
          <w:color w:val="000000" w:themeColor="text1"/>
          <w:sz w:val="26"/>
          <w:szCs w:val="26"/>
        </w:rPr>
        <w:t xml:space="preserve"> </w:t>
      </w:r>
      <w:r w:rsidR="00F70165">
        <w:rPr>
          <w:rFonts w:ascii="Arial" w:hAnsi="Arial" w:cs="Arial"/>
          <w:b/>
          <w:bCs/>
          <w:color w:val="000000" w:themeColor="text1"/>
          <w:sz w:val="26"/>
          <w:szCs w:val="26"/>
        </w:rPr>
        <w:t>DE TRES DE SEPTIEMBRE DE DOS MIL VEINTICINCO,</w:t>
      </w:r>
      <w:r w:rsidR="00F70165" w:rsidRPr="0079563C">
        <w:rPr>
          <w:rFonts w:ascii="Arial" w:eastAsia="Times New Roman" w:hAnsi="Arial" w:cs="Arial"/>
          <w:b/>
          <w:bCs/>
          <w:color w:val="000000" w:themeColor="text1"/>
          <w:sz w:val="26"/>
          <w:szCs w:val="26"/>
        </w:rPr>
        <w:t xml:space="preserve"> </w:t>
      </w:r>
      <w:r w:rsidRPr="0079563C">
        <w:rPr>
          <w:rFonts w:ascii="Arial" w:eastAsia="Times New Roman" w:hAnsi="Arial" w:cs="Arial"/>
          <w:b/>
          <w:bCs/>
          <w:color w:val="000000" w:themeColor="text1"/>
          <w:sz w:val="26"/>
          <w:szCs w:val="26"/>
        </w:rPr>
        <w:t>QUE REGULA LA PROCEDENCIA Y TRÁMITE DE LOS RECURSOS DE REVISIÓN EN AMPARO DIRECTO</w:t>
      </w:r>
      <w:r w:rsidRPr="00DA306D">
        <w:rPr>
          <w:rFonts w:ascii="Arial" w:hAnsi="Arial" w:cs="Arial"/>
          <w:b/>
        </w:rPr>
        <w:t xml:space="preserve">, </w:t>
      </w:r>
      <w:r w:rsidRPr="00DA306D">
        <w:rPr>
          <w:rFonts w:ascii="Arial" w:hAnsi="Arial" w:cs="Arial"/>
          <w:b/>
          <w:lang w:val="es-ES_tradnl"/>
        </w:rPr>
        <w:t xml:space="preserve">que obra en los archivos de la sección de instrumentos normativos de esta Secretaría General de Acuerdos y se expide para su publicación en el </w:t>
      </w:r>
      <w:r>
        <w:rPr>
          <w:rFonts w:ascii="Arial" w:hAnsi="Arial" w:cs="Arial"/>
          <w:b/>
          <w:lang w:val="es-ES_tradnl"/>
        </w:rPr>
        <w:t xml:space="preserve">Diario Oficial </w:t>
      </w:r>
      <w:r w:rsidRPr="00DA306D">
        <w:rPr>
          <w:rFonts w:ascii="Arial" w:hAnsi="Arial" w:cs="Arial"/>
          <w:b/>
          <w:lang w:val="es-ES_tradnl"/>
        </w:rPr>
        <w:t>de la Federación. - -</w:t>
      </w:r>
      <w:r>
        <w:rPr>
          <w:rFonts w:ascii="Arial" w:hAnsi="Arial" w:cs="Arial"/>
          <w:b/>
          <w:lang w:val="es-ES_tradnl"/>
        </w:rPr>
        <w:t xml:space="preserve"> - - - - - - - - - - - - - - - - - - - - - - - - - - - - - - - - - - - - -</w:t>
      </w:r>
      <w:r w:rsidR="001A3E67">
        <w:rPr>
          <w:rFonts w:ascii="Arial" w:hAnsi="Arial" w:cs="Arial"/>
          <w:b/>
          <w:lang w:val="es-ES_tradnl"/>
        </w:rPr>
        <w:t xml:space="preserve"> - - - - - - -</w:t>
      </w:r>
      <w:r>
        <w:rPr>
          <w:rFonts w:ascii="Arial" w:hAnsi="Arial" w:cs="Arial"/>
          <w:b/>
          <w:lang w:val="es-ES_tradnl"/>
        </w:rPr>
        <w:t xml:space="preserve"> </w:t>
      </w:r>
      <w:r w:rsidRPr="00DA306D">
        <w:rPr>
          <w:rFonts w:ascii="Arial" w:hAnsi="Arial" w:cs="Arial"/>
          <w:b/>
          <w:lang w:val="es-ES_tradnl"/>
        </w:rPr>
        <w:t xml:space="preserve">Ciudad de México, a </w:t>
      </w:r>
      <w:r w:rsidR="00CE4681">
        <w:rPr>
          <w:rFonts w:ascii="Arial" w:hAnsi="Arial" w:cs="Arial"/>
          <w:b/>
          <w:lang w:val="es-ES_tradnl"/>
        </w:rPr>
        <w:t>cinco</w:t>
      </w:r>
      <w:r w:rsidRPr="00DA306D">
        <w:rPr>
          <w:rFonts w:ascii="Arial" w:hAnsi="Arial" w:cs="Arial"/>
          <w:b/>
          <w:lang w:val="es-ES_tradnl"/>
        </w:rPr>
        <w:t xml:space="preserve"> de </w:t>
      </w:r>
      <w:r>
        <w:rPr>
          <w:rFonts w:ascii="Arial" w:hAnsi="Arial" w:cs="Arial"/>
          <w:b/>
          <w:lang w:val="es-ES_tradnl"/>
        </w:rPr>
        <w:t>septiembre</w:t>
      </w:r>
      <w:r w:rsidRPr="00DA306D">
        <w:rPr>
          <w:rFonts w:ascii="Arial" w:hAnsi="Arial" w:cs="Arial"/>
          <w:b/>
          <w:lang w:val="es-ES_tradnl"/>
        </w:rPr>
        <w:t xml:space="preserve"> de dos mil veinticinco. </w:t>
      </w:r>
      <w:r w:rsidRPr="00DA306D">
        <w:rPr>
          <w:rFonts w:ascii="Arial" w:hAnsi="Arial" w:cs="Arial"/>
          <w:b/>
        </w:rPr>
        <w:t>Doy fe.</w:t>
      </w:r>
    </w:p>
    <w:bookmarkEnd w:id="1"/>
    <w:bookmarkEnd w:id="2"/>
    <w:p w14:paraId="4D95EA5D" w14:textId="77777777" w:rsidR="00EE1DAD" w:rsidRPr="0079563C" w:rsidRDefault="00EE1DAD" w:rsidP="00EE1DAD">
      <w:pPr>
        <w:jc w:val="both"/>
        <w:rPr>
          <w:rFonts w:ascii="Arial" w:hAnsi="Arial" w:cs="Arial"/>
          <w:color w:val="000000" w:themeColor="text1"/>
          <w:sz w:val="26"/>
          <w:szCs w:val="26"/>
          <w:lang w:val="es-ES_tradnl"/>
        </w:rPr>
      </w:pPr>
    </w:p>
    <w:p w14:paraId="02F2881B" w14:textId="1123CAEC" w:rsidR="009B120F" w:rsidRPr="0079563C" w:rsidRDefault="009B120F" w:rsidP="009B120F">
      <w:pPr>
        <w:ind w:left="567"/>
        <w:jc w:val="both"/>
        <w:rPr>
          <w:rFonts w:ascii="Arial" w:hAnsi="Arial" w:cs="Arial"/>
          <w:color w:val="000000" w:themeColor="text1"/>
          <w:sz w:val="26"/>
          <w:szCs w:val="26"/>
          <w:lang w:val="es-ES_tradnl"/>
        </w:rPr>
      </w:pPr>
    </w:p>
    <w:sectPr w:rsidR="009B120F" w:rsidRPr="0079563C" w:rsidSect="00996963">
      <w:footerReference w:type="default" r:id="rId8"/>
      <w:pgSz w:w="12240" w:h="19298" w:code="119"/>
      <w:pgMar w:top="3403"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2233" w14:textId="77777777" w:rsidR="00C16C24" w:rsidRDefault="00C16C24" w:rsidP="00CC1D00">
      <w:pPr>
        <w:spacing w:after="0" w:line="240" w:lineRule="auto"/>
      </w:pPr>
      <w:r>
        <w:separator/>
      </w:r>
    </w:p>
  </w:endnote>
  <w:endnote w:type="continuationSeparator" w:id="0">
    <w:p w14:paraId="435193DA" w14:textId="77777777" w:rsidR="00C16C24" w:rsidRDefault="00C16C24" w:rsidP="00CC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010481"/>
      <w:docPartObj>
        <w:docPartGallery w:val="Page Numbers (Bottom of Page)"/>
        <w:docPartUnique/>
      </w:docPartObj>
    </w:sdtPr>
    <w:sdtContent>
      <w:p w14:paraId="045256E9" w14:textId="09421791" w:rsidR="00EC417D" w:rsidRDefault="00EC417D">
        <w:pPr>
          <w:pStyle w:val="Piedepgina"/>
          <w:jc w:val="center"/>
        </w:pPr>
        <w:r w:rsidRPr="00EC417D">
          <w:rPr>
            <w:rFonts w:ascii="Arial" w:hAnsi="Arial" w:cs="Arial"/>
            <w:b/>
            <w:bCs/>
            <w:sz w:val="28"/>
            <w:szCs w:val="28"/>
          </w:rPr>
          <w:fldChar w:fldCharType="begin"/>
        </w:r>
        <w:r w:rsidRPr="00EC417D">
          <w:rPr>
            <w:rFonts w:ascii="Arial" w:hAnsi="Arial" w:cs="Arial"/>
            <w:b/>
            <w:bCs/>
            <w:sz w:val="28"/>
            <w:szCs w:val="28"/>
          </w:rPr>
          <w:instrText>PAGE   \* MERGEFORMAT</w:instrText>
        </w:r>
        <w:r w:rsidRPr="00EC417D">
          <w:rPr>
            <w:rFonts w:ascii="Arial" w:hAnsi="Arial" w:cs="Arial"/>
            <w:b/>
            <w:bCs/>
            <w:sz w:val="28"/>
            <w:szCs w:val="28"/>
          </w:rPr>
          <w:fldChar w:fldCharType="separate"/>
        </w:r>
        <w:r w:rsidRPr="00EC417D">
          <w:rPr>
            <w:rFonts w:ascii="Arial" w:hAnsi="Arial" w:cs="Arial"/>
            <w:b/>
            <w:bCs/>
            <w:sz w:val="28"/>
            <w:szCs w:val="28"/>
          </w:rPr>
          <w:t>2</w:t>
        </w:r>
        <w:r w:rsidRPr="00EC417D">
          <w:rPr>
            <w:rFonts w:ascii="Arial" w:hAnsi="Arial" w:cs="Arial"/>
            <w:b/>
            <w:bCs/>
            <w:sz w:val="28"/>
            <w:szCs w:val="28"/>
          </w:rPr>
          <w:fldChar w:fldCharType="end"/>
        </w:r>
      </w:p>
    </w:sdtContent>
  </w:sdt>
  <w:p w14:paraId="54B189CA" w14:textId="77777777" w:rsidR="00EC417D" w:rsidRDefault="00EC41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D1D24" w14:textId="77777777" w:rsidR="00C16C24" w:rsidRDefault="00C16C24" w:rsidP="00CC1D00">
      <w:pPr>
        <w:spacing w:after="0" w:line="240" w:lineRule="auto"/>
      </w:pPr>
      <w:r>
        <w:separator/>
      </w:r>
    </w:p>
  </w:footnote>
  <w:footnote w:type="continuationSeparator" w:id="0">
    <w:p w14:paraId="50F5BBCE" w14:textId="77777777" w:rsidR="00C16C24" w:rsidRDefault="00C16C24" w:rsidP="00CC1D00">
      <w:pPr>
        <w:spacing w:after="0" w:line="240" w:lineRule="auto"/>
      </w:pPr>
      <w:r>
        <w:continuationSeparator/>
      </w:r>
    </w:p>
  </w:footnote>
  <w:footnote w:id="1">
    <w:p w14:paraId="65B1EF58" w14:textId="6D7E416C" w:rsidR="005645C8" w:rsidRPr="005645C8" w:rsidRDefault="005645C8" w:rsidP="005645C8">
      <w:pPr>
        <w:pStyle w:val="Textonotapie"/>
        <w:jc w:val="both"/>
        <w:rPr>
          <w:rFonts w:ascii="Arial" w:hAnsi="Arial" w:cs="Arial"/>
          <w:lang w:val="es-ES_tradnl"/>
        </w:rPr>
      </w:pPr>
      <w:r w:rsidRPr="005645C8">
        <w:rPr>
          <w:rStyle w:val="Refdenotaalpie"/>
          <w:rFonts w:ascii="Arial" w:hAnsi="Arial" w:cs="Arial"/>
        </w:rPr>
        <w:footnoteRef/>
      </w:r>
      <w:r w:rsidRPr="005645C8">
        <w:rPr>
          <w:rFonts w:ascii="Arial" w:hAnsi="Arial" w:cs="Arial"/>
        </w:rPr>
        <w:t xml:space="preserve"> </w:t>
      </w:r>
      <w:r w:rsidRPr="005645C8">
        <w:rPr>
          <w:rFonts w:ascii="Arial" w:hAnsi="Arial" w:cs="Arial"/>
          <w:lang w:val="es-ES_tradnl"/>
        </w:rPr>
        <w:t>Segundo informe de labores Poder Judicial de la Federación, consultable en: https://www.scjn.gob.mx/informedelabores/pjf/pdf/informe-anual-de-labores-2024.pdf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6651"/>
    <w:multiLevelType w:val="hybridMultilevel"/>
    <w:tmpl w:val="7DE8C37A"/>
    <w:lvl w:ilvl="0" w:tplc="947CC4F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45193A"/>
    <w:multiLevelType w:val="hybridMultilevel"/>
    <w:tmpl w:val="D5FA5E86"/>
    <w:lvl w:ilvl="0" w:tplc="0C0A0017">
      <w:start w:val="1"/>
      <w:numFmt w:val="lowerLetter"/>
      <w:lvlText w:val="%1)"/>
      <w:lvlJc w:val="left"/>
      <w:pPr>
        <w:ind w:left="720" w:hanging="360"/>
      </w:pPr>
    </w:lvl>
    <w:lvl w:ilvl="1" w:tplc="C0C85F82">
      <w:start w:val="1"/>
      <w:numFmt w:val="upperRoman"/>
      <w:lvlText w:val="%2."/>
      <w:lvlJc w:val="right"/>
      <w:pPr>
        <w:ind w:left="1440" w:hanging="360"/>
      </w:pPr>
      <w:rPr>
        <w:b/>
        <w:bCs/>
      </w:rPr>
    </w:lvl>
    <w:lvl w:ilvl="2" w:tplc="FBCEC942">
      <w:start w:val="1"/>
      <w:numFmt w:val="decimal"/>
      <w:lvlText w:val="%3."/>
      <w:lvlJc w:val="left"/>
      <w:pPr>
        <w:ind w:left="2520" w:hanging="54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1444A1"/>
    <w:multiLevelType w:val="hybridMultilevel"/>
    <w:tmpl w:val="879033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380858"/>
    <w:multiLevelType w:val="hybridMultilevel"/>
    <w:tmpl w:val="D04221E0"/>
    <w:lvl w:ilvl="0" w:tplc="CF8A97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CB6EBE"/>
    <w:multiLevelType w:val="hybridMultilevel"/>
    <w:tmpl w:val="6D2CB082"/>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15:restartNumberingAfterBreak="0">
    <w:nsid w:val="431D01C9"/>
    <w:multiLevelType w:val="hybridMultilevel"/>
    <w:tmpl w:val="5186E702"/>
    <w:lvl w:ilvl="0" w:tplc="F9B8D07A">
      <w:start w:val="1"/>
      <w:numFmt w:val="upperRoman"/>
      <w:lvlText w:val="%1."/>
      <w:lvlJc w:val="left"/>
      <w:pPr>
        <w:ind w:left="1080" w:hanging="720"/>
      </w:pPr>
      <w:rPr>
        <w:rFonts w:hint="default"/>
        <w:b/>
      </w:rPr>
    </w:lvl>
    <w:lvl w:ilvl="1" w:tplc="E5245546">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FA0A8A"/>
    <w:multiLevelType w:val="hybridMultilevel"/>
    <w:tmpl w:val="56100BEE"/>
    <w:lvl w:ilvl="0" w:tplc="C95EBF2A">
      <w:start w:val="3"/>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CB0B31"/>
    <w:multiLevelType w:val="multilevel"/>
    <w:tmpl w:val="FBB04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5420A51"/>
    <w:multiLevelType w:val="hybridMultilevel"/>
    <w:tmpl w:val="D5CA476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77C04FFA"/>
    <w:multiLevelType w:val="hybridMultilevel"/>
    <w:tmpl w:val="43A0AC32"/>
    <w:lvl w:ilvl="0" w:tplc="94E8066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1779227">
    <w:abstractNumId w:val="5"/>
  </w:num>
  <w:num w:numId="2" w16cid:durableId="17395187">
    <w:abstractNumId w:val="9"/>
  </w:num>
  <w:num w:numId="3" w16cid:durableId="100298189">
    <w:abstractNumId w:val="4"/>
  </w:num>
  <w:num w:numId="4" w16cid:durableId="1742098104">
    <w:abstractNumId w:val="1"/>
  </w:num>
  <w:num w:numId="5" w16cid:durableId="1625842934">
    <w:abstractNumId w:val="8"/>
  </w:num>
  <w:num w:numId="6" w16cid:durableId="1278559513">
    <w:abstractNumId w:val="2"/>
  </w:num>
  <w:num w:numId="7" w16cid:durableId="303049950">
    <w:abstractNumId w:val="7"/>
  </w:num>
  <w:num w:numId="8" w16cid:durableId="817527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166432">
    <w:abstractNumId w:val="3"/>
  </w:num>
  <w:num w:numId="10" w16cid:durableId="740955095">
    <w:abstractNumId w:val="0"/>
  </w:num>
  <w:num w:numId="11" w16cid:durableId="2039045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0"/>
    <w:rsid w:val="0000397A"/>
    <w:rsid w:val="0001182E"/>
    <w:rsid w:val="00027A72"/>
    <w:rsid w:val="000867DC"/>
    <w:rsid w:val="000A3536"/>
    <w:rsid w:val="000B2A60"/>
    <w:rsid w:val="000D2E4D"/>
    <w:rsid w:val="000D7E4E"/>
    <w:rsid w:val="000F5158"/>
    <w:rsid w:val="0011127D"/>
    <w:rsid w:val="001136D4"/>
    <w:rsid w:val="001136DC"/>
    <w:rsid w:val="001203CE"/>
    <w:rsid w:val="00131D58"/>
    <w:rsid w:val="001408B2"/>
    <w:rsid w:val="00163A47"/>
    <w:rsid w:val="00174190"/>
    <w:rsid w:val="001931CE"/>
    <w:rsid w:val="001A133B"/>
    <w:rsid w:val="001A3E67"/>
    <w:rsid w:val="001B64D7"/>
    <w:rsid w:val="001B684F"/>
    <w:rsid w:val="001C2411"/>
    <w:rsid w:val="001D461D"/>
    <w:rsid w:val="001D4B6D"/>
    <w:rsid w:val="001E2867"/>
    <w:rsid w:val="001E47C3"/>
    <w:rsid w:val="001E5E7E"/>
    <w:rsid w:val="00215202"/>
    <w:rsid w:val="00236B6D"/>
    <w:rsid w:val="0024141C"/>
    <w:rsid w:val="00254CA6"/>
    <w:rsid w:val="00254E46"/>
    <w:rsid w:val="002B0E9F"/>
    <w:rsid w:val="002C33E1"/>
    <w:rsid w:val="002E72F3"/>
    <w:rsid w:val="003038A4"/>
    <w:rsid w:val="0031084E"/>
    <w:rsid w:val="0032049F"/>
    <w:rsid w:val="00330965"/>
    <w:rsid w:val="0034097E"/>
    <w:rsid w:val="003530C7"/>
    <w:rsid w:val="003C1F08"/>
    <w:rsid w:val="003D11CB"/>
    <w:rsid w:val="003E40E2"/>
    <w:rsid w:val="00481B18"/>
    <w:rsid w:val="004A09BF"/>
    <w:rsid w:val="004C6966"/>
    <w:rsid w:val="004D0BB3"/>
    <w:rsid w:val="004D393D"/>
    <w:rsid w:val="004D44FE"/>
    <w:rsid w:val="004D7E84"/>
    <w:rsid w:val="004E41B9"/>
    <w:rsid w:val="004F0D37"/>
    <w:rsid w:val="004F13FD"/>
    <w:rsid w:val="004F2601"/>
    <w:rsid w:val="00500C3A"/>
    <w:rsid w:val="005318F0"/>
    <w:rsid w:val="00544E2A"/>
    <w:rsid w:val="005511F5"/>
    <w:rsid w:val="0055146F"/>
    <w:rsid w:val="00561487"/>
    <w:rsid w:val="005645C8"/>
    <w:rsid w:val="00573A2B"/>
    <w:rsid w:val="005B2837"/>
    <w:rsid w:val="005B312C"/>
    <w:rsid w:val="005C25E5"/>
    <w:rsid w:val="005F0659"/>
    <w:rsid w:val="005F4E68"/>
    <w:rsid w:val="00602E7B"/>
    <w:rsid w:val="00677198"/>
    <w:rsid w:val="0068035A"/>
    <w:rsid w:val="006A286F"/>
    <w:rsid w:val="006A456C"/>
    <w:rsid w:val="006A462F"/>
    <w:rsid w:val="006A623F"/>
    <w:rsid w:val="006B6836"/>
    <w:rsid w:val="006E043E"/>
    <w:rsid w:val="00705996"/>
    <w:rsid w:val="00706D86"/>
    <w:rsid w:val="007070C2"/>
    <w:rsid w:val="007121E6"/>
    <w:rsid w:val="00734CBF"/>
    <w:rsid w:val="007414B7"/>
    <w:rsid w:val="00741E77"/>
    <w:rsid w:val="00746631"/>
    <w:rsid w:val="00747695"/>
    <w:rsid w:val="007510D6"/>
    <w:rsid w:val="00753EC9"/>
    <w:rsid w:val="00765A1F"/>
    <w:rsid w:val="00775A91"/>
    <w:rsid w:val="00787406"/>
    <w:rsid w:val="0079563C"/>
    <w:rsid w:val="00797B22"/>
    <w:rsid w:val="007B0E6A"/>
    <w:rsid w:val="007B22B7"/>
    <w:rsid w:val="007C2D96"/>
    <w:rsid w:val="007C5E4D"/>
    <w:rsid w:val="00812055"/>
    <w:rsid w:val="008561E1"/>
    <w:rsid w:val="00877E70"/>
    <w:rsid w:val="008A3F2E"/>
    <w:rsid w:val="008B6E93"/>
    <w:rsid w:val="008E4ECF"/>
    <w:rsid w:val="008F1CF6"/>
    <w:rsid w:val="00916F1A"/>
    <w:rsid w:val="0092357A"/>
    <w:rsid w:val="00927965"/>
    <w:rsid w:val="00955458"/>
    <w:rsid w:val="00976A6B"/>
    <w:rsid w:val="009879EA"/>
    <w:rsid w:val="00987ED4"/>
    <w:rsid w:val="00996963"/>
    <w:rsid w:val="00997208"/>
    <w:rsid w:val="009A5706"/>
    <w:rsid w:val="009B120F"/>
    <w:rsid w:val="009B5B50"/>
    <w:rsid w:val="009E1C23"/>
    <w:rsid w:val="009E6AED"/>
    <w:rsid w:val="00A15465"/>
    <w:rsid w:val="00A22159"/>
    <w:rsid w:val="00A2764F"/>
    <w:rsid w:val="00A66CBA"/>
    <w:rsid w:val="00A76FB0"/>
    <w:rsid w:val="00AD3B9C"/>
    <w:rsid w:val="00AE7241"/>
    <w:rsid w:val="00B16B0A"/>
    <w:rsid w:val="00B62622"/>
    <w:rsid w:val="00B63049"/>
    <w:rsid w:val="00B710F3"/>
    <w:rsid w:val="00B72B9A"/>
    <w:rsid w:val="00B72C03"/>
    <w:rsid w:val="00B72C8C"/>
    <w:rsid w:val="00B76761"/>
    <w:rsid w:val="00B9459C"/>
    <w:rsid w:val="00B953AD"/>
    <w:rsid w:val="00BA1921"/>
    <w:rsid w:val="00BA6007"/>
    <w:rsid w:val="00BB1069"/>
    <w:rsid w:val="00BE5E60"/>
    <w:rsid w:val="00C000E2"/>
    <w:rsid w:val="00C16C24"/>
    <w:rsid w:val="00C17EBE"/>
    <w:rsid w:val="00C32AB4"/>
    <w:rsid w:val="00C56A5D"/>
    <w:rsid w:val="00C72F45"/>
    <w:rsid w:val="00C80A68"/>
    <w:rsid w:val="00C94070"/>
    <w:rsid w:val="00CA1D87"/>
    <w:rsid w:val="00CA59EF"/>
    <w:rsid w:val="00CC1D00"/>
    <w:rsid w:val="00CD7136"/>
    <w:rsid w:val="00CE4681"/>
    <w:rsid w:val="00D14F17"/>
    <w:rsid w:val="00D609EE"/>
    <w:rsid w:val="00D7334C"/>
    <w:rsid w:val="00D849CB"/>
    <w:rsid w:val="00E10C9E"/>
    <w:rsid w:val="00E838AE"/>
    <w:rsid w:val="00E910F1"/>
    <w:rsid w:val="00E96822"/>
    <w:rsid w:val="00EA150D"/>
    <w:rsid w:val="00EA56F8"/>
    <w:rsid w:val="00EA6FD4"/>
    <w:rsid w:val="00EC417D"/>
    <w:rsid w:val="00ED11EF"/>
    <w:rsid w:val="00ED14E5"/>
    <w:rsid w:val="00EE1DAD"/>
    <w:rsid w:val="00F048C5"/>
    <w:rsid w:val="00F07FC3"/>
    <w:rsid w:val="00F144B5"/>
    <w:rsid w:val="00F15BF2"/>
    <w:rsid w:val="00F34352"/>
    <w:rsid w:val="00F37F92"/>
    <w:rsid w:val="00F41456"/>
    <w:rsid w:val="00F56EC3"/>
    <w:rsid w:val="00F66B40"/>
    <w:rsid w:val="00F70165"/>
    <w:rsid w:val="00F71F8C"/>
    <w:rsid w:val="00F746AF"/>
    <w:rsid w:val="00F84901"/>
    <w:rsid w:val="00F94C81"/>
    <w:rsid w:val="00FA30FB"/>
    <w:rsid w:val="00FA577C"/>
    <w:rsid w:val="00FB2EA6"/>
    <w:rsid w:val="00FB3670"/>
    <w:rsid w:val="00FD0297"/>
    <w:rsid w:val="00FE6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15:docId w15:val="{3AA7F2CC-9D11-3F42-A11D-2AB29168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00"/>
    <w:pPr>
      <w:spacing w:after="160" w:line="279" w:lineRule="auto"/>
    </w:pPr>
    <w:rPr>
      <w:lang w:val="es-ES"/>
    </w:rPr>
  </w:style>
  <w:style w:type="paragraph" w:styleId="Ttulo1">
    <w:name w:val="heading 1"/>
    <w:basedOn w:val="Normal"/>
    <w:next w:val="Normal"/>
    <w:link w:val="Ttulo1Car"/>
    <w:uiPriority w:val="9"/>
    <w:qFormat/>
    <w:rsid w:val="00CC1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1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1D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1D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1D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1D0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1D0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1D0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1D0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1D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1D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1D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1D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1D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1D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1D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1D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1D00"/>
    <w:rPr>
      <w:rFonts w:eastAsiaTheme="majorEastAsia" w:cstheme="majorBidi"/>
      <w:color w:val="272727" w:themeColor="text1" w:themeTint="D8"/>
    </w:rPr>
  </w:style>
  <w:style w:type="paragraph" w:styleId="Ttulo">
    <w:name w:val="Title"/>
    <w:basedOn w:val="Normal"/>
    <w:next w:val="Normal"/>
    <w:link w:val="TtuloCar"/>
    <w:uiPriority w:val="10"/>
    <w:qFormat/>
    <w:rsid w:val="00CC1D0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1D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1D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1D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1D00"/>
    <w:pPr>
      <w:spacing w:before="160"/>
      <w:jc w:val="center"/>
    </w:pPr>
    <w:rPr>
      <w:i/>
      <w:iCs/>
      <w:color w:val="404040" w:themeColor="text1" w:themeTint="BF"/>
    </w:rPr>
  </w:style>
  <w:style w:type="character" w:customStyle="1" w:styleId="CitaCar">
    <w:name w:val="Cita Car"/>
    <w:basedOn w:val="Fuentedeprrafopredeter"/>
    <w:link w:val="Cita"/>
    <w:uiPriority w:val="29"/>
    <w:rsid w:val="00CC1D00"/>
    <w:rPr>
      <w:i/>
      <w:iCs/>
      <w:color w:val="404040" w:themeColor="text1" w:themeTint="BF"/>
    </w:rPr>
  </w:style>
  <w:style w:type="paragraph" w:styleId="Prrafodelista">
    <w:name w:val="List Paragraph"/>
    <w:aliases w:val="Cita texto,AA Párrafo de lista,TEXTO GENERAL SENTENCIAS,Footnote,Lista vistosa - Énfasis 11,Párrafo de lista1,Párrafo de lista2,Dot pt,No Spacing1,List Paragraph Char Char Char,Indicator Text,List Paragraph1,Numbered Para 1,Figuras"/>
    <w:basedOn w:val="Normal"/>
    <w:link w:val="PrrafodelistaCar"/>
    <w:uiPriority w:val="34"/>
    <w:qFormat/>
    <w:rsid w:val="00CC1D00"/>
    <w:pPr>
      <w:ind w:left="720"/>
      <w:contextualSpacing/>
    </w:pPr>
  </w:style>
  <w:style w:type="character" w:styleId="nfasisintenso">
    <w:name w:val="Intense Emphasis"/>
    <w:basedOn w:val="Fuentedeprrafopredeter"/>
    <w:uiPriority w:val="21"/>
    <w:qFormat/>
    <w:rsid w:val="00CC1D00"/>
    <w:rPr>
      <w:i/>
      <w:iCs/>
      <w:color w:val="0F4761" w:themeColor="accent1" w:themeShade="BF"/>
    </w:rPr>
  </w:style>
  <w:style w:type="paragraph" w:styleId="Citadestacada">
    <w:name w:val="Intense Quote"/>
    <w:basedOn w:val="Normal"/>
    <w:next w:val="Normal"/>
    <w:link w:val="CitadestacadaCar"/>
    <w:uiPriority w:val="30"/>
    <w:qFormat/>
    <w:rsid w:val="00CC1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1D00"/>
    <w:rPr>
      <w:i/>
      <w:iCs/>
      <w:color w:val="0F4761" w:themeColor="accent1" w:themeShade="BF"/>
    </w:rPr>
  </w:style>
  <w:style w:type="character" w:styleId="Referenciaintensa">
    <w:name w:val="Intense Reference"/>
    <w:basedOn w:val="Fuentedeprrafopredeter"/>
    <w:uiPriority w:val="32"/>
    <w:qFormat/>
    <w:rsid w:val="00CC1D00"/>
    <w:rPr>
      <w:b/>
      <w:bCs/>
      <w:smallCaps/>
      <w:color w:val="0F4761" w:themeColor="accent1" w:themeShade="BF"/>
      <w:spacing w:val="5"/>
    </w:rPr>
  </w:style>
  <w:style w:type="table" w:styleId="Tablaconcuadrcula">
    <w:name w:val="Table Grid"/>
    <w:basedOn w:val="Tablanormal"/>
    <w:uiPriority w:val="39"/>
    <w:rsid w:val="00CC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C1D00"/>
    <w:rPr>
      <w:sz w:val="16"/>
      <w:szCs w:val="16"/>
    </w:rPr>
  </w:style>
  <w:style w:type="character" w:customStyle="1" w:styleId="PrrafodelistaCar">
    <w:name w:val="Párrafo de lista Car"/>
    <w:aliases w:val="Cita texto Car,AA Párrafo de lista Car,TEXTO GENERAL SENTENCIAS Car,Footnote Car,Lista vistosa - Énfasis 11 Car,Párrafo de lista1 Car,Párrafo de lista2 Car,Dot pt Car,No Spacing1 Car,List Paragraph Char Char Char Car,Figuras Car"/>
    <w:link w:val="Prrafodelista"/>
    <w:uiPriority w:val="1"/>
    <w:qFormat/>
    <w:rsid w:val="00CC1D00"/>
  </w:style>
  <w:style w:type="paragraph" w:styleId="Textonotapie">
    <w:name w:val="footnote text"/>
    <w:basedOn w:val="Normal"/>
    <w:link w:val="TextonotapieCar"/>
    <w:uiPriority w:val="99"/>
    <w:semiHidden/>
    <w:unhideWhenUsed/>
    <w:rsid w:val="00CC1D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1D00"/>
    <w:rPr>
      <w:sz w:val="20"/>
      <w:szCs w:val="20"/>
      <w:lang w:val="es-ES"/>
    </w:rPr>
  </w:style>
  <w:style w:type="character" w:styleId="Refdenotaalpie">
    <w:name w:val="footnote reference"/>
    <w:basedOn w:val="Fuentedeprrafopredeter"/>
    <w:uiPriority w:val="99"/>
    <w:semiHidden/>
    <w:unhideWhenUsed/>
    <w:rsid w:val="00CC1D00"/>
    <w:rPr>
      <w:vertAlign w:val="superscript"/>
    </w:rPr>
  </w:style>
  <w:style w:type="paragraph" w:customStyle="1" w:styleId="s4">
    <w:name w:val="s4"/>
    <w:basedOn w:val="Normal"/>
    <w:rsid w:val="00CC1D00"/>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CC1D0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ES"/>
    </w:rPr>
  </w:style>
  <w:style w:type="character" w:customStyle="1" w:styleId="s7">
    <w:name w:val="s7"/>
    <w:basedOn w:val="Fuentedeprrafopredeter"/>
    <w:rsid w:val="0000397A"/>
  </w:style>
  <w:style w:type="paragraph" w:styleId="Revisin">
    <w:name w:val="Revision"/>
    <w:hidden/>
    <w:uiPriority w:val="99"/>
    <w:semiHidden/>
    <w:rsid w:val="005F4E68"/>
    <w:rPr>
      <w:lang w:val="es-ES"/>
    </w:rPr>
  </w:style>
  <w:style w:type="paragraph" w:styleId="Encabezado">
    <w:name w:val="header"/>
    <w:basedOn w:val="Normal"/>
    <w:link w:val="EncabezadoCar"/>
    <w:uiPriority w:val="99"/>
    <w:unhideWhenUsed/>
    <w:rsid w:val="00EC4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417D"/>
    <w:rPr>
      <w:lang w:val="es-ES"/>
    </w:rPr>
  </w:style>
  <w:style w:type="paragraph" w:styleId="Piedepgina">
    <w:name w:val="footer"/>
    <w:basedOn w:val="Normal"/>
    <w:link w:val="PiedepginaCar"/>
    <w:uiPriority w:val="99"/>
    <w:unhideWhenUsed/>
    <w:rsid w:val="00EC4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417D"/>
    <w:rPr>
      <w:lang w:val="es-ES"/>
    </w:rPr>
  </w:style>
  <w:style w:type="paragraph" w:styleId="NormalWeb">
    <w:name w:val="Normal (Web)"/>
    <w:basedOn w:val="Normal"/>
    <w:unhideWhenUsed/>
    <w:rsid w:val="00EE1DAD"/>
    <w:pPr>
      <w:spacing w:line="259" w:lineRule="auto"/>
    </w:pPr>
    <w:rPr>
      <w:rFonts w:ascii="Times New Roman" w:hAnsi="Times New Roman" w:cs="Times New Roman"/>
      <w:kern w:val="2"/>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101C0-3EFA-7846-A601-E61C0DA2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8884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Loya Guerrero</dc:creator>
  <cp:keywords/>
  <dc:description/>
  <cp:lastModifiedBy>HECTOR MAURICIO MARQUET GONZALEZ</cp:lastModifiedBy>
  <cp:revision>2</cp:revision>
  <cp:lastPrinted>2025-09-04T17:25:00Z</cp:lastPrinted>
  <dcterms:created xsi:type="dcterms:W3CDTF">2025-09-12T21:38:00Z</dcterms:created>
  <dcterms:modified xsi:type="dcterms:W3CDTF">2025-09-12T21:38:00Z</dcterms:modified>
</cp:coreProperties>
</file>