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B81D" w14:textId="300A1D4A"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ACUERDO GENERAL NÚMERO </w:t>
      </w:r>
      <w:r w:rsidR="007C4BD0">
        <w:rPr>
          <w:rFonts w:ascii="Arial" w:eastAsia="Times New Roman" w:hAnsi="Arial" w:cs="Arial"/>
          <w:b/>
          <w:bCs/>
          <w:color w:val="000000" w:themeColor="text1"/>
          <w:sz w:val="26"/>
          <w:szCs w:val="26"/>
          <w:lang w:val="es-ES_tradnl"/>
        </w:rPr>
        <w:t>4</w:t>
      </w:r>
      <w:r w:rsidRPr="00580F73">
        <w:rPr>
          <w:rFonts w:ascii="Arial" w:eastAsia="Times New Roman" w:hAnsi="Arial" w:cs="Arial"/>
          <w:b/>
          <w:bCs/>
          <w:color w:val="000000" w:themeColor="text1"/>
          <w:sz w:val="26"/>
          <w:szCs w:val="26"/>
          <w:lang w:val="es-ES_tradnl"/>
        </w:rPr>
        <w:t>/2025</w:t>
      </w:r>
      <w:r w:rsidR="007C4BD0">
        <w:rPr>
          <w:rFonts w:ascii="Arial" w:eastAsia="Times New Roman" w:hAnsi="Arial" w:cs="Arial"/>
          <w:b/>
          <w:bCs/>
          <w:color w:val="000000" w:themeColor="text1"/>
          <w:sz w:val="26"/>
          <w:szCs w:val="26"/>
          <w:lang w:val="es-ES_tradnl"/>
        </w:rPr>
        <w:t xml:space="preserve"> </w:t>
      </w:r>
      <w:r w:rsidR="007C4BD0">
        <w:rPr>
          <w:rFonts w:ascii="Arial" w:hAnsi="Arial" w:cs="Arial"/>
          <w:b/>
          <w:bCs/>
          <w:color w:val="000000" w:themeColor="text1"/>
          <w:sz w:val="26"/>
          <w:szCs w:val="26"/>
        </w:rPr>
        <w:t>(12a.)</w:t>
      </w:r>
      <w:r w:rsidR="004B4B33">
        <w:rPr>
          <w:rFonts w:ascii="Arial" w:hAnsi="Arial" w:cs="Arial"/>
          <w:b/>
          <w:bCs/>
          <w:color w:val="000000" w:themeColor="text1"/>
          <w:sz w:val="26"/>
          <w:szCs w:val="26"/>
        </w:rPr>
        <w:t>,</w:t>
      </w:r>
      <w:r w:rsidR="00996877">
        <w:rPr>
          <w:rFonts w:ascii="Arial" w:hAnsi="Arial" w:cs="Arial"/>
          <w:b/>
          <w:bCs/>
          <w:color w:val="000000" w:themeColor="text1"/>
          <w:sz w:val="26"/>
          <w:szCs w:val="26"/>
        </w:rPr>
        <w:t xml:space="preserve"> </w:t>
      </w:r>
      <w:r w:rsidRPr="00580F73">
        <w:rPr>
          <w:rFonts w:ascii="Arial" w:eastAsia="Times New Roman" w:hAnsi="Arial" w:cs="Arial"/>
          <w:b/>
          <w:bCs/>
          <w:color w:val="000000" w:themeColor="text1"/>
          <w:sz w:val="26"/>
          <w:szCs w:val="26"/>
          <w:lang w:val="es-ES_tradnl"/>
        </w:rPr>
        <w:t>DEL PLENO DE LA SUPREMA CORTE DE JUSTICIA DE LA NACIÓN</w:t>
      </w:r>
      <w:r w:rsidR="00A91875">
        <w:rPr>
          <w:rFonts w:ascii="Arial" w:eastAsia="Times New Roman" w:hAnsi="Arial" w:cs="Arial"/>
          <w:b/>
          <w:bCs/>
          <w:color w:val="000000" w:themeColor="text1"/>
          <w:sz w:val="26"/>
          <w:szCs w:val="26"/>
          <w:lang w:val="es-ES_tradnl"/>
        </w:rPr>
        <w:t>,</w:t>
      </w:r>
      <w:r w:rsidR="00996877">
        <w:rPr>
          <w:rFonts w:ascii="Arial" w:eastAsia="Times New Roman" w:hAnsi="Arial" w:cs="Arial"/>
          <w:b/>
          <w:bCs/>
          <w:color w:val="000000" w:themeColor="text1"/>
          <w:sz w:val="26"/>
          <w:szCs w:val="26"/>
          <w:lang w:val="es-ES_tradnl"/>
        </w:rPr>
        <w:t xml:space="preserve"> </w:t>
      </w:r>
      <w:r w:rsidR="00996877">
        <w:rPr>
          <w:rFonts w:ascii="Arial" w:hAnsi="Arial" w:cs="Arial"/>
          <w:b/>
          <w:bCs/>
          <w:color w:val="000000" w:themeColor="text1"/>
          <w:sz w:val="26"/>
          <w:szCs w:val="26"/>
        </w:rPr>
        <w:t>DE TRES DE SEPTIEMBRE DE DOS MIL VEINTICINCO,</w:t>
      </w:r>
      <w:r w:rsidR="00996877">
        <w:rPr>
          <w:rFonts w:ascii="Arial" w:eastAsia="Times New Roman" w:hAnsi="Arial" w:cs="Arial"/>
          <w:b/>
          <w:bCs/>
          <w:color w:val="000000" w:themeColor="text1"/>
          <w:sz w:val="26"/>
          <w:szCs w:val="26"/>
          <w:lang w:val="es-ES_tradnl"/>
        </w:rPr>
        <w:t xml:space="preserve"> </w:t>
      </w:r>
      <w:r w:rsidRPr="00580F73">
        <w:rPr>
          <w:rFonts w:ascii="Arial" w:eastAsia="Times New Roman" w:hAnsi="Arial" w:cs="Arial"/>
          <w:b/>
          <w:bCs/>
          <w:color w:val="000000" w:themeColor="text1"/>
          <w:sz w:val="26"/>
          <w:szCs w:val="26"/>
          <w:lang w:val="es-ES_tradnl"/>
        </w:rPr>
        <w:t>QUE ESTABLECE EL TRÁMITE DE LAS SOLICITUDES DE EJERCICIO DE LA FACULTAD DE ATRACCIÓN Y DE REASUNCIÓN DE COMPETENCIA.</w:t>
      </w:r>
    </w:p>
    <w:p w14:paraId="4A79FBEA"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44C20F82" w14:textId="77777777"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RECONOCIMIENTO</w:t>
      </w:r>
    </w:p>
    <w:p w14:paraId="63D9BD59" w14:textId="77777777"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p>
    <w:p w14:paraId="3341F858"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El rediseño constitucional del Poder Judicial de la Federación exige que las reglas procesales acompañen los principios de eficiencia, certeza y acceso a la justicia. </w:t>
      </w:r>
    </w:p>
    <w:p w14:paraId="04E108DC"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481D9EF0" w14:textId="7B839FBD"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La reasunción de competencia y el ejercicio de la facultad de atracción por el Pleno de la Suprema Corte de Justicia de la Nación </w:t>
      </w:r>
      <w:r w:rsidR="00917603" w:rsidRPr="00580F73">
        <w:rPr>
          <w:rFonts w:ascii="Arial" w:eastAsia="Times New Roman" w:hAnsi="Arial" w:cs="Arial"/>
          <w:color w:val="000000" w:themeColor="text1"/>
          <w:sz w:val="26"/>
          <w:szCs w:val="26"/>
          <w:lang w:val="es-ES_tradnl"/>
        </w:rPr>
        <w:t xml:space="preserve">(SCJN) </w:t>
      </w:r>
      <w:r w:rsidRPr="00580F73">
        <w:rPr>
          <w:rFonts w:ascii="Arial" w:eastAsia="Times New Roman" w:hAnsi="Arial" w:cs="Arial"/>
          <w:color w:val="000000" w:themeColor="text1"/>
          <w:sz w:val="26"/>
          <w:szCs w:val="26"/>
          <w:lang w:val="es-ES_tradnl"/>
        </w:rPr>
        <w:t xml:space="preserve">requieren que asegure el cumplimiento oportuno del dictado de la resolución correspondiente o el trámite que legalmente corresponda, evite cargas innecesarias para los órganos jurisdiccionales y garantice a las personas justiciables un procedimiento ágil y eficiente que no retarde de manera innecesaria la resolución de los asuntos. </w:t>
      </w:r>
    </w:p>
    <w:p w14:paraId="33672DD0"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18554920" w14:textId="01956A84"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La reasunción de competencia tiene lugar cuando el Pleno de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determina </w:t>
      </w:r>
      <w:r w:rsidR="00912AF1">
        <w:rPr>
          <w:rFonts w:ascii="Arial" w:eastAsia="Times New Roman" w:hAnsi="Arial" w:cs="Arial"/>
          <w:color w:val="000000" w:themeColor="text1"/>
          <w:sz w:val="26"/>
          <w:szCs w:val="26"/>
          <w:lang w:val="es-ES_tradnl"/>
        </w:rPr>
        <w:t>conocer</w:t>
      </w:r>
      <w:r w:rsidRPr="00580F73">
        <w:rPr>
          <w:rFonts w:ascii="Arial" w:eastAsia="Times New Roman" w:hAnsi="Arial" w:cs="Arial"/>
          <w:color w:val="000000" w:themeColor="text1"/>
          <w:sz w:val="26"/>
          <w:szCs w:val="26"/>
          <w:lang w:val="es-ES_tradnl"/>
        </w:rPr>
        <w:t xml:space="preserve"> de un asunto,</w:t>
      </w:r>
      <w:r w:rsidR="00912AF1">
        <w:rPr>
          <w:rFonts w:ascii="Arial" w:eastAsia="Times New Roman" w:hAnsi="Arial" w:cs="Arial"/>
          <w:color w:val="000000" w:themeColor="text1"/>
          <w:sz w:val="26"/>
          <w:szCs w:val="26"/>
          <w:lang w:val="es-ES_tradnl"/>
        </w:rPr>
        <w:t xml:space="preserve"> respecto del cual originalmente había delegado su competencia</w:t>
      </w:r>
      <w:r w:rsidRPr="00580F73">
        <w:rPr>
          <w:rFonts w:ascii="Arial" w:eastAsia="Times New Roman" w:hAnsi="Arial" w:cs="Arial"/>
          <w:color w:val="000000" w:themeColor="text1"/>
          <w:sz w:val="26"/>
          <w:szCs w:val="26"/>
          <w:lang w:val="es-ES_tradnl"/>
        </w:rPr>
        <w:t xml:space="preserve"> a otro órgano jurisdiccional</w:t>
      </w:r>
      <w:r w:rsidR="003A0CD9">
        <w:rPr>
          <w:rFonts w:ascii="Arial" w:eastAsia="Times New Roman" w:hAnsi="Arial" w:cs="Arial"/>
          <w:color w:val="000000" w:themeColor="text1"/>
          <w:sz w:val="26"/>
          <w:szCs w:val="26"/>
          <w:lang w:val="es-ES_tradnl"/>
        </w:rPr>
        <w:t>,</w:t>
      </w:r>
      <w:r w:rsidRPr="00580F73">
        <w:rPr>
          <w:rFonts w:ascii="Arial" w:eastAsia="Times New Roman" w:hAnsi="Arial" w:cs="Arial"/>
          <w:color w:val="000000" w:themeColor="text1"/>
          <w:sz w:val="26"/>
          <w:szCs w:val="26"/>
          <w:lang w:val="es-ES_tradnl"/>
        </w:rPr>
        <w:t xml:space="preserve"> por considerar que su resolución requiere de su intervención directa. Por su parte, la facultad de atracción permite a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conocer de un asunto del que en principio no es competente, pero que, </w:t>
      </w:r>
      <w:r w:rsidR="00FC6A07" w:rsidRPr="00580F73">
        <w:rPr>
          <w:rFonts w:ascii="Arial" w:eastAsia="Times New Roman" w:hAnsi="Arial" w:cs="Arial"/>
          <w:color w:val="000000" w:themeColor="text1"/>
          <w:sz w:val="26"/>
          <w:szCs w:val="26"/>
          <w:lang w:val="es-ES_tradnl"/>
        </w:rPr>
        <w:t>por su interés y trascendencia así lo amerit</w:t>
      </w:r>
      <w:r w:rsidR="00912AF1">
        <w:rPr>
          <w:rFonts w:ascii="Arial" w:eastAsia="Times New Roman" w:hAnsi="Arial" w:cs="Arial"/>
          <w:color w:val="000000" w:themeColor="text1"/>
          <w:sz w:val="26"/>
          <w:szCs w:val="26"/>
          <w:lang w:val="es-ES_tradnl"/>
        </w:rPr>
        <w:t>a</w:t>
      </w:r>
      <w:r w:rsidRPr="00580F73">
        <w:rPr>
          <w:rFonts w:ascii="Arial" w:eastAsia="Times New Roman" w:hAnsi="Arial" w:cs="Arial"/>
          <w:color w:val="000000" w:themeColor="text1"/>
          <w:sz w:val="26"/>
          <w:szCs w:val="26"/>
          <w:lang w:val="es-ES_tradnl"/>
        </w:rPr>
        <w:t xml:space="preserve">. </w:t>
      </w:r>
    </w:p>
    <w:p w14:paraId="1AE30BD2"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BD49206" w14:textId="52B99656" w:rsidR="00D41DB6" w:rsidRPr="00580F73" w:rsidRDefault="00912AF1" w:rsidP="0010513C">
      <w:pPr>
        <w:spacing w:after="0" w:line="276" w:lineRule="auto"/>
        <w:jc w:val="both"/>
        <w:rPr>
          <w:rFonts w:ascii="Arial" w:eastAsia="Times New Roman" w:hAnsi="Arial" w:cs="Arial"/>
          <w:color w:val="000000" w:themeColor="text1"/>
          <w:sz w:val="26"/>
          <w:szCs w:val="26"/>
          <w:lang w:val="es-ES_tradnl"/>
        </w:rPr>
      </w:pPr>
      <w:r>
        <w:rPr>
          <w:rFonts w:ascii="Arial" w:eastAsia="Times New Roman" w:hAnsi="Arial" w:cs="Arial"/>
          <w:color w:val="000000" w:themeColor="text1"/>
          <w:sz w:val="26"/>
          <w:szCs w:val="26"/>
          <w:lang w:val="es-ES_tradnl"/>
        </w:rPr>
        <w:t xml:space="preserve">Los artículos 40 y 80 bis de la Ley de Amparo así como el diverso </w:t>
      </w:r>
      <w:r w:rsidR="00761723" w:rsidRPr="00580F73">
        <w:rPr>
          <w:rFonts w:ascii="Arial" w:eastAsia="Times New Roman" w:hAnsi="Arial" w:cs="Arial"/>
          <w:color w:val="000000" w:themeColor="text1"/>
          <w:sz w:val="26"/>
          <w:szCs w:val="26"/>
          <w:lang w:val="es-ES_tradnl"/>
        </w:rPr>
        <w:t>207 de la Ley Orgánica del Poder Judicial de la Federación prevé</w:t>
      </w:r>
      <w:r>
        <w:rPr>
          <w:rFonts w:ascii="Arial" w:eastAsia="Times New Roman" w:hAnsi="Arial" w:cs="Arial"/>
          <w:color w:val="000000" w:themeColor="text1"/>
          <w:sz w:val="26"/>
          <w:szCs w:val="26"/>
          <w:lang w:val="es-ES_tradnl"/>
        </w:rPr>
        <w:t>n</w:t>
      </w:r>
      <w:r w:rsidR="00761723" w:rsidRPr="00580F73">
        <w:rPr>
          <w:rFonts w:ascii="Arial" w:eastAsia="Times New Roman" w:hAnsi="Arial" w:cs="Arial"/>
          <w:color w:val="000000" w:themeColor="text1"/>
          <w:sz w:val="26"/>
          <w:szCs w:val="26"/>
          <w:lang w:val="es-ES_tradnl"/>
        </w:rPr>
        <w:t xml:space="preserve"> las reglas del ejercicio de la facultad de atracción. Sin embargo, la finalidad de este Acuerdo General radica en complementar las pautas de su trámite para consolidar una justicia eficiente, transparente y alineada con el mandato constitucional de protección efectiva de los derechos humanos.</w:t>
      </w:r>
    </w:p>
    <w:p w14:paraId="7EF9EC24" w14:textId="77777777" w:rsidR="00761723" w:rsidRPr="00580F73" w:rsidRDefault="00761723" w:rsidP="0010513C">
      <w:pPr>
        <w:spacing w:after="0" w:line="276" w:lineRule="auto"/>
        <w:jc w:val="both"/>
        <w:rPr>
          <w:rFonts w:ascii="Arial" w:eastAsia="Times New Roman" w:hAnsi="Arial" w:cs="Arial"/>
          <w:color w:val="000000" w:themeColor="text1"/>
          <w:sz w:val="26"/>
          <w:szCs w:val="26"/>
          <w:lang w:val="es-ES_tradnl"/>
        </w:rPr>
      </w:pPr>
    </w:p>
    <w:p w14:paraId="24F2E4FF" w14:textId="77777777"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CONSIDERANDO</w:t>
      </w:r>
    </w:p>
    <w:p w14:paraId="1547C502"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D5DA44E" w14:textId="52B9DAA2"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PRIMERO. Diagnóstico.</w:t>
      </w:r>
      <w:r w:rsidRPr="00580F73">
        <w:rPr>
          <w:rFonts w:ascii="Arial" w:eastAsia="Times New Roman" w:hAnsi="Arial" w:cs="Arial"/>
          <w:color w:val="000000" w:themeColor="text1"/>
          <w:sz w:val="26"/>
          <w:szCs w:val="26"/>
          <w:lang w:val="es-ES_tradnl"/>
        </w:rPr>
        <w:t xml:space="preserve"> La problemática que presenta la atención de los casos relacionados con la facultad de atracción se puede ilustrar con la información de la Estadística de Ingresos y Egresos de la </w:t>
      </w:r>
      <w:r w:rsidR="00977C50"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del año 2024. En dicho documento se observa que en ese año,</w:t>
      </w:r>
      <w:r w:rsidR="00912AF1">
        <w:rPr>
          <w:rFonts w:ascii="Arial" w:eastAsia="Times New Roman" w:hAnsi="Arial" w:cs="Arial"/>
          <w:color w:val="000000" w:themeColor="text1"/>
          <w:sz w:val="26"/>
          <w:szCs w:val="26"/>
          <w:lang w:val="es-ES_tradnl"/>
        </w:rPr>
        <w:t xml:space="preserve"> se recibieron</w:t>
      </w:r>
      <w:r w:rsidRPr="00580F73">
        <w:rPr>
          <w:rFonts w:ascii="Arial" w:eastAsia="Times New Roman" w:hAnsi="Arial" w:cs="Arial"/>
          <w:color w:val="000000" w:themeColor="text1"/>
          <w:sz w:val="26"/>
          <w:szCs w:val="26"/>
          <w:lang w:val="es-ES_tradnl"/>
        </w:rPr>
        <w:t xml:space="preserve"> 2,224 solicitudes de ejercicio de facultad de atracción, de las cuales se desecharon 1055 mediante acuerdo presidencial, 239 egresaron por resolución colegiada y 1 por dictamen de Ministro ponente; </w:t>
      </w:r>
      <w:r w:rsidR="00761723" w:rsidRPr="00580F73">
        <w:rPr>
          <w:rFonts w:ascii="Arial" w:eastAsia="Times New Roman" w:hAnsi="Arial" w:cs="Arial"/>
          <w:color w:val="000000" w:themeColor="text1"/>
          <w:sz w:val="26"/>
          <w:szCs w:val="26"/>
          <w:lang w:val="es-ES_tradnl"/>
        </w:rPr>
        <w:t xml:space="preserve">por lo que quedó </w:t>
      </w:r>
      <w:r w:rsidRPr="00580F73">
        <w:rPr>
          <w:rFonts w:ascii="Arial" w:eastAsia="Times New Roman" w:hAnsi="Arial" w:cs="Arial"/>
          <w:color w:val="000000" w:themeColor="text1"/>
          <w:sz w:val="26"/>
          <w:szCs w:val="26"/>
          <w:lang w:val="es-ES_tradnl"/>
        </w:rPr>
        <w:t xml:space="preserve">un rezago de 929 solicitudes. </w:t>
      </w:r>
    </w:p>
    <w:p w14:paraId="0C754896"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0A6E6CE6" w14:textId="4F840801"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Por su parte, en el informe anual de labores de ese año</w:t>
      </w:r>
      <w:r w:rsidR="00FC6A07"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color w:val="000000" w:themeColor="text1"/>
          <w:sz w:val="26"/>
          <w:szCs w:val="26"/>
          <w:lang w:val="es-ES_tradnl"/>
        </w:rPr>
        <w:t>se reporta que</w:t>
      </w:r>
      <w:r w:rsidR="00FC6A07"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color w:val="000000" w:themeColor="text1"/>
          <w:sz w:val="26"/>
          <w:szCs w:val="26"/>
          <w:lang w:val="es-ES_tradnl"/>
        </w:rPr>
        <w:t>quedaron pendientes de resolución 58</w:t>
      </w:r>
      <w:r w:rsidR="00912AF1">
        <w:rPr>
          <w:rFonts w:ascii="Arial" w:eastAsia="Times New Roman" w:hAnsi="Arial" w:cs="Arial"/>
          <w:color w:val="000000" w:themeColor="text1"/>
          <w:sz w:val="26"/>
          <w:szCs w:val="26"/>
          <w:lang w:val="es-ES_tradnl"/>
        </w:rPr>
        <w:t xml:space="preserve"> </w:t>
      </w:r>
      <w:r w:rsidR="00912AF1" w:rsidRPr="00580F73">
        <w:rPr>
          <w:rFonts w:ascii="Arial" w:eastAsia="Times New Roman" w:hAnsi="Arial" w:cs="Arial"/>
          <w:color w:val="000000" w:themeColor="text1"/>
          <w:sz w:val="26"/>
          <w:szCs w:val="26"/>
          <w:lang w:val="es-ES_tradnl"/>
        </w:rPr>
        <w:t>solicitudes de ejercicio de la facultad de atracción</w:t>
      </w:r>
      <w:r w:rsidRPr="00580F73">
        <w:rPr>
          <w:rFonts w:ascii="Arial" w:eastAsia="Times New Roman" w:hAnsi="Arial" w:cs="Arial"/>
          <w:color w:val="000000" w:themeColor="text1"/>
          <w:sz w:val="26"/>
          <w:szCs w:val="26"/>
          <w:lang w:val="es-ES_tradnl"/>
        </w:rPr>
        <w:t xml:space="preserve"> y 5 solicitudes de reasunción de competencia.</w:t>
      </w:r>
    </w:p>
    <w:p w14:paraId="49547531"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4820B723"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Como se puede observar, la principal fuente de rezago se ubica en la fase preliminar de trámite y determinación sobre la procedencia de los asuntos. </w:t>
      </w:r>
    </w:p>
    <w:p w14:paraId="2A1E877E"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040B514" w14:textId="0F836C64"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Esta situación evidencia la necesidad de contar con reglas </w:t>
      </w:r>
      <w:r w:rsidR="00977C50" w:rsidRPr="00580F73">
        <w:rPr>
          <w:rFonts w:ascii="Arial" w:eastAsia="Times New Roman" w:hAnsi="Arial" w:cs="Arial"/>
          <w:color w:val="000000" w:themeColor="text1"/>
          <w:sz w:val="26"/>
          <w:szCs w:val="26"/>
          <w:lang w:val="es-ES_tradnl"/>
        </w:rPr>
        <w:t>precisa</w:t>
      </w:r>
      <w:r w:rsidRPr="00580F73">
        <w:rPr>
          <w:rFonts w:ascii="Arial" w:eastAsia="Times New Roman" w:hAnsi="Arial" w:cs="Arial"/>
          <w:color w:val="000000" w:themeColor="text1"/>
          <w:sz w:val="26"/>
          <w:szCs w:val="26"/>
          <w:lang w:val="es-ES_tradnl"/>
        </w:rPr>
        <w:t>s para el procesamiento, clasificación y dictaminación de las solicitudes a fin de agilizar el trámite y reducir el volumen de asuntos pendientes de resolver, con lo que se garantizará un ejercicio ordenado, eficiente y transparente de esta atribución constitucional.</w:t>
      </w:r>
    </w:p>
    <w:p w14:paraId="7D6FA4F7"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3F189CBB" w14:textId="32C93629"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SEGUNDO. Base constitucional y legal. </w:t>
      </w:r>
      <w:r w:rsidRPr="00580F73">
        <w:rPr>
          <w:rFonts w:ascii="Arial" w:eastAsia="Times New Roman" w:hAnsi="Arial" w:cs="Arial"/>
          <w:color w:val="000000" w:themeColor="text1"/>
          <w:sz w:val="26"/>
          <w:szCs w:val="26"/>
          <w:lang w:val="es-ES_tradnl"/>
        </w:rPr>
        <w:t>Los artículos 94, párrafo noveno, 105, fracción III y 107, fracciones V, último párrafo y VIII, último párrafo, de la Constitución Política de los Estados Unidos Mexicanos</w:t>
      </w:r>
      <w:r w:rsidR="00BB6888">
        <w:rPr>
          <w:rFonts w:ascii="Arial" w:eastAsia="Times New Roman" w:hAnsi="Arial" w:cs="Arial"/>
          <w:color w:val="000000" w:themeColor="text1"/>
          <w:sz w:val="26"/>
          <w:szCs w:val="26"/>
          <w:lang w:val="es-ES_tradnl"/>
        </w:rPr>
        <w:t xml:space="preserve"> (CPEUM)</w:t>
      </w:r>
      <w:r w:rsidRPr="00580F73">
        <w:rPr>
          <w:rFonts w:ascii="Arial" w:eastAsia="Times New Roman" w:hAnsi="Arial" w:cs="Arial"/>
          <w:color w:val="000000" w:themeColor="text1"/>
          <w:sz w:val="26"/>
          <w:szCs w:val="26"/>
          <w:lang w:val="es-ES_tradnl"/>
        </w:rPr>
        <w:t xml:space="preserve">, que facultan al Pleno de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para expedir Acuerdos Generales, a fin de lograr una adecuada admisión y asignación de los asuntos que le competa conocer; </w:t>
      </w:r>
      <w:r w:rsidR="00FC6A07" w:rsidRPr="00580F73">
        <w:rPr>
          <w:rFonts w:ascii="Arial" w:eastAsia="Times New Roman" w:hAnsi="Arial" w:cs="Arial"/>
          <w:color w:val="000000" w:themeColor="text1"/>
          <w:sz w:val="26"/>
          <w:szCs w:val="26"/>
          <w:lang w:val="es-ES_tradnl"/>
        </w:rPr>
        <w:t>así como</w:t>
      </w:r>
      <w:r w:rsidR="00D65479" w:rsidRPr="00580F73">
        <w:rPr>
          <w:rFonts w:ascii="Arial" w:eastAsia="Times New Roman" w:hAnsi="Arial" w:cs="Arial"/>
          <w:color w:val="000000" w:themeColor="text1"/>
          <w:sz w:val="26"/>
          <w:szCs w:val="26"/>
          <w:lang w:val="es-ES_tradnl"/>
        </w:rPr>
        <w:t xml:space="preserve"> a</w:t>
      </w:r>
      <w:r w:rsidRPr="00580F73">
        <w:rPr>
          <w:rFonts w:ascii="Arial" w:eastAsia="Times New Roman" w:hAnsi="Arial" w:cs="Arial"/>
          <w:color w:val="000000" w:themeColor="text1"/>
          <w:sz w:val="26"/>
          <w:szCs w:val="26"/>
          <w:lang w:val="es-ES_tradnl"/>
        </w:rPr>
        <w:t xml:space="preserve"> ejercer la facultad de atracción en asuntos de especial interés y trascendencia constitucional.</w:t>
      </w:r>
    </w:p>
    <w:p w14:paraId="2E41754C"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203DA367" w14:textId="7E3C4108"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Por su parte, los artículos 40 y 80 Bis de la Ley de Amparo</w:t>
      </w:r>
      <w:r w:rsidR="00912AF1">
        <w:rPr>
          <w:rFonts w:ascii="Arial" w:eastAsia="Times New Roman" w:hAnsi="Arial" w:cs="Arial"/>
          <w:color w:val="000000" w:themeColor="text1"/>
          <w:sz w:val="26"/>
          <w:szCs w:val="26"/>
          <w:lang w:val="es-ES_tradnl"/>
        </w:rPr>
        <w:t xml:space="preserve"> así como</w:t>
      </w:r>
      <w:r w:rsidRPr="00580F73">
        <w:rPr>
          <w:rFonts w:ascii="Arial" w:eastAsia="Times New Roman" w:hAnsi="Arial" w:cs="Arial"/>
          <w:color w:val="000000" w:themeColor="text1"/>
          <w:sz w:val="26"/>
          <w:szCs w:val="26"/>
          <w:lang w:val="es-ES_tradnl"/>
        </w:rPr>
        <w:t xml:space="preserve"> 207 de la Ley Orgánica del Poder Judicial de la Federación establecen la competencia del Pleno de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para conocer de las solicitudes de ejercicio de la facultad de atracción</w:t>
      </w:r>
      <w:r w:rsidR="00912AF1">
        <w:rPr>
          <w:rFonts w:ascii="Arial" w:eastAsia="Times New Roman" w:hAnsi="Arial" w:cs="Arial"/>
          <w:color w:val="000000" w:themeColor="text1"/>
          <w:sz w:val="26"/>
          <w:szCs w:val="26"/>
          <w:lang w:val="es-ES_tradnl"/>
        </w:rPr>
        <w:t>,</w:t>
      </w:r>
      <w:r w:rsidRPr="00580F73">
        <w:rPr>
          <w:rFonts w:ascii="Arial" w:eastAsia="Times New Roman" w:hAnsi="Arial" w:cs="Arial"/>
          <w:color w:val="000000" w:themeColor="text1"/>
          <w:sz w:val="26"/>
          <w:szCs w:val="26"/>
          <w:lang w:val="es-ES_tradnl"/>
        </w:rPr>
        <w:t xml:space="preserve"> que por su interés y trascendencia</w:t>
      </w:r>
      <w:r w:rsidR="00FC6A07"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color w:val="000000" w:themeColor="text1"/>
          <w:sz w:val="26"/>
          <w:szCs w:val="26"/>
          <w:lang w:val="es-ES_tradnl"/>
        </w:rPr>
        <w:t>justifiquen la atracción de los casos.</w:t>
      </w:r>
    </w:p>
    <w:p w14:paraId="77B26222" w14:textId="77777777" w:rsidR="00D41DB6" w:rsidRPr="00580F73" w:rsidRDefault="00D41DB6" w:rsidP="0010513C">
      <w:pPr>
        <w:spacing w:after="0" w:line="276" w:lineRule="auto"/>
        <w:jc w:val="both"/>
        <w:rPr>
          <w:rFonts w:ascii="Arial" w:hAnsi="Arial" w:cs="Arial"/>
          <w:b/>
          <w:bCs/>
          <w:color w:val="000000" w:themeColor="text1"/>
          <w:sz w:val="26"/>
          <w:szCs w:val="26"/>
          <w:lang w:val="es-ES_tradnl"/>
        </w:rPr>
      </w:pPr>
    </w:p>
    <w:p w14:paraId="116BA9A4" w14:textId="5DB28A53" w:rsidR="00D41DB6" w:rsidRPr="00580F73" w:rsidRDefault="00D41DB6" w:rsidP="0010513C">
      <w:pPr>
        <w:spacing w:after="0" w:line="276" w:lineRule="auto"/>
        <w:jc w:val="both"/>
        <w:rPr>
          <w:rFonts w:ascii="Arial" w:eastAsia="Times New Roman" w:hAnsi="Arial" w:cs="Arial"/>
          <w:color w:val="000000" w:themeColor="text1"/>
          <w:sz w:val="26"/>
          <w:szCs w:val="26"/>
        </w:rPr>
      </w:pPr>
      <w:r w:rsidRPr="00580F73">
        <w:rPr>
          <w:rFonts w:ascii="Arial" w:eastAsia="Times New Roman" w:hAnsi="Arial" w:cs="Arial"/>
          <w:b/>
          <w:bCs/>
          <w:color w:val="000000" w:themeColor="text1"/>
          <w:sz w:val="26"/>
          <w:szCs w:val="26"/>
          <w:lang w:val="es-ES_tradnl"/>
        </w:rPr>
        <w:t xml:space="preserve">TERCERO. </w:t>
      </w:r>
      <w:r w:rsidRPr="00580F73">
        <w:rPr>
          <w:rFonts w:ascii="Arial" w:eastAsia="Times New Roman" w:hAnsi="Arial" w:cs="Arial"/>
          <w:b/>
          <w:bCs/>
          <w:color w:val="000000" w:themeColor="text1"/>
          <w:sz w:val="26"/>
          <w:szCs w:val="26"/>
        </w:rPr>
        <w:t xml:space="preserve">Criterios para el ejercicio de la facultad de atracción y la reasunción de competencia. </w:t>
      </w:r>
      <w:r w:rsidRPr="00580F73">
        <w:rPr>
          <w:rFonts w:ascii="Arial" w:eastAsia="Times New Roman" w:hAnsi="Arial" w:cs="Arial"/>
          <w:color w:val="000000" w:themeColor="text1"/>
          <w:sz w:val="26"/>
          <w:szCs w:val="26"/>
        </w:rPr>
        <w:t>Es necesario dotar de herramientas interpretativas que permitan identificar con mayor claridad los casos en que se justifica dicho ejercicio, entre los que se encuentra: la relevancia constitucional del asunto en el marco del sistema de precedentes, la necesidad de unificar o clarificar la jurisprudencia constitucional, la protección de los derechos humanos</w:t>
      </w:r>
      <w:r w:rsidR="00FC6A07" w:rsidRPr="00580F73">
        <w:rPr>
          <w:rFonts w:ascii="Arial" w:eastAsia="Times New Roman" w:hAnsi="Arial" w:cs="Arial"/>
          <w:color w:val="000000" w:themeColor="text1"/>
          <w:sz w:val="26"/>
          <w:szCs w:val="26"/>
        </w:rPr>
        <w:t xml:space="preserve">, </w:t>
      </w:r>
      <w:r w:rsidRPr="00580F73">
        <w:rPr>
          <w:rFonts w:ascii="Arial" w:eastAsia="Times New Roman" w:hAnsi="Arial" w:cs="Arial"/>
          <w:color w:val="000000" w:themeColor="text1"/>
          <w:sz w:val="26"/>
          <w:szCs w:val="26"/>
        </w:rPr>
        <w:t xml:space="preserve">la salvaguarda de personas y grupos en situación de vulnerabilidad, así como el interés general del pueblo. </w:t>
      </w:r>
    </w:p>
    <w:p w14:paraId="6A57B2A5" w14:textId="77777777" w:rsidR="00D41DB6" w:rsidRPr="00580F73" w:rsidRDefault="00D41DB6" w:rsidP="0010513C">
      <w:pPr>
        <w:spacing w:after="0" w:line="276" w:lineRule="auto"/>
        <w:jc w:val="both"/>
        <w:rPr>
          <w:rFonts w:ascii="Arial" w:eastAsia="Times New Roman" w:hAnsi="Arial" w:cs="Arial"/>
          <w:color w:val="000000" w:themeColor="text1"/>
          <w:sz w:val="26"/>
          <w:szCs w:val="26"/>
        </w:rPr>
      </w:pPr>
    </w:p>
    <w:p w14:paraId="416D5B61" w14:textId="16C4B684" w:rsidR="00D41DB6" w:rsidRPr="00580F73" w:rsidRDefault="00D41DB6" w:rsidP="0010513C">
      <w:pPr>
        <w:spacing w:after="0" w:line="276" w:lineRule="auto"/>
        <w:jc w:val="both"/>
        <w:rPr>
          <w:rFonts w:ascii="Arial" w:eastAsia="Times New Roman" w:hAnsi="Arial" w:cs="Arial"/>
          <w:color w:val="000000" w:themeColor="text1"/>
          <w:sz w:val="26"/>
          <w:szCs w:val="26"/>
        </w:rPr>
      </w:pPr>
      <w:r w:rsidRPr="00580F73">
        <w:rPr>
          <w:rFonts w:ascii="Arial" w:eastAsia="Times New Roman" w:hAnsi="Arial" w:cs="Arial"/>
          <w:color w:val="000000" w:themeColor="text1"/>
          <w:sz w:val="26"/>
          <w:szCs w:val="26"/>
        </w:rPr>
        <w:t xml:space="preserve">Estas directrices permitirán identificar con mayor precisión los casos que ameritan </w:t>
      </w:r>
      <w:r w:rsidR="00FC6A07" w:rsidRPr="00580F73">
        <w:rPr>
          <w:rFonts w:ascii="Arial" w:eastAsia="Times New Roman" w:hAnsi="Arial" w:cs="Arial"/>
          <w:color w:val="000000" w:themeColor="text1"/>
          <w:sz w:val="26"/>
          <w:szCs w:val="26"/>
        </w:rPr>
        <w:t>que</w:t>
      </w:r>
      <w:r w:rsidRPr="00580F73">
        <w:rPr>
          <w:rFonts w:ascii="Arial" w:eastAsia="Times New Roman" w:hAnsi="Arial" w:cs="Arial"/>
          <w:color w:val="000000" w:themeColor="text1"/>
          <w:sz w:val="26"/>
          <w:szCs w:val="26"/>
        </w:rPr>
        <w:t xml:space="preserve"> la </w:t>
      </w:r>
      <w:r w:rsidR="00977C50" w:rsidRPr="00580F73">
        <w:rPr>
          <w:rFonts w:ascii="Arial" w:eastAsia="Times New Roman" w:hAnsi="Arial" w:cs="Arial"/>
          <w:color w:val="000000" w:themeColor="text1"/>
          <w:sz w:val="26"/>
          <w:szCs w:val="26"/>
        </w:rPr>
        <w:t>SCJN</w:t>
      </w:r>
      <w:r w:rsidRPr="00580F73">
        <w:rPr>
          <w:rFonts w:ascii="Arial" w:eastAsia="Times New Roman" w:hAnsi="Arial" w:cs="Arial"/>
          <w:color w:val="000000" w:themeColor="text1"/>
          <w:sz w:val="26"/>
          <w:szCs w:val="26"/>
        </w:rPr>
        <w:t xml:space="preserve"> ejerza la facultad de atracción</w:t>
      </w:r>
      <w:r w:rsidR="00977C50" w:rsidRPr="00580F73">
        <w:rPr>
          <w:rFonts w:ascii="Arial" w:eastAsia="Times New Roman" w:hAnsi="Arial" w:cs="Arial"/>
          <w:color w:val="000000" w:themeColor="text1"/>
          <w:sz w:val="26"/>
          <w:szCs w:val="26"/>
        </w:rPr>
        <w:t xml:space="preserve"> o reasuma</w:t>
      </w:r>
      <w:r w:rsidRPr="00580F73">
        <w:rPr>
          <w:rFonts w:ascii="Arial" w:eastAsia="Times New Roman" w:hAnsi="Arial" w:cs="Arial"/>
          <w:color w:val="000000" w:themeColor="text1"/>
          <w:sz w:val="26"/>
          <w:szCs w:val="26"/>
        </w:rPr>
        <w:t xml:space="preserve"> </w:t>
      </w:r>
      <w:r w:rsidR="00FC6A07" w:rsidRPr="00580F73">
        <w:rPr>
          <w:rFonts w:ascii="Arial" w:eastAsia="Times New Roman" w:hAnsi="Arial" w:cs="Arial"/>
          <w:color w:val="000000" w:themeColor="text1"/>
          <w:sz w:val="26"/>
          <w:szCs w:val="26"/>
        </w:rPr>
        <w:t xml:space="preserve">su </w:t>
      </w:r>
      <w:r w:rsidRPr="00580F73">
        <w:rPr>
          <w:rFonts w:ascii="Arial" w:eastAsia="Times New Roman" w:hAnsi="Arial" w:cs="Arial"/>
          <w:color w:val="000000" w:themeColor="text1"/>
          <w:sz w:val="26"/>
          <w:szCs w:val="26"/>
        </w:rPr>
        <w:t>competencia originaria.</w:t>
      </w:r>
    </w:p>
    <w:p w14:paraId="1B57603F"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021419B9" w14:textId="583075C6"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CUARTO. Solicitudes de parte no legitimada. </w:t>
      </w:r>
      <w:r w:rsidRPr="00580F73">
        <w:rPr>
          <w:rFonts w:ascii="Arial" w:eastAsia="Times New Roman" w:hAnsi="Arial" w:cs="Arial"/>
          <w:color w:val="000000" w:themeColor="text1"/>
          <w:sz w:val="26"/>
          <w:szCs w:val="26"/>
          <w:lang w:val="es-ES_tradnl"/>
        </w:rPr>
        <w:t xml:space="preserve">A pesar de que la Ley Orgánica del Poder Judicial de la Federación y la Ley de Amparo determinan quiénes están legitimados para solicitar el ejercicio de la facultad de atracción, en la práctica se reciben solicitudes presentadas por partes no legitimadas. </w:t>
      </w:r>
    </w:p>
    <w:p w14:paraId="582B7099"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158B85BD" w14:textId="139AB408"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Ante ello, se requiere un trámite específico que permita el análisis de dichas solicitudes, con el fin de garantizar que las personas integrantes del Pleno puedan conocerlas y en su caso, hacer suyas dichas solicitudes.</w:t>
      </w:r>
    </w:p>
    <w:p w14:paraId="24965A36"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370F8616" w14:textId="5173DE1C"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En consecuencia, con fundamento en el artículo 94, párrafo noveno, de la </w:t>
      </w:r>
      <w:r w:rsidR="00BB6888">
        <w:rPr>
          <w:rFonts w:ascii="Arial" w:eastAsia="Times New Roman" w:hAnsi="Arial" w:cs="Arial"/>
          <w:color w:val="000000" w:themeColor="text1"/>
          <w:sz w:val="26"/>
          <w:szCs w:val="26"/>
          <w:lang w:val="es-ES_tradnl"/>
        </w:rPr>
        <w:t>CPEUM</w:t>
      </w:r>
      <w:r w:rsidRPr="00580F73">
        <w:rPr>
          <w:rFonts w:ascii="Arial" w:eastAsia="Times New Roman" w:hAnsi="Arial" w:cs="Arial"/>
          <w:color w:val="000000" w:themeColor="text1"/>
          <w:sz w:val="26"/>
          <w:szCs w:val="26"/>
          <w:lang w:val="es-ES_tradnl"/>
        </w:rPr>
        <w:t xml:space="preserve">, el Pleno de la </w:t>
      </w:r>
      <w:r w:rsidR="00977C50"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expide el siguiente:</w:t>
      </w:r>
    </w:p>
    <w:p w14:paraId="6997C3DF"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E421F98" w14:textId="5C52BA53"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ACUERDO</w:t>
      </w:r>
    </w:p>
    <w:p w14:paraId="49C30567" w14:textId="77777777"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p>
    <w:p w14:paraId="59B30B92" w14:textId="6D383D42"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Arial" w:hAnsi="Arial" w:cs="Arial"/>
          <w:b/>
          <w:color w:val="000000" w:themeColor="text1"/>
          <w:sz w:val="26"/>
          <w:szCs w:val="26"/>
          <w:lang w:val="es-ES_tradnl"/>
        </w:rPr>
        <w:t>PRIMERO.</w:t>
      </w:r>
      <w:r w:rsidRPr="00580F73">
        <w:rPr>
          <w:rFonts w:ascii="Arial" w:eastAsia="Arial" w:hAnsi="Arial" w:cs="Arial"/>
          <w:color w:val="000000" w:themeColor="text1"/>
          <w:sz w:val="26"/>
          <w:szCs w:val="26"/>
          <w:lang w:val="es-ES_tradnl"/>
        </w:rPr>
        <w:t xml:space="preserve"> </w:t>
      </w:r>
      <w:r w:rsidR="00977C50" w:rsidRPr="00580F73">
        <w:rPr>
          <w:rFonts w:ascii="Arial" w:eastAsia="Arial" w:hAnsi="Arial" w:cs="Arial"/>
          <w:b/>
          <w:color w:val="000000" w:themeColor="text1"/>
          <w:sz w:val="26"/>
          <w:szCs w:val="26"/>
          <w:lang w:val="es-ES_tradnl"/>
        </w:rPr>
        <w:t>Objeto</w:t>
      </w:r>
      <w:r w:rsidRPr="00580F73">
        <w:rPr>
          <w:rFonts w:ascii="Arial" w:eastAsia="Arial" w:hAnsi="Arial" w:cs="Arial"/>
          <w:b/>
          <w:color w:val="000000" w:themeColor="text1"/>
          <w:sz w:val="26"/>
          <w:szCs w:val="26"/>
          <w:lang w:val="es-ES_tradnl"/>
        </w:rPr>
        <w:t xml:space="preserve">. </w:t>
      </w:r>
      <w:r w:rsidRPr="00580F73">
        <w:rPr>
          <w:rFonts w:ascii="Arial" w:eastAsia="Arial" w:hAnsi="Arial" w:cs="Arial"/>
          <w:color w:val="000000" w:themeColor="text1"/>
          <w:sz w:val="26"/>
          <w:szCs w:val="26"/>
          <w:lang w:val="es-ES_tradnl"/>
        </w:rPr>
        <w:t>Este acuerdo tiene por objeto regular el procedimiento para las solicitudes</w:t>
      </w:r>
      <w:r w:rsidRPr="00580F73">
        <w:rPr>
          <w:rFonts w:ascii="Arial" w:eastAsia="Times New Roman" w:hAnsi="Arial" w:cs="Arial"/>
          <w:b/>
          <w:bCs/>
          <w:color w:val="000000" w:themeColor="text1"/>
          <w:sz w:val="26"/>
          <w:szCs w:val="26"/>
          <w:lang w:val="es-ES_tradnl"/>
        </w:rPr>
        <w:t xml:space="preserve"> </w:t>
      </w:r>
      <w:r w:rsidRPr="00580F73">
        <w:rPr>
          <w:rFonts w:ascii="Arial" w:eastAsia="Times New Roman" w:hAnsi="Arial" w:cs="Arial"/>
          <w:bCs/>
          <w:color w:val="000000" w:themeColor="text1"/>
          <w:sz w:val="26"/>
          <w:szCs w:val="26"/>
          <w:lang w:val="es-ES_tradnl"/>
        </w:rPr>
        <w:t>de ejercicio de la facultad de atracción y de reasunción de competencia</w:t>
      </w:r>
      <w:r w:rsidRPr="00580F73">
        <w:rPr>
          <w:rFonts w:ascii="Arial" w:eastAsia="Arial" w:hAnsi="Arial" w:cs="Arial"/>
          <w:color w:val="000000" w:themeColor="text1"/>
          <w:sz w:val="26"/>
          <w:szCs w:val="26"/>
          <w:lang w:val="es-ES_tradnl"/>
        </w:rPr>
        <w:t xml:space="preserve"> originaria del </w:t>
      </w:r>
      <w:r w:rsidRPr="00580F73">
        <w:rPr>
          <w:rFonts w:ascii="Arial" w:eastAsia="Times New Roman" w:hAnsi="Arial" w:cs="Arial"/>
          <w:color w:val="000000" w:themeColor="text1"/>
          <w:sz w:val="26"/>
          <w:szCs w:val="26"/>
          <w:lang w:val="es-ES_tradnl"/>
        </w:rPr>
        <w:t xml:space="preserve">Pleno de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así como los supuestos de su procedencia. </w:t>
      </w:r>
    </w:p>
    <w:p w14:paraId="44CFC0FF"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12BD21F"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SEGUNDO. Procedimiento general. </w:t>
      </w:r>
      <w:r w:rsidRPr="00580F73">
        <w:rPr>
          <w:rFonts w:ascii="Arial" w:eastAsia="Times New Roman" w:hAnsi="Arial" w:cs="Arial"/>
          <w:color w:val="000000" w:themeColor="text1"/>
          <w:sz w:val="26"/>
          <w:szCs w:val="26"/>
          <w:lang w:val="es-ES_tradnl"/>
        </w:rPr>
        <w:t xml:space="preserve">Toda solicitud de ejercicio de la facultad de atracción o de reasunción de competencia originaria que se presente, será registrada y se le asignará un número de expediente. </w:t>
      </w:r>
    </w:p>
    <w:p w14:paraId="3928E726"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1386841" w14:textId="317D353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La Secretaría General de Acuerdos realizará las gestiones necesarias para la formación del expediente impreso y </w:t>
      </w:r>
      <w:r w:rsidR="00574B8A" w:rsidRPr="00580F73">
        <w:rPr>
          <w:rFonts w:ascii="Arial" w:eastAsia="Times New Roman" w:hAnsi="Arial" w:cs="Arial"/>
          <w:color w:val="000000" w:themeColor="text1"/>
          <w:sz w:val="26"/>
          <w:szCs w:val="26"/>
          <w:lang w:val="es-ES_tradnl"/>
        </w:rPr>
        <w:t>electrónico, y</w:t>
      </w:r>
      <w:r w:rsidR="00560E42">
        <w:rPr>
          <w:rFonts w:ascii="Arial" w:eastAsia="Times New Roman" w:hAnsi="Arial" w:cs="Arial"/>
          <w:color w:val="000000" w:themeColor="text1"/>
          <w:sz w:val="26"/>
          <w:szCs w:val="26"/>
          <w:lang w:val="es-ES_tradnl"/>
        </w:rPr>
        <w:t xml:space="preserve"> para que</w:t>
      </w:r>
      <w:r w:rsidRPr="00580F73">
        <w:rPr>
          <w:rFonts w:ascii="Arial" w:eastAsia="Times New Roman" w:hAnsi="Arial" w:cs="Arial"/>
          <w:color w:val="000000" w:themeColor="text1"/>
          <w:sz w:val="26"/>
          <w:szCs w:val="26"/>
          <w:lang w:val="es-ES_tradnl"/>
        </w:rPr>
        <w:t xml:space="preserve"> sean remitidas las constancias indispensables para la resolución del asunto</w:t>
      </w:r>
      <w:r w:rsidR="00560E42">
        <w:rPr>
          <w:rFonts w:ascii="Arial" w:eastAsia="Times New Roman" w:hAnsi="Arial" w:cs="Arial"/>
          <w:color w:val="000000" w:themeColor="text1"/>
          <w:sz w:val="26"/>
          <w:szCs w:val="26"/>
          <w:lang w:val="es-ES_tradnl"/>
        </w:rPr>
        <w:t>,</w:t>
      </w:r>
      <w:r w:rsidR="00DE44FB" w:rsidRPr="00580F73">
        <w:rPr>
          <w:rFonts w:ascii="Arial" w:eastAsia="Times New Roman" w:hAnsi="Arial" w:cs="Arial"/>
          <w:color w:val="000000" w:themeColor="text1"/>
          <w:sz w:val="26"/>
          <w:szCs w:val="26"/>
          <w:lang w:val="es-ES_tradnl"/>
        </w:rPr>
        <w:t xml:space="preserve"> prioritariamente </w:t>
      </w:r>
      <w:r w:rsidRPr="00580F73">
        <w:rPr>
          <w:rFonts w:ascii="Arial" w:eastAsia="Times New Roman" w:hAnsi="Arial" w:cs="Arial"/>
          <w:color w:val="000000" w:themeColor="text1"/>
          <w:sz w:val="26"/>
          <w:szCs w:val="26"/>
          <w:lang w:val="es-ES_tradnl"/>
        </w:rPr>
        <w:t>en formato electrónico.</w:t>
      </w:r>
    </w:p>
    <w:p w14:paraId="1C048272"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740D1A90" w14:textId="211DAAAF"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TERCERO. Procedimiento en solicitudes presentadas por parte legitimada.</w:t>
      </w:r>
      <w:r w:rsidRPr="00580F73">
        <w:rPr>
          <w:rFonts w:ascii="Arial" w:eastAsia="Times New Roman" w:hAnsi="Arial" w:cs="Arial"/>
          <w:color w:val="000000" w:themeColor="text1"/>
          <w:sz w:val="26"/>
          <w:szCs w:val="26"/>
          <w:lang w:val="es-ES_tradnl"/>
        </w:rPr>
        <w:t xml:space="preserve"> Cuando la petición provenga de parte legitimada, se notificará inmediatamente al órgano del conocimiento a través del Módulo de Intercomunicación de la </w:t>
      </w:r>
      <w:r w:rsidR="00BB6888" w:rsidRPr="00580F73">
        <w:rPr>
          <w:rFonts w:ascii="Arial" w:eastAsia="Times New Roman" w:hAnsi="Arial" w:cs="Arial"/>
          <w:color w:val="000000" w:themeColor="text1"/>
          <w:sz w:val="26"/>
          <w:szCs w:val="26"/>
          <w:lang w:val="es-ES_tradnl"/>
        </w:rPr>
        <w:t xml:space="preserve">SCJN </w:t>
      </w:r>
      <w:r w:rsidR="00977C50" w:rsidRPr="00580F73">
        <w:rPr>
          <w:rFonts w:ascii="Arial" w:eastAsia="Times New Roman" w:hAnsi="Arial" w:cs="Arial"/>
          <w:color w:val="000000" w:themeColor="text1"/>
          <w:sz w:val="26"/>
          <w:szCs w:val="26"/>
          <w:lang w:val="es-ES_tradnl"/>
        </w:rPr>
        <w:t>(</w:t>
      </w:r>
      <w:r w:rsidRPr="00580F73">
        <w:rPr>
          <w:rFonts w:ascii="Arial" w:eastAsia="Times New Roman" w:hAnsi="Arial" w:cs="Arial"/>
          <w:color w:val="000000" w:themeColor="text1"/>
          <w:sz w:val="26"/>
          <w:szCs w:val="26"/>
          <w:lang w:val="es-ES_tradnl"/>
        </w:rPr>
        <w:t>MINTERSCJN</w:t>
      </w:r>
      <w:r w:rsidR="00977C50" w:rsidRPr="00580F73">
        <w:rPr>
          <w:rFonts w:ascii="Arial" w:eastAsia="Times New Roman" w:hAnsi="Arial" w:cs="Arial"/>
          <w:color w:val="000000" w:themeColor="text1"/>
          <w:sz w:val="26"/>
          <w:szCs w:val="26"/>
          <w:lang w:val="es-ES_tradnl"/>
        </w:rPr>
        <w:t>)</w:t>
      </w:r>
      <w:r w:rsidRPr="00580F73">
        <w:rPr>
          <w:rFonts w:ascii="Arial" w:eastAsia="Times New Roman" w:hAnsi="Arial" w:cs="Arial"/>
          <w:color w:val="000000" w:themeColor="text1"/>
          <w:sz w:val="26"/>
          <w:szCs w:val="26"/>
          <w:lang w:val="es-ES_tradnl"/>
        </w:rPr>
        <w:t xml:space="preserve"> a efecto de que se abstenga de dictar la sentencia respectiva en tanto el Pleno de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determin</w:t>
      </w:r>
      <w:r w:rsidR="00912AF1">
        <w:rPr>
          <w:rFonts w:ascii="Arial" w:eastAsia="Times New Roman" w:hAnsi="Arial" w:cs="Arial"/>
          <w:color w:val="000000" w:themeColor="text1"/>
          <w:sz w:val="26"/>
          <w:szCs w:val="26"/>
          <w:lang w:val="es-ES_tradnl"/>
        </w:rPr>
        <w:t>a</w:t>
      </w:r>
      <w:r w:rsidRPr="00580F73">
        <w:rPr>
          <w:rFonts w:ascii="Arial" w:eastAsia="Times New Roman" w:hAnsi="Arial" w:cs="Arial"/>
          <w:color w:val="000000" w:themeColor="text1"/>
          <w:sz w:val="26"/>
          <w:szCs w:val="26"/>
          <w:lang w:val="es-ES_tradnl"/>
        </w:rPr>
        <w:t xml:space="preserve"> si reasume la competencia planteada o ejerce su facultad de atracción.</w:t>
      </w:r>
    </w:p>
    <w:p w14:paraId="35C10DA2"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5089768F" w14:textId="467737A3" w:rsidR="00977C50" w:rsidRPr="00580F73" w:rsidRDefault="00D41DB6" w:rsidP="00977C50">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Una vez que el expediente se encuentre debidamente integrado, la Presidencia proveerá sobre su trámite</w:t>
      </w:r>
      <w:r w:rsidR="00FC6A07" w:rsidRPr="00580F73">
        <w:rPr>
          <w:rFonts w:ascii="Arial" w:eastAsia="Times New Roman" w:hAnsi="Arial" w:cs="Arial"/>
          <w:color w:val="000000" w:themeColor="text1"/>
          <w:sz w:val="26"/>
          <w:szCs w:val="26"/>
          <w:lang w:val="es-ES_tradnl"/>
        </w:rPr>
        <w:t>.</w:t>
      </w:r>
      <w:r w:rsidR="003A0CD9">
        <w:rPr>
          <w:rFonts w:ascii="Arial" w:eastAsia="Times New Roman" w:hAnsi="Arial" w:cs="Arial"/>
          <w:color w:val="000000" w:themeColor="text1"/>
          <w:sz w:val="26"/>
          <w:szCs w:val="26"/>
          <w:lang w:val="es-ES_tradnl"/>
        </w:rPr>
        <w:t xml:space="preserve"> En caso de ser admitida a trámite,</w:t>
      </w:r>
      <w:r w:rsidR="00A64960" w:rsidRPr="00580F73">
        <w:rPr>
          <w:rFonts w:ascii="Arial" w:eastAsia="Times New Roman" w:hAnsi="Arial" w:cs="Arial"/>
          <w:color w:val="000000" w:themeColor="text1"/>
          <w:sz w:val="26"/>
          <w:szCs w:val="26"/>
          <w:lang w:val="es-ES_tradnl"/>
        </w:rPr>
        <w:t xml:space="preserve"> </w:t>
      </w:r>
      <w:r w:rsidR="003A0CD9">
        <w:rPr>
          <w:rFonts w:ascii="Arial" w:eastAsia="Times New Roman" w:hAnsi="Arial" w:cs="Arial"/>
          <w:color w:val="000000" w:themeColor="text1"/>
          <w:sz w:val="26"/>
          <w:szCs w:val="26"/>
          <w:lang w:val="es-ES_tradnl"/>
        </w:rPr>
        <w:t>l</w:t>
      </w:r>
      <w:r w:rsidR="00977C50" w:rsidRPr="00580F73">
        <w:rPr>
          <w:rFonts w:ascii="Arial" w:eastAsia="Times New Roman" w:hAnsi="Arial" w:cs="Arial"/>
          <w:color w:val="000000" w:themeColor="text1"/>
          <w:sz w:val="26"/>
          <w:szCs w:val="26"/>
          <w:lang w:val="es-ES_tradnl"/>
        </w:rPr>
        <w:t>a Secretaría General de Acuerdos pondrá a disposición de las Ponencias los autos del expediente original y elaborará una síntesis de antecedentes relevantes que serán puestos a consideración del Pleno</w:t>
      </w:r>
      <w:r w:rsidR="00A16BF6" w:rsidRPr="00580F73">
        <w:rPr>
          <w:rFonts w:ascii="Arial" w:eastAsia="Times New Roman" w:hAnsi="Arial" w:cs="Arial"/>
          <w:color w:val="000000" w:themeColor="text1"/>
          <w:sz w:val="26"/>
          <w:szCs w:val="26"/>
          <w:lang w:val="es-ES_tradnl"/>
        </w:rPr>
        <w:t xml:space="preserve"> de la SCJN</w:t>
      </w:r>
      <w:r w:rsidR="00977C50" w:rsidRPr="00580F73">
        <w:rPr>
          <w:rFonts w:ascii="Arial" w:eastAsia="Times New Roman" w:hAnsi="Arial" w:cs="Arial"/>
          <w:color w:val="000000" w:themeColor="text1"/>
          <w:sz w:val="26"/>
          <w:szCs w:val="26"/>
          <w:lang w:val="es-ES_tradnl"/>
        </w:rPr>
        <w:t xml:space="preserve"> dentro de los 5 días hábiles siguientes, a efecto de que determine si reasume su competencia originaria o ejerce la facultad de atracción. </w:t>
      </w:r>
    </w:p>
    <w:p w14:paraId="1ABB6774" w14:textId="77777777" w:rsidR="001D30B0" w:rsidRPr="00580F73" w:rsidRDefault="001D30B0" w:rsidP="0010513C">
      <w:pPr>
        <w:spacing w:after="0" w:line="276" w:lineRule="auto"/>
        <w:jc w:val="both"/>
        <w:rPr>
          <w:rFonts w:ascii="Arial" w:eastAsia="Times New Roman" w:hAnsi="Arial" w:cs="Arial"/>
          <w:color w:val="000000" w:themeColor="text1"/>
          <w:sz w:val="26"/>
          <w:szCs w:val="26"/>
          <w:lang w:val="es-ES_tradnl"/>
        </w:rPr>
      </w:pPr>
    </w:p>
    <w:p w14:paraId="2DEF5E7E" w14:textId="77777777" w:rsidR="008054A5" w:rsidRPr="00580F73" w:rsidRDefault="008054A5"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De ejercerse la facultad de atracción o la reasunción de competencia, el asunto respectivo se turnará a la ponencia de alguna de las Ministras o Ministros que integraron la mayoría, conforme al orden que corresponda según la fecha y hora en que el Pleno haya emitido dicha determinación.</w:t>
      </w:r>
    </w:p>
    <w:p w14:paraId="7877AAF0" w14:textId="77777777" w:rsidR="00977C50" w:rsidRPr="00580F73" w:rsidRDefault="00977C50" w:rsidP="0010513C">
      <w:pPr>
        <w:spacing w:after="0" w:line="276" w:lineRule="auto"/>
        <w:jc w:val="both"/>
        <w:rPr>
          <w:rFonts w:ascii="Arial" w:eastAsia="Times New Roman" w:hAnsi="Arial" w:cs="Arial"/>
          <w:color w:val="000000" w:themeColor="text1"/>
          <w:sz w:val="26"/>
          <w:szCs w:val="26"/>
          <w:lang w:val="es-ES_tradnl"/>
        </w:rPr>
      </w:pPr>
    </w:p>
    <w:p w14:paraId="2F9895DC" w14:textId="7582EAE9" w:rsidR="00977C50" w:rsidRPr="00580F73" w:rsidRDefault="00977C50" w:rsidP="00977C50">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En caso de que el Pleno de la SCJN decida no conocer del asunto, la petición </w:t>
      </w:r>
      <w:r w:rsidRPr="00580F73">
        <w:rPr>
          <w:rFonts w:ascii="Arial" w:eastAsia="Times New Roman" w:hAnsi="Arial" w:cs="Arial"/>
          <w:bCs/>
          <w:color w:val="000000" w:themeColor="text1"/>
          <w:sz w:val="26"/>
          <w:szCs w:val="26"/>
          <w:lang w:val="es-ES_tradnl"/>
        </w:rPr>
        <w:t>se desechará mediante acuerdo p</w:t>
      </w:r>
      <w:r w:rsidR="00912AF1">
        <w:rPr>
          <w:rFonts w:ascii="Arial" w:eastAsia="Times New Roman" w:hAnsi="Arial" w:cs="Arial"/>
          <w:bCs/>
          <w:color w:val="000000" w:themeColor="text1"/>
          <w:sz w:val="26"/>
          <w:szCs w:val="26"/>
          <w:lang w:val="es-ES_tradnl"/>
        </w:rPr>
        <w:t>residencial</w:t>
      </w:r>
      <w:r w:rsidRPr="00580F73">
        <w:rPr>
          <w:rFonts w:ascii="Arial" w:eastAsia="Times New Roman" w:hAnsi="Arial" w:cs="Arial"/>
          <w:color w:val="000000" w:themeColor="text1"/>
          <w:sz w:val="26"/>
          <w:szCs w:val="26"/>
          <w:lang w:val="es-ES_tradnl"/>
        </w:rPr>
        <w:t xml:space="preserve"> y no admitirá recurso alguno. </w:t>
      </w:r>
    </w:p>
    <w:p w14:paraId="3EC4700F"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110BBFA0" w14:textId="7E77F851"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CUARTO.</w:t>
      </w:r>
      <w:r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b/>
          <w:bCs/>
          <w:color w:val="000000" w:themeColor="text1"/>
          <w:sz w:val="26"/>
          <w:szCs w:val="26"/>
          <w:lang w:val="es-ES_tradnl"/>
        </w:rPr>
        <w:t>Solicitud de órganos jurisdiccionales</w:t>
      </w:r>
      <w:r w:rsidRPr="00580F73">
        <w:rPr>
          <w:rFonts w:ascii="Arial" w:eastAsia="Times New Roman" w:hAnsi="Arial" w:cs="Arial"/>
          <w:color w:val="000000" w:themeColor="text1"/>
          <w:sz w:val="26"/>
          <w:szCs w:val="26"/>
          <w:lang w:val="es-ES_tradnl"/>
        </w:rPr>
        <w:t>. Si un Tribunal Colegiado de Circuito o</w:t>
      </w:r>
      <w:r w:rsidR="00912AF1">
        <w:rPr>
          <w:rFonts w:ascii="Arial" w:eastAsia="Times New Roman" w:hAnsi="Arial" w:cs="Arial"/>
          <w:color w:val="000000" w:themeColor="text1"/>
          <w:sz w:val="26"/>
          <w:szCs w:val="26"/>
          <w:lang w:val="es-ES_tradnl"/>
        </w:rPr>
        <w:t xml:space="preserve"> un</w:t>
      </w:r>
      <w:r w:rsidRPr="00580F73">
        <w:rPr>
          <w:rFonts w:ascii="Arial" w:eastAsia="Times New Roman" w:hAnsi="Arial" w:cs="Arial"/>
          <w:color w:val="000000" w:themeColor="text1"/>
          <w:sz w:val="26"/>
          <w:szCs w:val="26"/>
          <w:lang w:val="es-ES_tradnl"/>
        </w:rPr>
        <w:t xml:space="preserve"> Tribunal Colegiado de Apelación, solicita la facultad de atracción o de reasunción de competencia</w:t>
      </w:r>
      <w:r w:rsidR="00A16BF6"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color w:val="000000" w:themeColor="text1"/>
          <w:sz w:val="26"/>
          <w:szCs w:val="26"/>
          <w:lang w:val="es-ES_tradnl"/>
        </w:rPr>
        <w:t>por estimar que</w:t>
      </w:r>
      <w:r w:rsidR="00977C50" w:rsidRPr="00580F73">
        <w:rPr>
          <w:rFonts w:ascii="Arial" w:eastAsia="Times New Roman" w:hAnsi="Arial" w:cs="Arial"/>
          <w:color w:val="000000" w:themeColor="text1"/>
          <w:sz w:val="26"/>
          <w:szCs w:val="26"/>
          <w:lang w:val="es-ES_tradnl"/>
        </w:rPr>
        <w:t xml:space="preserve"> </w:t>
      </w:r>
      <w:r w:rsidRPr="00580F73">
        <w:rPr>
          <w:rFonts w:ascii="Arial" w:eastAsia="Times New Roman" w:hAnsi="Arial" w:cs="Arial"/>
          <w:color w:val="000000" w:themeColor="text1"/>
          <w:sz w:val="26"/>
          <w:szCs w:val="26"/>
          <w:lang w:val="es-ES_tradnl"/>
        </w:rPr>
        <w:t xml:space="preserve">un asunto por su </w:t>
      </w:r>
      <w:r w:rsidR="00A16BF6" w:rsidRPr="00580F73">
        <w:rPr>
          <w:rFonts w:ascii="Arial" w:eastAsia="Times New Roman" w:hAnsi="Arial" w:cs="Arial"/>
          <w:color w:val="000000" w:themeColor="text1"/>
          <w:sz w:val="26"/>
          <w:szCs w:val="26"/>
          <w:lang w:val="es-ES_tradnl"/>
        </w:rPr>
        <w:t>interés</w:t>
      </w:r>
      <w:r w:rsidRPr="00580F73">
        <w:rPr>
          <w:rFonts w:ascii="Arial" w:eastAsia="Times New Roman" w:hAnsi="Arial" w:cs="Arial"/>
          <w:color w:val="000000" w:themeColor="text1"/>
          <w:sz w:val="26"/>
          <w:szCs w:val="26"/>
          <w:lang w:val="es-ES_tradnl"/>
        </w:rPr>
        <w:t xml:space="preserve"> y trascendencia debe ser conocido por la </w:t>
      </w:r>
      <w:r w:rsidR="00917603"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lo planteará por resolución colegiada, la que remitirá vía electrónica a través del MINTERSCJN, y adjuntará como anexos las constancias que estime necesarias para resolver; en el entendido </w:t>
      </w:r>
      <w:r w:rsidR="00A16BF6" w:rsidRPr="00580F73">
        <w:rPr>
          <w:rFonts w:ascii="Arial" w:eastAsia="Times New Roman" w:hAnsi="Arial" w:cs="Arial"/>
          <w:color w:val="000000" w:themeColor="text1"/>
          <w:sz w:val="26"/>
          <w:szCs w:val="26"/>
          <w:lang w:val="es-ES_tradnl"/>
        </w:rPr>
        <w:t xml:space="preserve">de </w:t>
      </w:r>
      <w:r w:rsidRPr="00580F73">
        <w:rPr>
          <w:rFonts w:ascii="Arial" w:eastAsia="Times New Roman" w:hAnsi="Arial" w:cs="Arial"/>
          <w:color w:val="000000" w:themeColor="text1"/>
          <w:sz w:val="26"/>
          <w:szCs w:val="26"/>
          <w:lang w:val="es-ES_tradnl"/>
        </w:rPr>
        <w:t xml:space="preserve">que la </w:t>
      </w:r>
      <w:r w:rsidR="00977C50"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tendrá acceso al expediente electrónico.</w:t>
      </w:r>
    </w:p>
    <w:p w14:paraId="0AC31E3E"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7A6BDE14" w14:textId="14D3A076"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En este caso, la Presidencia de la </w:t>
      </w:r>
      <w:r w:rsidR="00977C50" w:rsidRPr="00580F73">
        <w:rPr>
          <w:rFonts w:ascii="Arial" w:eastAsia="Times New Roman" w:hAnsi="Arial" w:cs="Arial"/>
          <w:color w:val="000000" w:themeColor="text1"/>
          <w:sz w:val="26"/>
          <w:szCs w:val="26"/>
          <w:lang w:val="es-ES_tradnl"/>
        </w:rPr>
        <w:t xml:space="preserve">SCJN </w:t>
      </w:r>
      <w:r w:rsidRPr="00580F73">
        <w:rPr>
          <w:rFonts w:ascii="Arial" w:eastAsia="Times New Roman" w:hAnsi="Arial" w:cs="Arial"/>
          <w:color w:val="000000" w:themeColor="text1"/>
          <w:sz w:val="26"/>
          <w:szCs w:val="26"/>
          <w:lang w:val="es-ES_tradnl"/>
        </w:rPr>
        <w:t xml:space="preserve">ordenará la suspensión en el dictado de la sentencia respectiva, hasta en tanto el Pleno de la </w:t>
      </w:r>
      <w:r w:rsidR="00977C50"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ES_tradnl"/>
        </w:rPr>
        <w:t xml:space="preserve"> determin</w:t>
      </w:r>
      <w:r w:rsidR="00912AF1">
        <w:rPr>
          <w:rFonts w:ascii="Arial" w:eastAsia="Times New Roman" w:hAnsi="Arial" w:cs="Arial"/>
          <w:color w:val="000000" w:themeColor="text1"/>
          <w:sz w:val="26"/>
          <w:szCs w:val="26"/>
          <w:lang w:val="es-ES_tradnl"/>
        </w:rPr>
        <w:t>a</w:t>
      </w:r>
      <w:r w:rsidRPr="00580F73">
        <w:rPr>
          <w:rFonts w:ascii="Arial" w:eastAsia="Times New Roman" w:hAnsi="Arial" w:cs="Arial"/>
          <w:color w:val="000000" w:themeColor="text1"/>
          <w:sz w:val="26"/>
          <w:szCs w:val="26"/>
          <w:lang w:val="es-ES_tradnl"/>
        </w:rPr>
        <w:t xml:space="preserve"> si reasume la competencia originaria o ejerce su facultad de atracción.</w:t>
      </w:r>
    </w:p>
    <w:p w14:paraId="17338FE4"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3023E396"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QUINTO. Procedimiento en solicitudes de ejercicio de facultad de atracción y de reasunción de competencia presentadas por parte no legitimada. </w:t>
      </w:r>
      <w:r w:rsidRPr="00580F73">
        <w:rPr>
          <w:rFonts w:ascii="Arial" w:eastAsia="Times New Roman" w:hAnsi="Arial" w:cs="Arial"/>
          <w:color w:val="000000" w:themeColor="text1"/>
          <w:sz w:val="26"/>
          <w:szCs w:val="26"/>
          <w:lang w:val="es-ES_tradnl"/>
        </w:rPr>
        <w:t xml:space="preserve">Las peticiones presentadas por parte no legitimada no suspenden la resolución del asunto. </w:t>
      </w:r>
    </w:p>
    <w:p w14:paraId="6FD4B72E" w14:textId="77777777" w:rsidR="00977C50" w:rsidRPr="00580F73" w:rsidRDefault="00977C50" w:rsidP="0010513C">
      <w:pPr>
        <w:spacing w:after="0" w:line="276" w:lineRule="auto"/>
        <w:jc w:val="both"/>
        <w:rPr>
          <w:rFonts w:ascii="Arial" w:eastAsia="Times New Roman" w:hAnsi="Arial" w:cs="Arial"/>
          <w:color w:val="000000" w:themeColor="text1"/>
          <w:sz w:val="26"/>
          <w:szCs w:val="26"/>
          <w:lang w:val="es-ES_tradnl"/>
        </w:rPr>
      </w:pPr>
    </w:p>
    <w:p w14:paraId="50138EB0" w14:textId="77777777" w:rsidR="00DB1EED" w:rsidRPr="00580F73" w:rsidRDefault="00DB1EED" w:rsidP="00560E42">
      <w:pPr>
        <w:spacing w:after="0" w:line="276" w:lineRule="auto"/>
        <w:ind w:firstLine="708"/>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Una vez</w:t>
      </w:r>
      <w:r>
        <w:rPr>
          <w:rFonts w:ascii="Arial" w:eastAsia="Times New Roman" w:hAnsi="Arial" w:cs="Arial"/>
          <w:color w:val="000000" w:themeColor="text1"/>
          <w:sz w:val="26"/>
          <w:szCs w:val="26"/>
          <w:lang w:val="es-ES_tradnl"/>
        </w:rPr>
        <w:t xml:space="preserve"> integrado</w:t>
      </w:r>
      <w:r w:rsidRPr="00580F73">
        <w:rPr>
          <w:rFonts w:ascii="Arial" w:eastAsia="Times New Roman" w:hAnsi="Arial" w:cs="Arial"/>
          <w:color w:val="000000" w:themeColor="text1"/>
          <w:sz w:val="26"/>
          <w:szCs w:val="26"/>
          <w:lang w:val="es-ES_tradnl"/>
        </w:rPr>
        <w:t xml:space="preserve"> el expediente</w:t>
      </w:r>
      <w:r>
        <w:rPr>
          <w:rFonts w:ascii="Arial" w:eastAsia="Times New Roman" w:hAnsi="Arial" w:cs="Arial"/>
          <w:color w:val="000000" w:themeColor="text1"/>
          <w:sz w:val="26"/>
          <w:szCs w:val="26"/>
          <w:lang w:val="es-ES_tradnl"/>
        </w:rPr>
        <w:t>, l</w:t>
      </w:r>
      <w:r w:rsidRPr="00580F73">
        <w:rPr>
          <w:rFonts w:ascii="Arial" w:eastAsia="Times New Roman" w:hAnsi="Arial" w:cs="Arial"/>
          <w:color w:val="000000" w:themeColor="text1"/>
          <w:sz w:val="26"/>
          <w:szCs w:val="26"/>
          <w:lang w:val="es-ES_tradnl"/>
        </w:rPr>
        <w:t xml:space="preserve">a Secretaría General de Acuerdos </w:t>
      </w:r>
      <w:r>
        <w:rPr>
          <w:rFonts w:ascii="Arial" w:eastAsia="Times New Roman" w:hAnsi="Arial" w:cs="Arial"/>
          <w:color w:val="000000" w:themeColor="text1"/>
          <w:sz w:val="26"/>
          <w:szCs w:val="26"/>
          <w:lang w:val="es-ES_tradnl"/>
        </w:rPr>
        <w:t>redactará un informe</w:t>
      </w:r>
      <w:r w:rsidRPr="00580F73">
        <w:rPr>
          <w:rFonts w:ascii="Arial" w:eastAsia="Times New Roman" w:hAnsi="Arial" w:cs="Arial"/>
          <w:color w:val="000000" w:themeColor="text1"/>
          <w:sz w:val="26"/>
          <w:szCs w:val="26"/>
          <w:lang w:val="es-ES_tradnl"/>
        </w:rPr>
        <w:t xml:space="preserve"> de antecedentes</w:t>
      </w:r>
      <w:r>
        <w:rPr>
          <w:rFonts w:ascii="Arial" w:eastAsia="Times New Roman" w:hAnsi="Arial" w:cs="Arial"/>
          <w:color w:val="000000" w:themeColor="text1"/>
          <w:sz w:val="26"/>
          <w:szCs w:val="26"/>
          <w:lang w:val="es-ES_tradnl"/>
        </w:rPr>
        <w:t xml:space="preserve"> y, sin necesidad de auto de turno, se publicará una lista de esas solicitudes a fin de que las Ministras y Ministros, dentro de </w:t>
      </w:r>
      <w:r w:rsidRPr="00580F73">
        <w:rPr>
          <w:rFonts w:ascii="Arial" w:eastAsia="Times New Roman" w:hAnsi="Arial" w:cs="Arial"/>
          <w:color w:val="000000" w:themeColor="text1"/>
          <w:sz w:val="26"/>
          <w:szCs w:val="26"/>
          <w:lang w:val="es-ES_tradnl"/>
        </w:rPr>
        <w:t xml:space="preserve">los 5 días hábiles siguientes, </w:t>
      </w:r>
      <w:r>
        <w:rPr>
          <w:rFonts w:ascii="Arial" w:eastAsia="Times New Roman" w:hAnsi="Arial" w:cs="Arial"/>
          <w:color w:val="000000" w:themeColor="text1"/>
          <w:sz w:val="26"/>
          <w:szCs w:val="26"/>
          <w:lang w:val="es-ES_tradnl"/>
        </w:rPr>
        <w:t xml:space="preserve">manifiesten por escrito si hacen suya la solicitud. </w:t>
      </w:r>
    </w:p>
    <w:p w14:paraId="1955E476" w14:textId="77777777" w:rsidR="00DB1EED" w:rsidRPr="00580F73" w:rsidRDefault="00DB1EED" w:rsidP="00DB1EED">
      <w:pPr>
        <w:spacing w:after="0" w:line="276" w:lineRule="auto"/>
        <w:jc w:val="both"/>
        <w:rPr>
          <w:rFonts w:ascii="Arial" w:eastAsia="Times New Roman" w:hAnsi="Arial" w:cs="Arial"/>
          <w:color w:val="000000" w:themeColor="text1"/>
          <w:sz w:val="26"/>
          <w:szCs w:val="26"/>
          <w:lang w:val="es-ES_tradnl"/>
        </w:rPr>
      </w:pPr>
    </w:p>
    <w:p w14:paraId="0F2A3346" w14:textId="77777777" w:rsidR="00DB1EED" w:rsidRDefault="00DB1EED" w:rsidP="00DB1EED">
      <w:pPr>
        <w:spacing w:after="0" w:line="276" w:lineRule="auto"/>
        <w:jc w:val="both"/>
        <w:rPr>
          <w:rFonts w:ascii="Arial" w:eastAsia="Times New Roman" w:hAnsi="Arial" w:cs="Arial"/>
          <w:bCs/>
          <w:color w:val="000000" w:themeColor="text1"/>
          <w:sz w:val="26"/>
          <w:szCs w:val="26"/>
          <w:lang w:val="es-ES_tradnl"/>
        </w:rPr>
      </w:pPr>
      <w:r w:rsidRPr="00580F73">
        <w:rPr>
          <w:rFonts w:ascii="Arial" w:eastAsia="Times New Roman" w:hAnsi="Arial" w:cs="Arial"/>
          <w:color w:val="000000" w:themeColor="text1"/>
          <w:sz w:val="26"/>
          <w:szCs w:val="26"/>
          <w:lang w:val="es-ES_tradnl"/>
        </w:rPr>
        <w:t xml:space="preserve">En caso de que nadie haga suya la solicitud, la petición </w:t>
      </w:r>
      <w:r w:rsidRPr="00580F73">
        <w:rPr>
          <w:rFonts w:ascii="Arial" w:eastAsia="Times New Roman" w:hAnsi="Arial" w:cs="Arial"/>
          <w:bCs/>
          <w:color w:val="000000" w:themeColor="text1"/>
          <w:sz w:val="26"/>
          <w:szCs w:val="26"/>
          <w:lang w:val="es-ES_tradnl"/>
        </w:rPr>
        <w:t>se desechará mediante acuerdo p</w:t>
      </w:r>
      <w:r>
        <w:rPr>
          <w:rFonts w:ascii="Arial" w:eastAsia="Times New Roman" w:hAnsi="Arial" w:cs="Arial"/>
          <w:bCs/>
          <w:color w:val="000000" w:themeColor="text1"/>
          <w:sz w:val="26"/>
          <w:szCs w:val="26"/>
          <w:lang w:val="es-ES_tradnl"/>
        </w:rPr>
        <w:t>residencial. Esta decisión no impide que con posterioridad una parte legitimada pueda solicitar nuevamente la atracción del asunto.</w:t>
      </w:r>
    </w:p>
    <w:p w14:paraId="60FDC4F1" w14:textId="77777777" w:rsidR="00DB1EED" w:rsidRDefault="00DB1EED" w:rsidP="00DB1EED">
      <w:pPr>
        <w:spacing w:after="0" w:line="276" w:lineRule="auto"/>
        <w:jc w:val="both"/>
        <w:rPr>
          <w:rFonts w:ascii="Arial" w:eastAsia="Times New Roman" w:hAnsi="Arial" w:cs="Arial"/>
          <w:bCs/>
          <w:color w:val="000000" w:themeColor="text1"/>
          <w:sz w:val="26"/>
          <w:szCs w:val="26"/>
          <w:lang w:val="es-ES_tradnl"/>
        </w:rPr>
      </w:pPr>
    </w:p>
    <w:p w14:paraId="48D8B748" w14:textId="02793A74" w:rsidR="00D41DB6" w:rsidRPr="00580F73" w:rsidRDefault="00DB1EED" w:rsidP="00DB1EED">
      <w:pPr>
        <w:spacing w:after="0" w:line="276" w:lineRule="auto"/>
        <w:jc w:val="both"/>
        <w:rPr>
          <w:rFonts w:ascii="Arial" w:eastAsia="Times New Roman" w:hAnsi="Arial" w:cs="Arial"/>
          <w:color w:val="000000" w:themeColor="text1"/>
          <w:sz w:val="26"/>
          <w:szCs w:val="26"/>
          <w:lang w:val="es-ES_tradnl"/>
        </w:rPr>
      </w:pPr>
      <w:r>
        <w:rPr>
          <w:rFonts w:ascii="Arial" w:eastAsia="Times New Roman" w:hAnsi="Arial" w:cs="Arial"/>
          <w:bCs/>
          <w:color w:val="000000" w:themeColor="text1"/>
          <w:sz w:val="26"/>
          <w:szCs w:val="26"/>
          <w:lang w:val="es-ES_tradnl"/>
        </w:rPr>
        <w:t>Si alguna Ministra o Ministro hace suya la solicitud, la Secretaría General de Acuerdos, elaborará el acuerdo correspondiente a efecto de continuar con el trámite establecido en los puntos tercero y cuarto del presente Acuerdo General.</w:t>
      </w:r>
      <w:r w:rsidR="00D41DB6" w:rsidRPr="00580F73">
        <w:rPr>
          <w:rFonts w:ascii="Arial" w:eastAsia="Times New Roman" w:hAnsi="Arial" w:cs="Arial"/>
          <w:color w:val="000000" w:themeColor="text1"/>
          <w:sz w:val="26"/>
          <w:szCs w:val="26"/>
          <w:lang w:val="es-ES_tradnl"/>
        </w:rPr>
        <w:t xml:space="preserve"> </w:t>
      </w:r>
    </w:p>
    <w:p w14:paraId="734F7BEA"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4B51B040" w14:textId="5E02E52A" w:rsidR="00D41DB6" w:rsidRPr="00580F73" w:rsidRDefault="00D41DB6" w:rsidP="0010513C">
      <w:pPr>
        <w:spacing w:after="0" w:line="276" w:lineRule="auto"/>
        <w:jc w:val="both"/>
        <w:rPr>
          <w:rFonts w:ascii="Arial" w:eastAsia="Times New Roman" w:hAnsi="Arial" w:cs="Arial"/>
          <w:color w:val="000000" w:themeColor="text1"/>
          <w:sz w:val="26"/>
          <w:szCs w:val="26"/>
        </w:rPr>
      </w:pPr>
      <w:r w:rsidRPr="00580F73">
        <w:rPr>
          <w:rFonts w:ascii="Arial" w:eastAsia="Times New Roman" w:hAnsi="Arial" w:cs="Arial"/>
          <w:b/>
          <w:bCs/>
          <w:color w:val="000000" w:themeColor="text1"/>
          <w:sz w:val="26"/>
          <w:szCs w:val="26"/>
          <w:lang w:val="es-ES_tradnl"/>
        </w:rPr>
        <w:t xml:space="preserve">SEXTO. </w:t>
      </w:r>
      <w:r w:rsidRPr="00580F73">
        <w:rPr>
          <w:rFonts w:ascii="Arial" w:eastAsia="Times New Roman" w:hAnsi="Arial" w:cs="Arial"/>
          <w:b/>
          <w:bCs/>
          <w:color w:val="000000" w:themeColor="text1"/>
          <w:sz w:val="26"/>
          <w:szCs w:val="26"/>
        </w:rPr>
        <w:t>Criterios orientadores de procedencia para la reasunción de competencia y para el ejercicio de la facultad de atracción.</w:t>
      </w:r>
      <w:r w:rsidRPr="00580F73">
        <w:rPr>
          <w:rFonts w:ascii="Arial" w:eastAsia="Times New Roman" w:hAnsi="Arial" w:cs="Arial"/>
          <w:color w:val="000000" w:themeColor="text1"/>
          <w:sz w:val="26"/>
          <w:szCs w:val="26"/>
        </w:rPr>
        <w:t xml:space="preserve"> </w:t>
      </w:r>
      <w:r w:rsidRPr="00580F73">
        <w:rPr>
          <w:rFonts w:ascii="Arial" w:eastAsia="Times New Roman" w:hAnsi="Arial" w:cs="Arial"/>
          <w:color w:val="000000" w:themeColor="text1"/>
          <w:sz w:val="26"/>
          <w:szCs w:val="26"/>
          <w:lang w:val="es-MX"/>
        </w:rPr>
        <w:t xml:space="preserve">El Pleno de la </w:t>
      </w:r>
      <w:r w:rsidR="00917603" w:rsidRPr="00580F73">
        <w:rPr>
          <w:rFonts w:ascii="Arial" w:eastAsia="Times New Roman" w:hAnsi="Arial" w:cs="Arial"/>
          <w:color w:val="000000" w:themeColor="text1"/>
          <w:sz w:val="26"/>
          <w:szCs w:val="26"/>
          <w:lang w:val="es-MX"/>
        </w:rPr>
        <w:t>SCJN</w:t>
      </w:r>
      <w:r w:rsidRPr="00580F73">
        <w:rPr>
          <w:rFonts w:ascii="Arial" w:eastAsia="Times New Roman" w:hAnsi="Arial" w:cs="Arial"/>
          <w:color w:val="000000" w:themeColor="text1"/>
          <w:sz w:val="26"/>
          <w:szCs w:val="26"/>
          <w:lang w:val="es-MX"/>
        </w:rPr>
        <w:t xml:space="preserve"> podrá reasumir su competencia originaria o ejercer la facultad de atracción cuando se trate de asuntos que, por su interés y trascendencia lo amerite.</w:t>
      </w:r>
    </w:p>
    <w:p w14:paraId="17E364FD"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p>
    <w:p w14:paraId="09A5FA4E"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r w:rsidRPr="00580F73">
        <w:rPr>
          <w:rFonts w:ascii="Arial" w:eastAsia="Times New Roman" w:hAnsi="Arial" w:cs="Arial"/>
          <w:color w:val="000000" w:themeColor="text1"/>
          <w:sz w:val="26"/>
          <w:szCs w:val="26"/>
          <w:lang w:val="es-MX"/>
        </w:rPr>
        <w:t>Se considerará, entre otros, que un asunto es de interés y trascendencia cuando:</w:t>
      </w:r>
    </w:p>
    <w:p w14:paraId="3F80453F"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p>
    <w:p w14:paraId="36ED6398" w14:textId="361A7FC0" w:rsidR="00D41DB6" w:rsidRPr="00580F73" w:rsidRDefault="00D41DB6" w:rsidP="00E758F5">
      <w:pPr>
        <w:pStyle w:val="Prrafodelista"/>
        <w:numPr>
          <w:ilvl w:val="0"/>
          <w:numId w:val="10"/>
        </w:numPr>
        <w:spacing w:after="0" w:line="276" w:lineRule="auto"/>
        <w:jc w:val="both"/>
        <w:rPr>
          <w:rFonts w:ascii="Arial" w:eastAsia="Times New Roman" w:hAnsi="Arial" w:cs="Arial"/>
          <w:color w:val="000000" w:themeColor="text1"/>
          <w:sz w:val="26"/>
          <w:szCs w:val="26"/>
          <w:lang w:val="es-MX"/>
        </w:rPr>
      </w:pPr>
      <w:r w:rsidRPr="00580F73">
        <w:rPr>
          <w:rFonts w:ascii="Arial" w:eastAsia="Times New Roman" w:hAnsi="Arial" w:cs="Arial"/>
          <w:color w:val="000000" w:themeColor="text1"/>
          <w:sz w:val="26"/>
          <w:szCs w:val="26"/>
          <w:lang w:val="es-MX"/>
        </w:rPr>
        <w:t>Involucre la interpretación directa de disposiciones constitucionales que a juicio de alguna Ministra o Ministro requieran ser nuevamente analizadas</w:t>
      </w:r>
      <w:r w:rsidR="008054A5" w:rsidRPr="00580F73">
        <w:rPr>
          <w:rFonts w:ascii="Arial" w:eastAsia="Times New Roman" w:hAnsi="Arial" w:cs="Arial"/>
          <w:color w:val="000000" w:themeColor="text1"/>
          <w:sz w:val="26"/>
          <w:szCs w:val="26"/>
          <w:lang w:val="es-MX"/>
        </w:rPr>
        <w:t>;</w:t>
      </w:r>
    </w:p>
    <w:p w14:paraId="4C1292AA"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p>
    <w:p w14:paraId="7F91526E" w14:textId="31A3B16F" w:rsidR="00D41DB6" w:rsidRPr="00580F73" w:rsidRDefault="00D41DB6" w:rsidP="00E758F5">
      <w:pPr>
        <w:pStyle w:val="Prrafodelista"/>
        <w:numPr>
          <w:ilvl w:val="0"/>
          <w:numId w:val="10"/>
        </w:numPr>
        <w:spacing w:after="0" w:line="276" w:lineRule="auto"/>
        <w:jc w:val="both"/>
        <w:rPr>
          <w:rFonts w:ascii="Arial" w:eastAsia="Times New Roman" w:hAnsi="Arial" w:cs="Arial"/>
          <w:color w:val="000000" w:themeColor="text1"/>
          <w:sz w:val="26"/>
          <w:szCs w:val="26"/>
          <w:lang w:val="es-MX"/>
        </w:rPr>
      </w:pPr>
      <w:r w:rsidRPr="00580F73">
        <w:rPr>
          <w:rFonts w:ascii="Arial" w:eastAsia="Times New Roman" w:hAnsi="Arial" w:cs="Arial"/>
          <w:color w:val="000000" w:themeColor="text1"/>
          <w:sz w:val="26"/>
          <w:szCs w:val="26"/>
          <w:lang w:val="es-MX"/>
        </w:rPr>
        <w:t>Involucre la interpretación directa de disposiciones constitucionales respecto de las cuales no exista jurisprudencia de la SCJN</w:t>
      </w:r>
      <w:r w:rsidR="008054A5" w:rsidRPr="00580F73">
        <w:rPr>
          <w:rFonts w:ascii="Arial" w:eastAsia="Times New Roman" w:hAnsi="Arial" w:cs="Arial"/>
          <w:color w:val="000000" w:themeColor="text1"/>
          <w:sz w:val="26"/>
          <w:szCs w:val="26"/>
          <w:lang w:val="es-MX"/>
        </w:rPr>
        <w:t>;</w:t>
      </w:r>
    </w:p>
    <w:p w14:paraId="05143B87"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p>
    <w:p w14:paraId="743C5D5E" w14:textId="6FDAAA24" w:rsidR="00D41DB6" w:rsidRPr="00580F73" w:rsidRDefault="00D41DB6" w:rsidP="00E758F5">
      <w:pPr>
        <w:pStyle w:val="Prrafodelista"/>
        <w:numPr>
          <w:ilvl w:val="0"/>
          <w:numId w:val="10"/>
        </w:numPr>
        <w:spacing w:after="0" w:line="276" w:lineRule="auto"/>
        <w:jc w:val="both"/>
        <w:rPr>
          <w:rFonts w:ascii="Arial" w:eastAsia="Times New Roman" w:hAnsi="Arial" w:cs="Arial"/>
          <w:color w:val="000000" w:themeColor="text1"/>
          <w:sz w:val="26"/>
          <w:szCs w:val="26"/>
          <w:lang w:val="es-MX"/>
        </w:rPr>
      </w:pPr>
      <w:r w:rsidRPr="00580F73">
        <w:rPr>
          <w:rFonts w:ascii="Arial" w:eastAsia="Times New Roman" w:hAnsi="Arial" w:cs="Arial"/>
          <w:color w:val="000000" w:themeColor="text1"/>
          <w:sz w:val="26"/>
          <w:szCs w:val="26"/>
          <w:lang w:val="es-MX"/>
        </w:rPr>
        <w:t>Su resolución contribuya al desarrollo de jurisprudencia relevante, particularmente cuando:</w:t>
      </w:r>
    </w:p>
    <w:p w14:paraId="4AD6C93F"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MX"/>
        </w:rPr>
      </w:pPr>
    </w:p>
    <w:p w14:paraId="2CF35785" w14:textId="28C2EA1E"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a)</w:t>
      </w:r>
      <w:r w:rsidRPr="00580F73">
        <w:rPr>
          <w:rFonts w:ascii="Arial" w:eastAsia="Times New Roman" w:hAnsi="Arial" w:cs="Arial"/>
          <w:color w:val="000000" w:themeColor="text1"/>
          <w:sz w:val="26"/>
          <w:szCs w:val="26"/>
          <w:lang w:val="es-MX"/>
        </w:rPr>
        <w:t xml:space="preserve"> Afecte los derechos de Pueblos o Comunidades Indígenas o Afromexicanas</w:t>
      </w:r>
      <w:r w:rsidR="008054A5" w:rsidRPr="00580F73">
        <w:rPr>
          <w:rFonts w:ascii="Arial" w:eastAsia="Times New Roman" w:hAnsi="Arial" w:cs="Arial"/>
          <w:color w:val="000000" w:themeColor="text1"/>
          <w:sz w:val="26"/>
          <w:szCs w:val="26"/>
          <w:lang w:val="es-MX"/>
        </w:rPr>
        <w:t>;</w:t>
      </w:r>
    </w:p>
    <w:p w14:paraId="0E7156CC"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2D1B7C8B" w14:textId="7CFF281E"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b)</w:t>
      </w:r>
      <w:r w:rsidRPr="00580F73">
        <w:rPr>
          <w:rFonts w:ascii="Arial" w:eastAsia="Times New Roman" w:hAnsi="Arial" w:cs="Arial"/>
          <w:color w:val="000000" w:themeColor="text1"/>
          <w:sz w:val="26"/>
          <w:szCs w:val="26"/>
          <w:lang w:val="es-MX"/>
        </w:rPr>
        <w:t xml:space="preserve"> Sea necesario establecer un estándar constitucional en materia de igualdad sustantiva, no discriminación o perspectiva de género</w:t>
      </w:r>
      <w:r w:rsidR="008054A5" w:rsidRPr="00580F73">
        <w:rPr>
          <w:rFonts w:ascii="Arial" w:eastAsia="Times New Roman" w:hAnsi="Arial" w:cs="Arial"/>
          <w:color w:val="000000" w:themeColor="text1"/>
          <w:sz w:val="26"/>
          <w:szCs w:val="26"/>
          <w:lang w:val="es-MX"/>
        </w:rPr>
        <w:t>;</w:t>
      </w:r>
    </w:p>
    <w:p w14:paraId="1285AF53"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2DA3B9ED" w14:textId="68210B39"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c)</w:t>
      </w:r>
      <w:r w:rsidRPr="00580F73">
        <w:rPr>
          <w:rFonts w:ascii="Arial" w:eastAsia="Times New Roman" w:hAnsi="Arial" w:cs="Arial"/>
          <w:color w:val="000000" w:themeColor="text1"/>
          <w:sz w:val="26"/>
          <w:szCs w:val="26"/>
          <w:lang w:val="es-MX"/>
        </w:rPr>
        <w:t xml:space="preserve"> Involucre daños o riesgos ambientales graves, o resulte determinante para la consolidación de la justicia ambiental</w:t>
      </w:r>
      <w:r w:rsidR="008054A5" w:rsidRPr="00580F73">
        <w:rPr>
          <w:rFonts w:ascii="Arial" w:eastAsia="Times New Roman" w:hAnsi="Arial" w:cs="Arial"/>
          <w:color w:val="000000" w:themeColor="text1"/>
          <w:sz w:val="26"/>
          <w:szCs w:val="26"/>
          <w:lang w:val="es-MX"/>
        </w:rPr>
        <w:t>;</w:t>
      </w:r>
    </w:p>
    <w:p w14:paraId="7D208A77"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646D0179" w14:textId="006A2300"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d)</w:t>
      </w:r>
      <w:r w:rsidRPr="00580F73">
        <w:rPr>
          <w:rFonts w:ascii="Arial" w:eastAsia="Times New Roman" w:hAnsi="Arial" w:cs="Arial"/>
          <w:color w:val="000000" w:themeColor="text1"/>
          <w:sz w:val="26"/>
          <w:szCs w:val="26"/>
          <w:lang w:val="es-MX"/>
        </w:rPr>
        <w:t xml:space="preserve"> Plantee problemáticas estructurales de exclusión o marginación que dificulten el ejercicio pleno de derechos por parte de grupos históricamente discriminados</w:t>
      </w:r>
      <w:r w:rsidR="008054A5" w:rsidRPr="00580F73">
        <w:rPr>
          <w:rFonts w:ascii="Arial" w:eastAsia="Times New Roman" w:hAnsi="Arial" w:cs="Arial"/>
          <w:color w:val="000000" w:themeColor="text1"/>
          <w:sz w:val="26"/>
          <w:szCs w:val="26"/>
          <w:lang w:val="es-MX"/>
        </w:rPr>
        <w:t>;</w:t>
      </w:r>
    </w:p>
    <w:p w14:paraId="44DE5DBE"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21BF133F" w14:textId="7CAB8BF7"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e)</w:t>
      </w:r>
      <w:r w:rsidRPr="00580F73">
        <w:rPr>
          <w:rFonts w:ascii="Arial" w:eastAsia="Times New Roman" w:hAnsi="Arial" w:cs="Arial"/>
          <w:color w:val="000000" w:themeColor="text1"/>
          <w:sz w:val="26"/>
          <w:szCs w:val="26"/>
          <w:lang w:val="es-MX"/>
        </w:rPr>
        <w:t xml:space="preserve"> Se adviertan posibles violaciones graves a derechos humanos, como desaparición forzada, tortura, ejecución extrajudicial, desplazamiento forzado, trata de personas, o cualquiera de las prohibidas </w:t>
      </w:r>
      <w:r w:rsidR="00996877">
        <w:rPr>
          <w:rFonts w:ascii="Arial" w:eastAsia="Times New Roman" w:hAnsi="Arial" w:cs="Arial"/>
          <w:color w:val="000000" w:themeColor="text1"/>
          <w:sz w:val="26"/>
          <w:szCs w:val="26"/>
          <w:lang w:val="es-MX"/>
        </w:rPr>
        <w:t>en</w:t>
      </w:r>
      <w:r w:rsidRPr="00580F73">
        <w:rPr>
          <w:rFonts w:ascii="Arial" w:eastAsia="Times New Roman" w:hAnsi="Arial" w:cs="Arial"/>
          <w:color w:val="000000" w:themeColor="text1"/>
          <w:sz w:val="26"/>
          <w:szCs w:val="26"/>
          <w:lang w:val="es-MX"/>
        </w:rPr>
        <w:t xml:space="preserve"> el artículo 22 de la </w:t>
      </w:r>
      <w:r w:rsidR="00BB6888">
        <w:rPr>
          <w:rFonts w:ascii="Arial" w:eastAsia="Times New Roman" w:hAnsi="Arial" w:cs="Arial"/>
          <w:color w:val="000000" w:themeColor="text1"/>
          <w:sz w:val="26"/>
          <w:szCs w:val="26"/>
          <w:lang w:val="es-ES_tradnl"/>
        </w:rPr>
        <w:t>CPEUM</w:t>
      </w:r>
      <w:r w:rsidR="008054A5" w:rsidRPr="00580F73">
        <w:rPr>
          <w:rFonts w:ascii="Arial" w:eastAsia="Times New Roman" w:hAnsi="Arial" w:cs="Arial"/>
          <w:color w:val="000000" w:themeColor="text1"/>
          <w:sz w:val="26"/>
          <w:szCs w:val="26"/>
          <w:lang w:val="es-MX"/>
        </w:rPr>
        <w:t>;</w:t>
      </w:r>
    </w:p>
    <w:p w14:paraId="3A522DD5"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7DB504F7" w14:textId="65607D12"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f)</w:t>
      </w:r>
      <w:r w:rsidRPr="00580F73">
        <w:rPr>
          <w:rFonts w:ascii="Arial" w:eastAsia="Times New Roman" w:hAnsi="Arial" w:cs="Arial"/>
          <w:color w:val="000000" w:themeColor="text1"/>
          <w:sz w:val="26"/>
          <w:szCs w:val="26"/>
          <w:lang w:val="es-MX"/>
        </w:rPr>
        <w:t xml:space="preserve"> Implique restricciones indebidas a la libertad de expresión, incluyendo agresiones a periodistas, actos de censura, persecución por opiniones o limitaciones arbitrarias a la protesta social</w:t>
      </w:r>
      <w:r w:rsidR="008054A5" w:rsidRPr="00580F73">
        <w:rPr>
          <w:rFonts w:ascii="Arial" w:eastAsia="Times New Roman" w:hAnsi="Arial" w:cs="Arial"/>
          <w:color w:val="000000" w:themeColor="text1"/>
          <w:sz w:val="26"/>
          <w:szCs w:val="26"/>
          <w:lang w:val="es-MX"/>
        </w:rPr>
        <w:t>;</w:t>
      </w:r>
    </w:p>
    <w:p w14:paraId="248C679A"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396F39C4" w14:textId="5B264746" w:rsidR="00D41DB6" w:rsidRPr="00580F73" w:rsidRDefault="00D41DB6" w:rsidP="00E758F5">
      <w:pPr>
        <w:spacing w:after="0" w:line="276" w:lineRule="auto"/>
        <w:ind w:left="708"/>
        <w:jc w:val="both"/>
        <w:rPr>
          <w:rFonts w:ascii="Arial" w:eastAsia="Times New Roman" w:hAnsi="Arial" w:cs="Arial"/>
          <w:strike/>
          <w:color w:val="000000" w:themeColor="text1"/>
          <w:sz w:val="26"/>
          <w:szCs w:val="26"/>
          <w:lang w:val="es-MX"/>
        </w:rPr>
      </w:pPr>
      <w:r w:rsidRPr="00580F73">
        <w:rPr>
          <w:rFonts w:ascii="Arial" w:eastAsia="Times New Roman" w:hAnsi="Arial" w:cs="Arial"/>
          <w:b/>
          <w:bCs/>
          <w:color w:val="000000" w:themeColor="text1"/>
          <w:sz w:val="26"/>
          <w:szCs w:val="26"/>
          <w:lang w:val="es-MX"/>
        </w:rPr>
        <w:t>g)</w:t>
      </w:r>
      <w:r w:rsidRPr="00580F73">
        <w:rPr>
          <w:rFonts w:ascii="Arial" w:eastAsia="Times New Roman" w:hAnsi="Arial" w:cs="Arial"/>
          <w:color w:val="000000" w:themeColor="text1"/>
          <w:sz w:val="26"/>
          <w:szCs w:val="26"/>
          <w:lang w:val="es-MX"/>
        </w:rPr>
        <w:t xml:space="preserve"> Permita establecer directrices que fortalezcan el marco constitucional de derechos humanos, especialmente en contextos donde no exista jurisprudencia suficientemente desarrollada</w:t>
      </w:r>
      <w:r w:rsidR="008054A5" w:rsidRPr="00580F73">
        <w:rPr>
          <w:rFonts w:ascii="Arial" w:eastAsia="Times New Roman" w:hAnsi="Arial" w:cs="Arial"/>
          <w:color w:val="000000" w:themeColor="text1"/>
          <w:sz w:val="26"/>
          <w:szCs w:val="26"/>
          <w:lang w:val="es-MX"/>
        </w:rPr>
        <w:t>;</w:t>
      </w:r>
    </w:p>
    <w:p w14:paraId="7B07DE3B"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77E568F4" w14:textId="377E5105"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h)</w:t>
      </w:r>
      <w:r w:rsidRPr="00580F73">
        <w:rPr>
          <w:rFonts w:ascii="Arial" w:eastAsia="Times New Roman" w:hAnsi="Arial" w:cs="Arial"/>
          <w:color w:val="000000" w:themeColor="text1"/>
          <w:sz w:val="26"/>
          <w:szCs w:val="26"/>
          <w:lang w:val="es-MX"/>
        </w:rPr>
        <w:t xml:space="preserve"> A juicio del Pleno, resulte necesario para dotar de coherencia, uniformidad y claridad al sistema de precedentes constitucionales, frente a problemáticas reiteradas o de alta incidencia</w:t>
      </w:r>
      <w:r w:rsidR="008054A5" w:rsidRPr="00580F73">
        <w:rPr>
          <w:rFonts w:ascii="Arial" w:eastAsia="Times New Roman" w:hAnsi="Arial" w:cs="Arial"/>
          <w:color w:val="000000" w:themeColor="text1"/>
          <w:sz w:val="26"/>
          <w:szCs w:val="26"/>
          <w:lang w:val="es-MX"/>
        </w:rPr>
        <w:t>;</w:t>
      </w:r>
    </w:p>
    <w:p w14:paraId="36F84BA8"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6E7B3EF9" w14:textId="4F9C3FB0"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i)</w:t>
      </w:r>
      <w:r w:rsidRPr="00580F73">
        <w:rPr>
          <w:rFonts w:ascii="Arial" w:eastAsia="Times New Roman" w:hAnsi="Arial" w:cs="Arial"/>
          <w:color w:val="000000" w:themeColor="text1"/>
          <w:sz w:val="26"/>
          <w:szCs w:val="26"/>
          <w:lang w:val="es-MX"/>
        </w:rPr>
        <w:t xml:space="preserve"> A juicio del Pleno, el caso plantee cuestiones cuya resolución fortalezca el orden constitucional, consolide criterios relevantes para la impartición de justicia o incida en el ejercicio efectivo de los derechos fundamentales, incluso si no se actualizan expresamente los supuestos anteriores</w:t>
      </w:r>
      <w:r w:rsidR="00314D00" w:rsidRPr="00580F73">
        <w:rPr>
          <w:rFonts w:ascii="Arial" w:eastAsia="Times New Roman" w:hAnsi="Arial" w:cs="Arial"/>
          <w:color w:val="000000" w:themeColor="text1"/>
          <w:sz w:val="26"/>
          <w:szCs w:val="26"/>
          <w:lang w:val="es-MX"/>
        </w:rPr>
        <w:t>,</w:t>
      </w:r>
      <w:r w:rsidR="008054A5" w:rsidRPr="00580F73">
        <w:rPr>
          <w:rFonts w:ascii="Arial" w:eastAsia="Times New Roman" w:hAnsi="Arial" w:cs="Arial"/>
          <w:color w:val="000000" w:themeColor="text1"/>
          <w:sz w:val="26"/>
          <w:szCs w:val="26"/>
          <w:lang w:val="es-MX"/>
        </w:rPr>
        <w:t xml:space="preserve"> o</w:t>
      </w:r>
    </w:p>
    <w:p w14:paraId="092BD996" w14:textId="77777777" w:rsidR="00D41DB6" w:rsidRPr="00580F73" w:rsidRDefault="00D41DB6" w:rsidP="00E758F5">
      <w:pPr>
        <w:spacing w:after="0" w:line="276" w:lineRule="auto"/>
        <w:ind w:left="1275"/>
        <w:jc w:val="both"/>
        <w:rPr>
          <w:rFonts w:ascii="Arial" w:eastAsia="Times New Roman" w:hAnsi="Arial" w:cs="Arial"/>
          <w:color w:val="000000" w:themeColor="text1"/>
          <w:sz w:val="26"/>
          <w:szCs w:val="26"/>
          <w:lang w:val="es-MX"/>
        </w:rPr>
      </w:pPr>
    </w:p>
    <w:p w14:paraId="7246FE2B" w14:textId="59C20825" w:rsidR="00D41DB6" w:rsidRPr="00580F73" w:rsidRDefault="00D41DB6" w:rsidP="00E758F5">
      <w:pPr>
        <w:spacing w:after="0" w:line="276" w:lineRule="auto"/>
        <w:ind w:left="708"/>
        <w:jc w:val="both"/>
        <w:rPr>
          <w:rFonts w:ascii="Arial" w:eastAsia="Times New Roman" w:hAnsi="Arial" w:cs="Arial"/>
          <w:color w:val="000000" w:themeColor="text1"/>
          <w:sz w:val="26"/>
          <w:szCs w:val="26"/>
          <w:lang w:val="es-MX"/>
        </w:rPr>
      </w:pPr>
      <w:r w:rsidRPr="00580F73">
        <w:rPr>
          <w:rFonts w:ascii="Arial" w:eastAsia="Times New Roman" w:hAnsi="Arial" w:cs="Arial"/>
          <w:b/>
          <w:bCs/>
          <w:color w:val="000000" w:themeColor="text1"/>
          <w:sz w:val="26"/>
          <w:szCs w:val="26"/>
          <w:lang w:val="es-MX"/>
        </w:rPr>
        <w:t>j)</w:t>
      </w:r>
      <w:r w:rsidRPr="00580F73">
        <w:rPr>
          <w:rFonts w:ascii="Arial" w:eastAsia="Times New Roman" w:hAnsi="Arial" w:cs="Arial"/>
          <w:color w:val="000000" w:themeColor="text1"/>
          <w:sz w:val="26"/>
          <w:szCs w:val="26"/>
          <w:lang w:val="es-MX"/>
        </w:rPr>
        <w:t xml:space="preserve"> Cualquier otro que a juicio del Pleno de la </w:t>
      </w:r>
      <w:r w:rsidR="00BB6888" w:rsidRPr="00580F73">
        <w:rPr>
          <w:rFonts w:ascii="Arial" w:eastAsia="Times New Roman" w:hAnsi="Arial" w:cs="Arial"/>
          <w:color w:val="000000" w:themeColor="text1"/>
          <w:sz w:val="26"/>
          <w:szCs w:val="26"/>
          <w:lang w:val="es-ES_tradnl"/>
        </w:rPr>
        <w:t>SCJN</w:t>
      </w:r>
      <w:r w:rsidRPr="00580F73">
        <w:rPr>
          <w:rFonts w:ascii="Arial" w:eastAsia="Times New Roman" w:hAnsi="Arial" w:cs="Arial"/>
          <w:color w:val="000000" w:themeColor="text1"/>
          <w:sz w:val="26"/>
          <w:szCs w:val="26"/>
          <w:lang w:val="es-MX"/>
        </w:rPr>
        <w:t xml:space="preserve"> lo amerite.</w:t>
      </w:r>
    </w:p>
    <w:p w14:paraId="2891BE0B" w14:textId="77777777" w:rsidR="00D41DB6" w:rsidRPr="00580F73" w:rsidRDefault="00D41DB6" w:rsidP="0010513C">
      <w:pPr>
        <w:spacing w:after="0" w:line="276" w:lineRule="auto"/>
        <w:jc w:val="both"/>
        <w:rPr>
          <w:rFonts w:ascii="Arial" w:eastAsia="Times New Roman" w:hAnsi="Arial" w:cs="Arial"/>
          <w:b/>
          <w:bCs/>
          <w:color w:val="000000" w:themeColor="text1"/>
          <w:sz w:val="26"/>
          <w:szCs w:val="26"/>
          <w:lang w:val="es-ES_tradnl"/>
        </w:rPr>
      </w:pPr>
    </w:p>
    <w:p w14:paraId="4B3BBD35" w14:textId="62A4E33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SÉPTIMO. Notificaciones. </w:t>
      </w:r>
      <w:r w:rsidRPr="00580F73">
        <w:rPr>
          <w:rFonts w:ascii="Arial" w:eastAsia="Times New Roman" w:hAnsi="Arial" w:cs="Arial"/>
          <w:color w:val="000000" w:themeColor="text1"/>
          <w:sz w:val="26"/>
          <w:szCs w:val="26"/>
          <w:lang w:val="es-ES_tradnl"/>
        </w:rPr>
        <w:t>Las resoluciones del Pleno</w:t>
      </w:r>
      <w:r w:rsidR="006C750C" w:rsidRPr="00580F73">
        <w:rPr>
          <w:rFonts w:ascii="Arial" w:eastAsia="Times New Roman" w:hAnsi="Arial" w:cs="Arial"/>
          <w:color w:val="000000" w:themeColor="text1"/>
          <w:sz w:val="26"/>
          <w:szCs w:val="26"/>
          <w:lang w:val="es-ES_tradnl"/>
        </w:rPr>
        <w:t xml:space="preserve"> de la SCJN</w:t>
      </w:r>
      <w:r w:rsidRPr="00580F73">
        <w:rPr>
          <w:rFonts w:ascii="Arial" w:eastAsia="Times New Roman" w:hAnsi="Arial" w:cs="Arial"/>
          <w:color w:val="000000" w:themeColor="text1"/>
          <w:sz w:val="26"/>
          <w:szCs w:val="26"/>
          <w:lang w:val="es-ES_tradnl"/>
        </w:rPr>
        <w:t xml:space="preserve"> mediante las cuales se determine reasumir la competencia originaria, ejercer la facultad de atracción o desechar dichas solicitudes, se notificarán preferentemente por vía electrónica a los órganos jurisdiccionales que corresponda conocer del asunto, quienes serán los encargados de informar mediante oficio a las autoridades correspondientes, así como notificar personalmente a las partes involucradas.</w:t>
      </w:r>
    </w:p>
    <w:p w14:paraId="4DD67F7B" w14:textId="6AADA765"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r w:rsidRPr="00580F73">
        <w:rPr>
          <w:rFonts w:ascii="Arial" w:eastAsia="Times New Roman" w:hAnsi="Arial" w:cs="Arial"/>
          <w:b/>
          <w:bCs/>
          <w:color w:val="000000" w:themeColor="text1"/>
          <w:sz w:val="26"/>
          <w:szCs w:val="26"/>
          <w:lang w:val="es-ES_tradnl"/>
        </w:rPr>
        <w:t>TRANSITORIOS</w:t>
      </w:r>
    </w:p>
    <w:p w14:paraId="38E57ABC" w14:textId="77777777" w:rsidR="00D41DB6" w:rsidRPr="00580F73" w:rsidRDefault="00D41DB6" w:rsidP="0010513C">
      <w:pPr>
        <w:spacing w:after="0" w:line="276" w:lineRule="auto"/>
        <w:jc w:val="center"/>
        <w:rPr>
          <w:rFonts w:ascii="Arial" w:eastAsia="Times New Roman" w:hAnsi="Arial" w:cs="Arial"/>
          <w:b/>
          <w:bCs/>
          <w:color w:val="000000" w:themeColor="text1"/>
          <w:sz w:val="26"/>
          <w:szCs w:val="26"/>
          <w:lang w:val="es-ES_tradnl"/>
        </w:rPr>
      </w:pPr>
    </w:p>
    <w:p w14:paraId="56A24B19"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 xml:space="preserve">PRIMERO. </w:t>
      </w:r>
      <w:r w:rsidRPr="00580F73">
        <w:rPr>
          <w:rFonts w:ascii="Arial" w:eastAsia="Times New Roman" w:hAnsi="Arial" w:cs="Arial"/>
          <w:color w:val="000000" w:themeColor="text1"/>
          <w:sz w:val="26"/>
          <w:szCs w:val="26"/>
          <w:lang w:val="es-ES_tradnl"/>
        </w:rPr>
        <w:t>El presente Acuerdo General entrará en vigor al día siguiente de su publicación en el Diario Oficial de la Federación.</w:t>
      </w:r>
    </w:p>
    <w:p w14:paraId="2B27DEE4"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p>
    <w:p w14:paraId="339E9E61"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b/>
          <w:bCs/>
          <w:color w:val="000000" w:themeColor="text1"/>
          <w:sz w:val="26"/>
          <w:szCs w:val="26"/>
          <w:lang w:val="es-ES_tradnl"/>
        </w:rPr>
        <w:t>SEGUNDO. </w:t>
      </w:r>
      <w:r w:rsidRPr="00580F73">
        <w:rPr>
          <w:rFonts w:ascii="Arial" w:eastAsia="Times New Roman" w:hAnsi="Arial" w:cs="Arial"/>
          <w:color w:val="000000" w:themeColor="text1"/>
          <w:sz w:val="26"/>
          <w:szCs w:val="26"/>
          <w:lang w:val="es-ES_tradnl"/>
        </w:rPr>
        <w:t xml:space="preserve">Se derogan las disposiciones que se opongan al presente Acuerdo General. </w:t>
      </w:r>
    </w:p>
    <w:p w14:paraId="672EC900" w14:textId="77777777" w:rsidR="00D41DB6" w:rsidRPr="00580F73" w:rsidRDefault="00D41DB6" w:rsidP="0010513C">
      <w:pPr>
        <w:spacing w:after="0" w:line="276" w:lineRule="auto"/>
        <w:jc w:val="both"/>
        <w:rPr>
          <w:rFonts w:ascii="Arial" w:eastAsia="Times New Roman" w:hAnsi="Arial" w:cs="Arial"/>
          <w:color w:val="000000" w:themeColor="text1"/>
          <w:sz w:val="26"/>
          <w:szCs w:val="26"/>
          <w:lang w:val="es-ES_tradnl"/>
        </w:rPr>
      </w:pPr>
      <w:r w:rsidRPr="00580F73">
        <w:rPr>
          <w:rFonts w:ascii="Arial" w:eastAsia="Times New Roman" w:hAnsi="Arial" w:cs="Arial"/>
          <w:color w:val="000000" w:themeColor="text1"/>
          <w:sz w:val="26"/>
          <w:szCs w:val="26"/>
          <w:lang w:val="es-ES_tradnl"/>
        </w:rPr>
        <w:t> </w:t>
      </w:r>
    </w:p>
    <w:p w14:paraId="08E1F612" w14:textId="77777777" w:rsidR="00D41DB6" w:rsidRPr="00580F73" w:rsidRDefault="00D41DB6" w:rsidP="0010513C">
      <w:pPr>
        <w:spacing w:after="0" w:line="276" w:lineRule="auto"/>
        <w:jc w:val="both"/>
        <w:rPr>
          <w:rFonts w:ascii="Arial" w:eastAsia="Arial" w:hAnsi="Arial" w:cs="Arial"/>
          <w:color w:val="000000" w:themeColor="text1"/>
          <w:sz w:val="26"/>
          <w:szCs w:val="26"/>
          <w:lang w:val="es-ES_tradnl"/>
        </w:rPr>
      </w:pPr>
      <w:r w:rsidRPr="00580F73">
        <w:rPr>
          <w:rFonts w:ascii="Arial" w:eastAsia="Arial" w:hAnsi="Arial" w:cs="Arial"/>
          <w:b/>
          <w:color w:val="000000" w:themeColor="text1"/>
          <w:sz w:val="26"/>
          <w:szCs w:val="26"/>
          <w:lang w:val="es-ES_tradnl"/>
        </w:rPr>
        <w:t xml:space="preserve">TERCERO. </w:t>
      </w:r>
      <w:r w:rsidRPr="00580F73">
        <w:rPr>
          <w:rFonts w:ascii="Arial" w:hAnsi="Arial" w:cs="Arial"/>
          <w:color w:val="000000" w:themeColor="text1"/>
          <w:sz w:val="26"/>
          <w:szCs w:val="26"/>
          <w:lang w:val="es-ES_tradnl"/>
        </w:rPr>
        <w:t>Los procedimientos iniciados con anterioridad a la entrada en vigor se regirán por el presente acuerdo.</w:t>
      </w:r>
    </w:p>
    <w:p w14:paraId="5FA9C7AF" w14:textId="77777777" w:rsidR="00D41DB6" w:rsidRPr="00580F73" w:rsidRDefault="00D41DB6" w:rsidP="0010513C">
      <w:pPr>
        <w:spacing w:after="0" w:line="276" w:lineRule="auto"/>
        <w:jc w:val="both"/>
        <w:rPr>
          <w:rFonts w:ascii="Arial" w:eastAsia="Arial" w:hAnsi="Arial" w:cs="Arial"/>
          <w:b/>
          <w:color w:val="000000" w:themeColor="text1"/>
          <w:sz w:val="26"/>
          <w:szCs w:val="26"/>
          <w:lang w:val="es-ES_tradnl"/>
        </w:rPr>
      </w:pPr>
    </w:p>
    <w:p w14:paraId="2527332F" w14:textId="77777777" w:rsidR="00153F25" w:rsidRPr="00D221E9" w:rsidRDefault="00D41DB6" w:rsidP="00153F25">
      <w:pPr>
        <w:pStyle w:val="NormalWeb"/>
        <w:spacing w:after="0" w:line="276" w:lineRule="auto"/>
        <w:jc w:val="both"/>
        <w:rPr>
          <w:rFonts w:ascii="Arial" w:hAnsi="Arial" w:cs="Arial"/>
          <w:color w:val="000000" w:themeColor="text1"/>
          <w:sz w:val="26"/>
          <w:szCs w:val="26"/>
        </w:rPr>
      </w:pPr>
      <w:r w:rsidRPr="00580F73">
        <w:rPr>
          <w:rFonts w:ascii="Arial" w:eastAsia="Arial" w:hAnsi="Arial" w:cs="Arial"/>
          <w:b/>
          <w:color w:val="000000" w:themeColor="text1"/>
          <w:sz w:val="26"/>
          <w:szCs w:val="26"/>
          <w:lang w:val="es-ES_tradnl"/>
        </w:rPr>
        <w:t xml:space="preserve">CUARTO. </w:t>
      </w:r>
      <w:r w:rsidR="00153F25" w:rsidRPr="00D221E9">
        <w:rPr>
          <w:rFonts w:ascii="Arial" w:hAnsi="Arial" w:cs="Arial"/>
          <w:color w:val="000000" w:themeColor="text1"/>
          <w:sz w:val="26"/>
          <w:szCs w:val="26"/>
        </w:rPr>
        <w:t>Publíquese el presente Acuerdo General en el Diario Oficial de la Federación</w:t>
      </w:r>
      <w:r w:rsidR="00153F25">
        <w:rPr>
          <w:rFonts w:ascii="Arial" w:hAnsi="Arial" w:cs="Arial"/>
          <w:color w:val="000000" w:themeColor="text1"/>
          <w:sz w:val="26"/>
          <w:szCs w:val="26"/>
        </w:rPr>
        <w:t>,</w:t>
      </w:r>
      <w:r w:rsidR="00153F25" w:rsidRPr="00D221E9">
        <w:rPr>
          <w:rFonts w:ascii="Arial" w:hAnsi="Arial" w:cs="Arial"/>
          <w:color w:val="000000" w:themeColor="text1"/>
          <w:sz w:val="26"/>
          <w:szCs w:val="26"/>
        </w:rPr>
        <w:t xml:space="preserve"> en el Semanario Judicial de la Federación y su Gaceta</w:t>
      </w:r>
      <w:r w:rsidR="00153F25">
        <w:rPr>
          <w:rFonts w:ascii="Arial" w:hAnsi="Arial" w:cs="Arial"/>
          <w:color w:val="000000" w:themeColor="text1"/>
          <w:sz w:val="26"/>
          <w:szCs w:val="26"/>
        </w:rPr>
        <w:t xml:space="preserve"> así como </w:t>
      </w:r>
      <w:r w:rsidR="00153F25" w:rsidRPr="00D221E9">
        <w:rPr>
          <w:rFonts w:ascii="Arial" w:hAnsi="Arial" w:cs="Arial"/>
          <w:color w:val="000000" w:themeColor="text1"/>
          <w:sz w:val="26"/>
          <w:szCs w:val="26"/>
        </w:rPr>
        <w:t>en medios electrónicos de consulta pública, en términos de lo dispuesto en el artículo 65, fracción I, de la Ley General de Transparencia y Acceso a la Información Pública</w:t>
      </w:r>
      <w:r w:rsidR="00153F25">
        <w:rPr>
          <w:rFonts w:ascii="Arial" w:hAnsi="Arial" w:cs="Arial"/>
          <w:color w:val="000000" w:themeColor="text1"/>
          <w:sz w:val="26"/>
          <w:szCs w:val="26"/>
        </w:rPr>
        <w:t xml:space="preserve">. </w:t>
      </w:r>
    </w:p>
    <w:p w14:paraId="40546282" w14:textId="6BE3676A" w:rsidR="006410E4" w:rsidRDefault="006410E4" w:rsidP="0010513C">
      <w:pPr>
        <w:spacing w:after="0" w:line="276" w:lineRule="auto"/>
        <w:jc w:val="both"/>
        <w:rPr>
          <w:rFonts w:ascii="Arial" w:eastAsia="Arial" w:hAnsi="Arial" w:cs="Arial"/>
          <w:color w:val="000000" w:themeColor="text1"/>
          <w:sz w:val="26"/>
          <w:szCs w:val="26"/>
          <w:lang w:val="es-ES_tradnl"/>
        </w:rPr>
      </w:pPr>
    </w:p>
    <w:p w14:paraId="30A51E3A" w14:textId="77777777" w:rsidR="006410E4" w:rsidRDefault="006410E4" w:rsidP="0010513C">
      <w:pPr>
        <w:spacing w:after="0" w:line="276" w:lineRule="auto"/>
        <w:jc w:val="both"/>
        <w:rPr>
          <w:rFonts w:ascii="Arial" w:eastAsia="Arial" w:hAnsi="Arial" w:cs="Arial"/>
          <w:color w:val="000000" w:themeColor="text1"/>
          <w:sz w:val="26"/>
          <w:szCs w:val="26"/>
          <w:lang w:val="es-ES_tradnl"/>
        </w:rPr>
      </w:pPr>
    </w:p>
    <w:p w14:paraId="766DE7F0" w14:textId="77777777" w:rsidR="007C4BD0" w:rsidRPr="00073F03" w:rsidRDefault="007C4BD0" w:rsidP="007C4BD0">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7167CAEF" w14:textId="77777777" w:rsidR="007C4BD0" w:rsidRPr="00073F03" w:rsidRDefault="007C4BD0" w:rsidP="007C4BD0">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35E130A1" w14:textId="77777777" w:rsidR="007C4BD0" w:rsidRPr="00073F03" w:rsidRDefault="007C4BD0" w:rsidP="007C4BD0">
      <w:pPr>
        <w:spacing w:after="0" w:line="240" w:lineRule="auto"/>
        <w:ind w:left="142"/>
        <w:jc w:val="center"/>
        <w:rPr>
          <w:rFonts w:ascii="Arial" w:hAnsi="Arial" w:cs="Arial"/>
          <w:b/>
          <w:sz w:val="28"/>
          <w:szCs w:val="28"/>
        </w:rPr>
      </w:pPr>
    </w:p>
    <w:p w14:paraId="1B13696E" w14:textId="77777777" w:rsidR="007C4BD0" w:rsidRDefault="007C4BD0" w:rsidP="007C4BD0">
      <w:pPr>
        <w:spacing w:after="0" w:line="240" w:lineRule="auto"/>
        <w:ind w:left="142"/>
        <w:jc w:val="center"/>
        <w:rPr>
          <w:rFonts w:ascii="Arial" w:hAnsi="Arial" w:cs="Arial"/>
          <w:b/>
          <w:sz w:val="28"/>
          <w:szCs w:val="28"/>
        </w:rPr>
      </w:pPr>
    </w:p>
    <w:p w14:paraId="1C865A85" w14:textId="77777777" w:rsidR="006410E4" w:rsidRPr="00073F03" w:rsidRDefault="006410E4" w:rsidP="007C4BD0">
      <w:pPr>
        <w:spacing w:after="0" w:line="240" w:lineRule="auto"/>
        <w:ind w:left="142"/>
        <w:jc w:val="center"/>
        <w:rPr>
          <w:rFonts w:ascii="Arial" w:hAnsi="Arial" w:cs="Arial"/>
          <w:b/>
          <w:sz w:val="28"/>
          <w:szCs w:val="28"/>
        </w:rPr>
      </w:pPr>
    </w:p>
    <w:p w14:paraId="3AF21624" w14:textId="77777777" w:rsidR="007C4BD0" w:rsidRPr="00073F03" w:rsidRDefault="007C4BD0" w:rsidP="007C4BD0">
      <w:pPr>
        <w:spacing w:after="0" w:line="240" w:lineRule="auto"/>
        <w:ind w:left="142"/>
        <w:jc w:val="center"/>
        <w:rPr>
          <w:rFonts w:ascii="Arial" w:hAnsi="Arial" w:cs="Arial"/>
          <w:b/>
          <w:sz w:val="28"/>
          <w:szCs w:val="28"/>
        </w:rPr>
      </w:pPr>
    </w:p>
    <w:p w14:paraId="74482CCE" w14:textId="77777777" w:rsidR="007C4BD0" w:rsidRPr="00073F03" w:rsidRDefault="007C4BD0" w:rsidP="007C4BD0">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0FEBD0DA" w14:textId="77777777" w:rsidR="007C4BD0" w:rsidRPr="00073F03" w:rsidRDefault="007C4BD0" w:rsidP="007C4BD0">
      <w:pPr>
        <w:tabs>
          <w:tab w:val="left" w:pos="851"/>
        </w:tabs>
        <w:spacing w:after="0" w:line="240" w:lineRule="auto"/>
        <w:ind w:left="426"/>
        <w:jc w:val="center"/>
        <w:rPr>
          <w:rFonts w:ascii="Arial" w:hAnsi="Arial" w:cs="Arial"/>
          <w:b/>
          <w:sz w:val="28"/>
          <w:szCs w:val="28"/>
        </w:rPr>
      </w:pPr>
    </w:p>
    <w:p w14:paraId="7FCA8876" w14:textId="77777777" w:rsidR="007C4BD0" w:rsidRDefault="007C4BD0" w:rsidP="007C4BD0">
      <w:pPr>
        <w:tabs>
          <w:tab w:val="left" w:pos="851"/>
        </w:tabs>
        <w:spacing w:after="0" w:line="240" w:lineRule="auto"/>
        <w:ind w:left="426"/>
        <w:jc w:val="center"/>
        <w:rPr>
          <w:rFonts w:ascii="Arial" w:hAnsi="Arial" w:cs="Arial"/>
          <w:b/>
          <w:sz w:val="28"/>
          <w:szCs w:val="28"/>
        </w:rPr>
      </w:pPr>
    </w:p>
    <w:p w14:paraId="0B83D148" w14:textId="77777777" w:rsidR="006410E4" w:rsidRPr="00073F03" w:rsidRDefault="006410E4" w:rsidP="007C4BD0">
      <w:pPr>
        <w:tabs>
          <w:tab w:val="left" w:pos="851"/>
        </w:tabs>
        <w:spacing w:after="0" w:line="240" w:lineRule="auto"/>
        <w:ind w:left="426"/>
        <w:jc w:val="center"/>
        <w:rPr>
          <w:rFonts w:ascii="Arial" w:hAnsi="Arial" w:cs="Arial"/>
          <w:b/>
          <w:sz w:val="28"/>
          <w:szCs w:val="28"/>
        </w:rPr>
      </w:pPr>
    </w:p>
    <w:p w14:paraId="17E2211D" w14:textId="77777777" w:rsidR="007C4BD0" w:rsidRPr="00073F03" w:rsidRDefault="007C4BD0" w:rsidP="007C4BD0">
      <w:pPr>
        <w:tabs>
          <w:tab w:val="left" w:pos="851"/>
        </w:tabs>
        <w:spacing w:after="0" w:line="240" w:lineRule="auto"/>
        <w:ind w:left="426"/>
        <w:jc w:val="center"/>
        <w:rPr>
          <w:rFonts w:ascii="Arial" w:hAnsi="Arial" w:cs="Arial"/>
          <w:b/>
          <w:sz w:val="28"/>
          <w:szCs w:val="28"/>
        </w:rPr>
      </w:pPr>
    </w:p>
    <w:p w14:paraId="591D0DF4" w14:textId="77777777" w:rsidR="007C4BD0" w:rsidRPr="00073F03" w:rsidRDefault="007C4BD0" w:rsidP="007C4BD0">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2DEE6E0B" w14:textId="77777777" w:rsidR="007C4BD0" w:rsidRDefault="007C4BD0" w:rsidP="006410E4">
      <w:pPr>
        <w:spacing w:after="0" w:line="240" w:lineRule="auto"/>
        <w:rPr>
          <w:rFonts w:ascii="Arial" w:hAnsi="Arial" w:cs="Arial"/>
          <w:b/>
          <w:sz w:val="28"/>
          <w:szCs w:val="28"/>
        </w:rPr>
      </w:pPr>
    </w:p>
    <w:p w14:paraId="577A6D88" w14:textId="77777777" w:rsidR="006410E4" w:rsidRDefault="006410E4" w:rsidP="006410E4">
      <w:pPr>
        <w:spacing w:after="0" w:line="240" w:lineRule="auto"/>
        <w:rPr>
          <w:rFonts w:ascii="Arial" w:hAnsi="Arial" w:cs="Arial"/>
          <w:b/>
          <w:sz w:val="28"/>
          <w:szCs w:val="28"/>
        </w:rPr>
      </w:pPr>
    </w:p>
    <w:p w14:paraId="387A7404" w14:textId="77777777" w:rsidR="006410E4" w:rsidRPr="00073F03" w:rsidRDefault="006410E4" w:rsidP="006410E4">
      <w:pPr>
        <w:spacing w:after="0" w:line="240" w:lineRule="auto"/>
        <w:rPr>
          <w:rFonts w:ascii="Arial" w:hAnsi="Arial" w:cs="Arial"/>
          <w:b/>
          <w:sz w:val="28"/>
          <w:szCs w:val="28"/>
        </w:rPr>
      </w:pPr>
    </w:p>
    <w:p w14:paraId="2F0065A7" w14:textId="77777777" w:rsidR="007C4BD0" w:rsidRPr="00073F03" w:rsidRDefault="007C4BD0" w:rsidP="007C4BD0">
      <w:pPr>
        <w:spacing w:after="0" w:line="240" w:lineRule="auto"/>
        <w:ind w:left="142"/>
        <w:jc w:val="center"/>
        <w:rPr>
          <w:rFonts w:ascii="Arial" w:hAnsi="Arial" w:cs="Arial"/>
          <w:b/>
          <w:sz w:val="28"/>
          <w:szCs w:val="28"/>
        </w:rPr>
      </w:pPr>
    </w:p>
    <w:p w14:paraId="3D488059" w14:textId="77777777" w:rsidR="007C4BD0" w:rsidRPr="00073F03" w:rsidRDefault="007C4BD0" w:rsidP="007C4BD0">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0E7DC069" w14:textId="77777777" w:rsidR="007C4BD0" w:rsidRDefault="007C4BD0" w:rsidP="006410E4">
      <w:pPr>
        <w:pStyle w:val="NormalWeb"/>
        <w:spacing w:after="0" w:line="276" w:lineRule="auto"/>
        <w:jc w:val="both"/>
        <w:rPr>
          <w:rFonts w:ascii="Arial" w:hAnsi="Arial" w:cs="Arial"/>
          <w:color w:val="000000" w:themeColor="text1"/>
          <w:sz w:val="26"/>
          <w:szCs w:val="26"/>
        </w:rPr>
      </w:pPr>
    </w:p>
    <w:p w14:paraId="7425BE6A" w14:textId="168971D1" w:rsidR="00153F25" w:rsidRDefault="007C4BD0" w:rsidP="00153F25">
      <w:pPr>
        <w:pStyle w:val="NormalWeb"/>
        <w:spacing w:after="0"/>
        <w:ind w:left="142"/>
        <w:jc w:val="both"/>
        <w:rPr>
          <w:rFonts w:ascii="Arial" w:hAnsi="Arial" w:cs="Arial"/>
          <w:b/>
        </w:rPr>
      </w:pPr>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 - - </w:t>
      </w:r>
      <w:r w:rsidRPr="00093B6F">
        <w:rPr>
          <w:rFonts w:ascii="Arial" w:hAnsi="Arial" w:cs="Arial"/>
          <w:b/>
        </w:rPr>
        <w:t xml:space="preserve">C E R T I F I C A:- - - - - - - - - - - - - - - - - - - - </w:t>
      </w:r>
      <w:r>
        <w:rPr>
          <w:rFonts w:ascii="Arial" w:hAnsi="Arial" w:cs="Arial"/>
          <w:b/>
        </w:rPr>
        <w:t xml:space="preserve">- - </w:t>
      </w:r>
      <w:r w:rsidRPr="00093B6F">
        <w:rPr>
          <w:rFonts w:ascii="Arial" w:hAnsi="Arial" w:cs="Arial"/>
          <w:b/>
        </w:rPr>
        <w:t>Este</w:t>
      </w:r>
      <w:r>
        <w:rPr>
          <w:rFonts w:ascii="Arial" w:hAnsi="Arial" w:cs="Arial"/>
          <w:b/>
        </w:rPr>
        <w:t xml:space="preserve"> </w:t>
      </w:r>
      <w:r w:rsidRPr="00580F73">
        <w:rPr>
          <w:rFonts w:ascii="Arial" w:eastAsia="Times New Roman" w:hAnsi="Arial" w:cs="Arial"/>
          <w:b/>
          <w:bCs/>
          <w:color w:val="000000" w:themeColor="text1"/>
          <w:sz w:val="26"/>
          <w:szCs w:val="26"/>
          <w:lang w:val="es-ES_tradnl"/>
        </w:rPr>
        <w:t xml:space="preserve">ACUERDO GENERAL NÚMERO </w:t>
      </w:r>
      <w:r>
        <w:rPr>
          <w:rFonts w:ascii="Arial" w:eastAsia="Times New Roman" w:hAnsi="Arial" w:cs="Arial"/>
          <w:b/>
          <w:bCs/>
          <w:color w:val="000000" w:themeColor="text1"/>
          <w:sz w:val="26"/>
          <w:szCs w:val="26"/>
          <w:lang w:val="es-ES_tradnl"/>
        </w:rPr>
        <w:t>4</w:t>
      </w:r>
      <w:r w:rsidRPr="00580F73">
        <w:rPr>
          <w:rFonts w:ascii="Arial" w:eastAsia="Times New Roman" w:hAnsi="Arial" w:cs="Arial"/>
          <w:b/>
          <w:bCs/>
          <w:color w:val="000000" w:themeColor="text1"/>
          <w:sz w:val="26"/>
          <w:szCs w:val="26"/>
          <w:lang w:val="es-ES_tradnl"/>
        </w:rPr>
        <w:t>/2025</w:t>
      </w:r>
      <w:r>
        <w:rPr>
          <w:rFonts w:ascii="Arial" w:eastAsia="Times New Roman" w:hAnsi="Arial" w:cs="Arial"/>
          <w:b/>
          <w:bCs/>
          <w:color w:val="000000" w:themeColor="text1"/>
          <w:sz w:val="26"/>
          <w:szCs w:val="26"/>
          <w:lang w:val="es-ES_tradnl"/>
        </w:rPr>
        <w:t xml:space="preserve"> </w:t>
      </w:r>
      <w:r>
        <w:rPr>
          <w:rFonts w:ascii="Arial" w:hAnsi="Arial" w:cs="Arial"/>
          <w:b/>
          <w:bCs/>
          <w:color w:val="000000" w:themeColor="text1"/>
          <w:sz w:val="26"/>
          <w:szCs w:val="26"/>
        </w:rPr>
        <w:t>(12a.)</w:t>
      </w:r>
      <w:r w:rsidR="004B4B33">
        <w:rPr>
          <w:rFonts w:ascii="Arial" w:hAnsi="Arial" w:cs="Arial"/>
          <w:b/>
          <w:bCs/>
          <w:color w:val="000000" w:themeColor="text1"/>
          <w:sz w:val="26"/>
          <w:szCs w:val="26"/>
        </w:rPr>
        <w:t xml:space="preserve">, </w:t>
      </w:r>
      <w:r w:rsidRPr="00580F73">
        <w:rPr>
          <w:rFonts w:ascii="Arial" w:eastAsia="Times New Roman" w:hAnsi="Arial" w:cs="Arial"/>
          <w:b/>
          <w:bCs/>
          <w:color w:val="000000" w:themeColor="text1"/>
          <w:sz w:val="26"/>
          <w:szCs w:val="26"/>
          <w:lang w:val="es-ES_tradnl"/>
        </w:rPr>
        <w:t>DEL PLENO DE LA SUPREMA CORTE DE JUSTICIA DE LA NACIÓN</w:t>
      </w:r>
      <w:r>
        <w:rPr>
          <w:rFonts w:ascii="Arial" w:eastAsia="Times New Roman" w:hAnsi="Arial" w:cs="Arial"/>
          <w:b/>
          <w:bCs/>
          <w:color w:val="000000" w:themeColor="text1"/>
          <w:sz w:val="26"/>
          <w:szCs w:val="26"/>
          <w:lang w:val="es-ES_tradnl"/>
        </w:rPr>
        <w:t>,</w:t>
      </w:r>
      <w:r w:rsidR="00996877">
        <w:rPr>
          <w:rFonts w:ascii="Arial" w:eastAsia="Times New Roman" w:hAnsi="Arial" w:cs="Arial"/>
          <w:b/>
          <w:bCs/>
          <w:color w:val="000000" w:themeColor="text1"/>
          <w:sz w:val="26"/>
          <w:szCs w:val="26"/>
          <w:lang w:val="es-ES_tradnl"/>
        </w:rPr>
        <w:t xml:space="preserve"> </w:t>
      </w:r>
      <w:r w:rsidR="00996877">
        <w:rPr>
          <w:rFonts w:ascii="Arial" w:hAnsi="Arial" w:cs="Arial"/>
          <w:b/>
          <w:bCs/>
          <w:color w:val="000000" w:themeColor="text1"/>
          <w:sz w:val="26"/>
          <w:szCs w:val="26"/>
        </w:rPr>
        <w:t>DE TRES DE SEPTIEMBRE DE DOS MIL VEINTICINCO,</w:t>
      </w:r>
      <w:r w:rsidRPr="00580F73">
        <w:rPr>
          <w:rFonts w:ascii="Arial" w:eastAsia="Times New Roman" w:hAnsi="Arial" w:cs="Arial"/>
          <w:b/>
          <w:bCs/>
          <w:color w:val="000000" w:themeColor="text1"/>
          <w:sz w:val="26"/>
          <w:szCs w:val="26"/>
          <w:lang w:val="es-ES_tradnl"/>
        </w:rPr>
        <w:t xml:space="preserve"> QUE ESTABLECE EL TRÁMITE DE LAS SOLICITUDES DE EJERCICIO DE LA FACULTAD DE ATRACCIÓN Y DE REASUNCIÓN DE COMPETENCIA</w:t>
      </w:r>
      <w:r w:rsidRPr="00093B6F">
        <w:rPr>
          <w:rFonts w:ascii="Arial" w:hAnsi="Arial" w:cs="Arial"/>
          <w:b/>
        </w:rPr>
        <w:t xml:space="preserve">, </w:t>
      </w:r>
      <w:r w:rsidR="00153F25" w:rsidRPr="00093B6F">
        <w:rPr>
          <w:rFonts w:ascii="Arial" w:hAnsi="Arial" w:cs="Arial"/>
          <w:b/>
        </w:rPr>
        <w:t xml:space="preserve">fue aprobado por el Tribunal Pleno en Sesión Privada celebrada el día de hoy, por unanimidad de </w:t>
      </w:r>
      <w:r w:rsidR="00153F25">
        <w:rPr>
          <w:rFonts w:ascii="Arial" w:hAnsi="Arial" w:cs="Arial"/>
          <w:b/>
        </w:rPr>
        <w:t>nueve</w:t>
      </w:r>
      <w:r w:rsidR="00153F25" w:rsidRPr="00093B6F">
        <w:rPr>
          <w:rFonts w:ascii="Arial" w:hAnsi="Arial" w:cs="Arial"/>
          <w:b/>
        </w:rPr>
        <w:t xml:space="preserve"> votos de las señoras Ministras</w:t>
      </w:r>
      <w:r w:rsidR="00153F25">
        <w:rPr>
          <w:rFonts w:ascii="Arial" w:hAnsi="Arial" w:cs="Arial"/>
          <w:b/>
        </w:rPr>
        <w:t xml:space="preserve"> </w:t>
      </w:r>
      <w:proofErr w:type="spellStart"/>
      <w:r w:rsidR="00153F25" w:rsidRPr="00093B6F">
        <w:rPr>
          <w:rFonts w:ascii="Arial" w:hAnsi="Arial" w:cs="Arial"/>
          <w:b/>
        </w:rPr>
        <w:t>Lenia</w:t>
      </w:r>
      <w:proofErr w:type="spellEnd"/>
      <w:r w:rsidR="00153F25" w:rsidRPr="00093B6F">
        <w:rPr>
          <w:rFonts w:ascii="Arial" w:hAnsi="Arial" w:cs="Arial"/>
          <w:b/>
        </w:rPr>
        <w:t xml:space="preserve"> Batres Guadarrama</w:t>
      </w:r>
      <w:r w:rsidR="00153F25">
        <w:rPr>
          <w:rFonts w:ascii="Arial" w:hAnsi="Arial" w:cs="Arial"/>
          <w:b/>
        </w:rPr>
        <w:t xml:space="preserve">, </w:t>
      </w:r>
      <w:r w:rsidR="00153F25" w:rsidRPr="00093B6F">
        <w:rPr>
          <w:rFonts w:ascii="Arial" w:hAnsi="Arial" w:cs="Arial"/>
          <w:b/>
        </w:rPr>
        <w:t xml:space="preserve">Yasmín Esquivel </w:t>
      </w:r>
      <w:proofErr w:type="spellStart"/>
      <w:r w:rsidR="00153F25" w:rsidRPr="00093B6F">
        <w:rPr>
          <w:rFonts w:ascii="Arial" w:hAnsi="Arial" w:cs="Arial"/>
          <w:b/>
        </w:rPr>
        <w:t>Mossa</w:t>
      </w:r>
      <w:proofErr w:type="spellEnd"/>
      <w:r w:rsidR="00153F25">
        <w:rPr>
          <w:rFonts w:ascii="Arial" w:hAnsi="Arial" w:cs="Arial"/>
          <w:b/>
        </w:rPr>
        <w:t xml:space="preserve">, </w:t>
      </w:r>
      <w:r w:rsidR="00153F25" w:rsidRPr="00093B6F">
        <w:rPr>
          <w:rFonts w:ascii="Arial" w:hAnsi="Arial" w:cs="Arial"/>
          <w:b/>
        </w:rPr>
        <w:t xml:space="preserve">Loretta Ortiz </w:t>
      </w:r>
      <w:proofErr w:type="spellStart"/>
      <w:r w:rsidR="00153F25" w:rsidRPr="00093B6F">
        <w:rPr>
          <w:rFonts w:ascii="Arial" w:hAnsi="Arial" w:cs="Arial"/>
          <w:b/>
        </w:rPr>
        <w:t>Ahlf</w:t>
      </w:r>
      <w:proofErr w:type="spellEnd"/>
      <w:r w:rsidR="00153F25">
        <w:rPr>
          <w:rFonts w:ascii="Arial" w:hAnsi="Arial" w:cs="Arial"/>
          <w:b/>
        </w:rPr>
        <w:t xml:space="preserve">, María Estela Ríos González y Sara Irene Herrerías Guerra así como por </w:t>
      </w:r>
      <w:r w:rsidR="00153F25" w:rsidRPr="00093B6F">
        <w:rPr>
          <w:rFonts w:ascii="Arial" w:hAnsi="Arial" w:cs="Arial"/>
          <w:b/>
        </w:rPr>
        <w:t>los señores Ministros</w:t>
      </w:r>
      <w:r w:rsidR="00153F25">
        <w:rPr>
          <w:rFonts w:ascii="Arial" w:hAnsi="Arial" w:cs="Arial"/>
          <w:b/>
        </w:rPr>
        <w:t xml:space="preserve"> Giovanni Azael Figueroa Mejía, Irving Espinosa Betanzo, Arístides Rodrigo Guerrero García </w:t>
      </w:r>
      <w:r w:rsidR="00153F25" w:rsidRPr="00093B6F">
        <w:rPr>
          <w:rFonts w:ascii="Arial" w:hAnsi="Arial" w:cs="Arial"/>
          <w:b/>
        </w:rPr>
        <w:t>y President</w:t>
      </w:r>
      <w:r w:rsidR="00153F25">
        <w:rPr>
          <w:rFonts w:ascii="Arial" w:hAnsi="Arial" w:cs="Arial"/>
          <w:b/>
        </w:rPr>
        <w:t>e</w:t>
      </w:r>
      <w:r w:rsidR="00153F25" w:rsidRPr="00093B6F">
        <w:rPr>
          <w:rFonts w:ascii="Arial" w:hAnsi="Arial" w:cs="Arial"/>
          <w:b/>
        </w:rPr>
        <w:t xml:space="preserve"> </w:t>
      </w:r>
      <w:r w:rsidR="00153F25">
        <w:rPr>
          <w:rFonts w:ascii="Arial" w:hAnsi="Arial" w:cs="Arial"/>
          <w:b/>
        </w:rPr>
        <w:t>Hugo Aguilar Ortiz</w:t>
      </w:r>
      <w:r w:rsidR="00153F25" w:rsidRPr="00093B6F">
        <w:rPr>
          <w:rFonts w:ascii="Arial" w:hAnsi="Arial" w:cs="Arial"/>
          <w:b/>
        </w:rPr>
        <w:t>.-</w:t>
      </w:r>
      <w:r w:rsidR="00153F25">
        <w:rPr>
          <w:rFonts w:ascii="Arial" w:hAnsi="Arial" w:cs="Arial"/>
          <w:b/>
        </w:rPr>
        <w:t xml:space="preserve"> - - - - - - - - - - - - - - - - - - - - - - - - - - - - - - - - - -</w:t>
      </w:r>
      <w:r w:rsidR="00153F25" w:rsidRPr="00093B6F">
        <w:rPr>
          <w:rFonts w:ascii="Arial" w:hAnsi="Arial" w:cs="Arial"/>
          <w:b/>
        </w:rPr>
        <w:t xml:space="preserve"> </w:t>
      </w:r>
    </w:p>
    <w:p w14:paraId="04ACD68A" w14:textId="6BD0D02D" w:rsidR="00153F25" w:rsidRDefault="00153F25" w:rsidP="00153F25">
      <w:pPr>
        <w:pStyle w:val="NormalWeb"/>
        <w:spacing w:after="0"/>
        <w:ind w:left="142"/>
        <w:jc w:val="both"/>
        <w:rPr>
          <w:rFonts w:ascii="Arial" w:hAnsi="Arial" w:cs="Arial"/>
          <w:b/>
        </w:rPr>
      </w:pPr>
      <w:r w:rsidRPr="00093B6F">
        <w:rPr>
          <w:rFonts w:ascii="Arial" w:hAnsi="Arial" w:cs="Arial"/>
          <w:b/>
        </w:rPr>
        <w:t xml:space="preserve">Ciudad de México, a </w:t>
      </w:r>
      <w:r w:rsidR="00B81763">
        <w:rPr>
          <w:rFonts w:ascii="Arial" w:hAnsi="Arial" w:cs="Arial"/>
          <w:b/>
        </w:rPr>
        <w:t>tres</w:t>
      </w:r>
      <w:r w:rsidRPr="00093B6F">
        <w:rPr>
          <w:rFonts w:ascii="Arial" w:hAnsi="Arial" w:cs="Arial"/>
          <w:b/>
        </w:rPr>
        <w:t xml:space="preserve"> de </w:t>
      </w:r>
      <w:r>
        <w:rPr>
          <w:rFonts w:ascii="Arial" w:hAnsi="Arial" w:cs="Arial"/>
          <w:b/>
        </w:rPr>
        <w:t>septiembre</w:t>
      </w:r>
      <w:r w:rsidRPr="00093B6F">
        <w:rPr>
          <w:rFonts w:ascii="Arial" w:hAnsi="Arial" w:cs="Arial"/>
          <w:b/>
        </w:rPr>
        <w:t xml:space="preserve"> de dos mil veinticinco.- - - </w:t>
      </w:r>
      <w:r>
        <w:rPr>
          <w:rFonts w:ascii="Arial" w:hAnsi="Arial" w:cs="Arial"/>
          <w:b/>
        </w:rPr>
        <w:t xml:space="preserve">  </w:t>
      </w:r>
      <w:r w:rsidRPr="00093B6F">
        <w:rPr>
          <w:rFonts w:ascii="Arial" w:hAnsi="Arial" w:cs="Arial"/>
          <w:b/>
        </w:rPr>
        <w:t xml:space="preserve"> </w:t>
      </w:r>
    </w:p>
    <w:p w14:paraId="07026807" w14:textId="77777777" w:rsidR="006410E4" w:rsidRDefault="006410E4" w:rsidP="007C4BD0">
      <w:pPr>
        <w:pStyle w:val="NormalWeb"/>
        <w:spacing w:after="0"/>
        <w:jc w:val="both"/>
        <w:rPr>
          <w:rFonts w:ascii="Arial" w:hAnsi="Arial" w:cs="Arial"/>
          <w:b/>
          <w:sz w:val="16"/>
          <w:szCs w:val="16"/>
        </w:rPr>
      </w:pPr>
    </w:p>
    <w:p w14:paraId="432D3ED9" w14:textId="77777777" w:rsidR="007C4BD0" w:rsidRDefault="007C4BD0" w:rsidP="007C4BD0">
      <w:pPr>
        <w:pStyle w:val="NormalWeb"/>
        <w:spacing w:after="0"/>
        <w:ind w:left="142"/>
        <w:jc w:val="both"/>
        <w:rPr>
          <w:rFonts w:ascii="Arial" w:hAnsi="Arial" w:cs="Arial"/>
          <w:b/>
          <w:sz w:val="16"/>
          <w:szCs w:val="16"/>
        </w:rPr>
      </w:pPr>
    </w:p>
    <w:p w14:paraId="62046F5F" w14:textId="27519FC6" w:rsidR="007C4BD0" w:rsidRPr="00580F73" w:rsidRDefault="007C4BD0" w:rsidP="007C4BD0">
      <w:pPr>
        <w:spacing w:after="0" w:line="276" w:lineRule="auto"/>
        <w:jc w:val="both"/>
        <w:rPr>
          <w:rFonts w:ascii="Arial" w:hAnsi="Arial" w:cs="Arial"/>
          <w:color w:val="000000" w:themeColor="text1"/>
          <w:sz w:val="26"/>
          <w:szCs w:val="26"/>
          <w:lang w:val="es-ES_tradnl"/>
        </w:rPr>
      </w:pPr>
      <w:r w:rsidRPr="00DA306D">
        <w:rPr>
          <w:rFonts w:ascii="Arial" w:hAnsi="Arial" w:cs="Arial"/>
          <w:b/>
          <w:lang w:val="es-ES_tradnl"/>
        </w:rPr>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C E R T I F I C A:- - - - - - - - - - - - - - -</w:t>
      </w:r>
      <w:r>
        <w:rPr>
          <w:rFonts w:ascii="Arial" w:hAnsi="Arial" w:cs="Arial"/>
          <w:b/>
          <w:lang w:val="es-ES_tradnl"/>
        </w:rPr>
        <w:t xml:space="preserve"> - - - - - - - - - - </w:t>
      </w:r>
      <w:r w:rsidRPr="00DA306D">
        <w:rPr>
          <w:rFonts w:ascii="Arial" w:hAnsi="Arial" w:cs="Arial"/>
          <w:b/>
          <w:lang w:val="es-ES_tradnl"/>
        </w:rPr>
        <w:t xml:space="preserve">Que esta copia fotostática constante de </w:t>
      </w:r>
      <w:r w:rsidR="004B4B33">
        <w:rPr>
          <w:rFonts w:ascii="Arial" w:hAnsi="Arial" w:cs="Arial"/>
          <w:b/>
          <w:lang w:val="es-ES_tradnl"/>
        </w:rPr>
        <w:t>siete</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bCs/>
          <w:color w:val="000000" w:themeColor="text1"/>
          <w:sz w:val="26"/>
          <w:szCs w:val="26"/>
        </w:rPr>
        <w:t xml:space="preserve"> </w:t>
      </w:r>
      <w:r w:rsidRPr="00580F73">
        <w:rPr>
          <w:rFonts w:ascii="Arial" w:eastAsia="Times New Roman" w:hAnsi="Arial" w:cs="Arial"/>
          <w:b/>
          <w:bCs/>
          <w:color w:val="000000" w:themeColor="text1"/>
          <w:sz w:val="26"/>
          <w:szCs w:val="26"/>
          <w:lang w:val="es-ES_tradnl"/>
        </w:rPr>
        <w:t xml:space="preserve">ACUERDO GENERAL NÚMERO </w:t>
      </w:r>
      <w:r>
        <w:rPr>
          <w:rFonts w:ascii="Arial" w:eastAsia="Times New Roman" w:hAnsi="Arial" w:cs="Arial"/>
          <w:b/>
          <w:bCs/>
          <w:color w:val="000000" w:themeColor="text1"/>
          <w:sz w:val="26"/>
          <w:szCs w:val="26"/>
          <w:lang w:val="es-ES_tradnl"/>
        </w:rPr>
        <w:t>4</w:t>
      </w:r>
      <w:r w:rsidRPr="00580F73">
        <w:rPr>
          <w:rFonts w:ascii="Arial" w:eastAsia="Times New Roman" w:hAnsi="Arial" w:cs="Arial"/>
          <w:b/>
          <w:bCs/>
          <w:color w:val="000000" w:themeColor="text1"/>
          <w:sz w:val="26"/>
          <w:szCs w:val="26"/>
          <w:lang w:val="es-ES_tradnl"/>
        </w:rPr>
        <w:t>/2025</w:t>
      </w:r>
      <w:r>
        <w:rPr>
          <w:rFonts w:ascii="Arial" w:eastAsia="Times New Roman" w:hAnsi="Arial" w:cs="Arial"/>
          <w:b/>
          <w:bCs/>
          <w:color w:val="000000" w:themeColor="text1"/>
          <w:sz w:val="26"/>
          <w:szCs w:val="26"/>
          <w:lang w:val="es-ES_tradnl"/>
        </w:rPr>
        <w:t xml:space="preserve"> </w:t>
      </w:r>
      <w:r>
        <w:rPr>
          <w:rFonts w:ascii="Arial" w:hAnsi="Arial" w:cs="Arial"/>
          <w:b/>
          <w:bCs/>
          <w:color w:val="000000" w:themeColor="text1"/>
          <w:sz w:val="26"/>
          <w:szCs w:val="26"/>
        </w:rPr>
        <w:t>(12a.)</w:t>
      </w:r>
      <w:r w:rsidR="004B4B33">
        <w:rPr>
          <w:rFonts w:ascii="Arial" w:hAnsi="Arial" w:cs="Arial"/>
          <w:b/>
          <w:bCs/>
          <w:color w:val="000000" w:themeColor="text1"/>
          <w:sz w:val="26"/>
          <w:szCs w:val="26"/>
        </w:rPr>
        <w:t xml:space="preserve">, </w:t>
      </w:r>
      <w:r w:rsidRPr="00580F73">
        <w:rPr>
          <w:rFonts w:ascii="Arial" w:eastAsia="Times New Roman" w:hAnsi="Arial" w:cs="Arial"/>
          <w:b/>
          <w:bCs/>
          <w:color w:val="000000" w:themeColor="text1"/>
          <w:sz w:val="26"/>
          <w:szCs w:val="26"/>
          <w:lang w:val="es-ES_tradnl"/>
        </w:rPr>
        <w:t>DEL PLENO DE LA SUPREMA CORTE DE JUSTICIA DE LA NACIÓN</w:t>
      </w:r>
      <w:r>
        <w:rPr>
          <w:rFonts w:ascii="Arial" w:eastAsia="Times New Roman" w:hAnsi="Arial" w:cs="Arial"/>
          <w:b/>
          <w:bCs/>
          <w:color w:val="000000" w:themeColor="text1"/>
          <w:sz w:val="26"/>
          <w:szCs w:val="26"/>
          <w:lang w:val="es-ES_tradnl"/>
        </w:rPr>
        <w:t>,</w:t>
      </w:r>
      <w:r w:rsidRPr="00580F73">
        <w:rPr>
          <w:rFonts w:ascii="Arial" w:eastAsia="Times New Roman" w:hAnsi="Arial" w:cs="Arial"/>
          <w:b/>
          <w:bCs/>
          <w:color w:val="000000" w:themeColor="text1"/>
          <w:sz w:val="26"/>
          <w:szCs w:val="26"/>
          <w:lang w:val="es-ES_tradnl"/>
        </w:rPr>
        <w:t xml:space="preserve"> </w:t>
      </w:r>
      <w:r w:rsidR="00996877">
        <w:rPr>
          <w:rFonts w:ascii="Arial" w:hAnsi="Arial" w:cs="Arial"/>
          <w:b/>
          <w:bCs/>
          <w:color w:val="000000" w:themeColor="text1"/>
          <w:sz w:val="26"/>
          <w:szCs w:val="26"/>
        </w:rPr>
        <w:t>DE TRES DE SEPTIEMBRE DE DOS MIL VEINTICINCO,</w:t>
      </w:r>
      <w:r w:rsidR="00996877" w:rsidRPr="00580F73">
        <w:rPr>
          <w:rFonts w:ascii="Arial" w:eastAsia="Times New Roman" w:hAnsi="Arial" w:cs="Arial"/>
          <w:b/>
          <w:bCs/>
          <w:color w:val="000000" w:themeColor="text1"/>
          <w:sz w:val="26"/>
          <w:szCs w:val="26"/>
          <w:lang w:val="es-ES_tradnl"/>
        </w:rPr>
        <w:t xml:space="preserve"> </w:t>
      </w:r>
      <w:r w:rsidRPr="00580F73">
        <w:rPr>
          <w:rFonts w:ascii="Arial" w:eastAsia="Times New Roman" w:hAnsi="Arial" w:cs="Arial"/>
          <w:b/>
          <w:bCs/>
          <w:color w:val="000000" w:themeColor="text1"/>
          <w:sz w:val="26"/>
          <w:szCs w:val="26"/>
          <w:lang w:val="es-ES_tradnl"/>
        </w:rPr>
        <w:t>QUE ESTABLECE EL TRÁMITE DE LAS SOLICITUDES DE EJERCICIO DE LA FACULTAD DE ATRACCIÓN Y DE REASUNCIÓN DE COMPETENCIA</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 - -</w:t>
      </w:r>
      <w:r w:rsidR="00996877">
        <w:rPr>
          <w:rFonts w:ascii="Arial" w:hAnsi="Arial" w:cs="Arial"/>
          <w:b/>
          <w:lang w:val="es-ES_tradnl"/>
        </w:rPr>
        <w:t xml:space="preserve"> - - - - - - - - - </w:t>
      </w:r>
      <w:r>
        <w:rPr>
          <w:rFonts w:ascii="Arial" w:hAnsi="Arial" w:cs="Arial"/>
          <w:b/>
          <w:lang w:val="es-ES_tradnl"/>
        </w:rPr>
        <w:t xml:space="preserve"> </w:t>
      </w:r>
      <w:r w:rsidRPr="00DA306D">
        <w:rPr>
          <w:rFonts w:ascii="Arial" w:hAnsi="Arial" w:cs="Arial"/>
          <w:b/>
          <w:lang w:val="es-ES_tradnl"/>
        </w:rPr>
        <w:t xml:space="preserve">Ciudad de México, a </w:t>
      </w:r>
      <w:r w:rsidR="00B81763">
        <w:rPr>
          <w:rFonts w:ascii="Arial" w:hAnsi="Arial" w:cs="Arial"/>
          <w:b/>
          <w:lang w:val="es-ES_tradnl"/>
        </w:rPr>
        <w:t>tres</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sectPr w:rsidR="007C4BD0" w:rsidRPr="00580F73" w:rsidSect="006410E4">
      <w:footerReference w:type="default" r:id="rId7"/>
      <w:pgSz w:w="12240" w:h="19298" w:code="119"/>
      <w:pgMar w:top="3828"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E19A" w14:textId="77777777" w:rsidR="00BE7495" w:rsidRDefault="00BE7495" w:rsidP="00CC1D00">
      <w:pPr>
        <w:spacing w:after="0" w:line="240" w:lineRule="auto"/>
      </w:pPr>
      <w:r>
        <w:separator/>
      </w:r>
    </w:p>
  </w:endnote>
  <w:endnote w:type="continuationSeparator" w:id="0">
    <w:p w14:paraId="590143C3" w14:textId="77777777" w:rsidR="00BE7495" w:rsidRDefault="00BE7495" w:rsidP="00CC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759662"/>
      <w:docPartObj>
        <w:docPartGallery w:val="Page Numbers (Bottom of Page)"/>
        <w:docPartUnique/>
      </w:docPartObj>
    </w:sdtPr>
    <w:sdtEndPr/>
    <w:sdtContent>
      <w:p w14:paraId="02D1D9CE" w14:textId="60F29343" w:rsidR="006410E4" w:rsidRDefault="006410E4">
        <w:pPr>
          <w:pStyle w:val="Piedepgina"/>
          <w:jc w:val="center"/>
        </w:pPr>
        <w:r w:rsidRPr="006410E4">
          <w:rPr>
            <w:rFonts w:ascii="Arial" w:hAnsi="Arial" w:cs="Arial"/>
            <w:b/>
            <w:bCs/>
            <w:sz w:val="28"/>
            <w:szCs w:val="28"/>
          </w:rPr>
          <w:fldChar w:fldCharType="begin"/>
        </w:r>
        <w:r w:rsidRPr="006410E4">
          <w:rPr>
            <w:rFonts w:ascii="Arial" w:hAnsi="Arial" w:cs="Arial"/>
            <w:b/>
            <w:bCs/>
            <w:sz w:val="28"/>
            <w:szCs w:val="28"/>
          </w:rPr>
          <w:instrText>PAGE   \* MERGEFORMAT</w:instrText>
        </w:r>
        <w:r w:rsidRPr="006410E4">
          <w:rPr>
            <w:rFonts w:ascii="Arial" w:hAnsi="Arial" w:cs="Arial"/>
            <w:b/>
            <w:bCs/>
            <w:sz w:val="28"/>
            <w:szCs w:val="28"/>
          </w:rPr>
          <w:fldChar w:fldCharType="separate"/>
        </w:r>
        <w:r w:rsidRPr="006410E4">
          <w:rPr>
            <w:rFonts w:ascii="Arial" w:hAnsi="Arial" w:cs="Arial"/>
            <w:b/>
            <w:bCs/>
            <w:sz w:val="28"/>
            <w:szCs w:val="28"/>
          </w:rPr>
          <w:t>2</w:t>
        </w:r>
        <w:r w:rsidRPr="006410E4">
          <w:rPr>
            <w:rFonts w:ascii="Arial" w:hAnsi="Arial" w:cs="Arial"/>
            <w:b/>
            <w:bCs/>
            <w:sz w:val="28"/>
            <w:szCs w:val="28"/>
          </w:rPr>
          <w:fldChar w:fldCharType="end"/>
        </w:r>
      </w:p>
    </w:sdtContent>
  </w:sdt>
  <w:p w14:paraId="6C314FA5" w14:textId="77777777" w:rsidR="006410E4" w:rsidRDefault="006410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0D1E" w14:textId="77777777" w:rsidR="00BE7495" w:rsidRDefault="00BE7495" w:rsidP="00CC1D00">
      <w:pPr>
        <w:spacing w:after="0" w:line="240" w:lineRule="auto"/>
      </w:pPr>
      <w:r>
        <w:separator/>
      </w:r>
    </w:p>
  </w:footnote>
  <w:footnote w:type="continuationSeparator" w:id="0">
    <w:p w14:paraId="5DDE3989" w14:textId="77777777" w:rsidR="00BE7495" w:rsidRDefault="00BE7495" w:rsidP="00CC1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5193A"/>
    <w:multiLevelType w:val="hybridMultilevel"/>
    <w:tmpl w:val="9E1AC734"/>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FBCEC942">
      <w:start w:val="1"/>
      <w:numFmt w:val="decimal"/>
      <w:lvlText w:val="%3."/>
      <w:lvlJc w:val="left"/>
      <w:pPr>
        <w:ind w:left="2520" w:hanging="54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1444A1"/>
    <w:multiLevelType w:val="hybridMultilevel"/>
    <w:tmpl w:val="879033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CB6EBE"/>
    <w:multiLevelType w:val="hybridMultilevel"/>
    <w:tmpl w:val="6D2CB082"/>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 w15:restartNumberingAfterBreak="0">
    <w:nsid w:val="431414F0"/>
    <w:multiLevelType w:val="hybridMultilevel"/>
    <w:tmpl w:val="6D2CB08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431D01C9"/>
    <w:multiLevelType w:val="hybridMultilevel"/>
    <w:tmpl w:val="5186E702"/>
    <w:lvl w:ilvl="0" w:tplc="F9B8D07A">
      <w:start w:val="1"/>
      <w:numFmt w:val="upperRoman"/>
      <w:lvlText w:val="%1."/>
      <w:lvlJc w:val="left"/>
      <w:pPr>
        <w:ind w:left="1080" w:hanging="720"/>
      </w:pPr>
      <w:rPr>
        <w:rFonts w:hint="default"/>
        <w:b/>
      </w:rPr>
    </w:lvl>
    <w:lvl w:ilvl="1" w:tplc="E5245546">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CF7BD5"/>
    <w:multiLevelType w:val="hybridMultilevel"/>
    <w:tmpl w:val="712E845C"/>
    <w:lvl w:ilvl="0" w:tplc="4A9A836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CB0B31"/>
    <w:multiLevelType w:val="multilevel"/>
    <w:tmpl w:val="FBB04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20A51"/>
    <w:multiLevelType w:val="hybridMultilevel"/>
    <w:tmpl w:val="D5CA476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77C04FFA"/>
    <w:multiLevelType w:val="hybridMultilevel"/>
    <w:tmpl w:val="43A0AC32"/>
    <w:lvl w:ilvl="0" w:tplc="94E806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9201162">
    <w:abstractNumId w:val="4"/>
  </w:num>
  <w:num w:numId="2" w16cid:durableId="401878750">
    <w:abstractNumId w:val="8"/>
  </w:num>
  <w:num w:numId="3" w16cid:durableId="2057461414">
    <w:abstractNumId w:val="2"/>
  </w:num>
  <w:num w:numId="4" w16cid:durableId="395009002">
    <w:abstractNumId w:val="0"/>
  </w:num>
  <w:num w:numId="5" w16cid:durableId="1190027516">
    <w:abstractNumId w:val="7"/>
  </w:num>
  <w:num w:numId="6" w16cid:durableId="1353339095">
    <w:abstractNumId w:val="1"/>
  </w:num>
  <w:num w:numId="7" w16cid:durableId="711031825">
    <w:abstractNumId w:val="6"/>
  </w:num>
  <w:num w:numId="8" w16cid:durableId="1483541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948682">
    <w:abstractNumId w:val="3"/>
  </w:num>
  <w:num w:numId="10" w16cid:durableId="553152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0"/>
    <w:rsid w:val="00016DC2"/>
    <w:rsid w:val="000B124B"/>
    <w:rsid w:val="000C33FE"/>
    <w:rsid w:val="000D530D"/>
    <w:rsid w:val="000F5158"/>
    <w:rsid w:val="0010513C"/>
    <w:rsid w:val="001167BD"/>
    <w:rsid w:val="00153F25"/>
    <w:rsid w:val="00171B9B"/>
    <w:rsid w:val="00173277"/>
    <w:rsid w:val="001931CE"/>
    <w:rsid w:val="001B684F"/>
    <w:rsid w:val="001C2411"/>
    <w:rsid w:val="001D30B0"/>
    <w:rsid w:val="001D4B6D"/>
    <w:rsid w:val="001E2867"/>
    <w:rsid w:val="00215202"/>
    <w:rsid w:val="002375C6"/>
    <w:rsid w:val="002E6687"/>
    <w:rsid w:val="003038A4"/>
    <w:rsid w:val="00314D00"/>
    <w:rsid w:val="00317233"/>
    <w:rsid w:val="003317DC"/>
    <w:rsid w:val="00355B83"/>
    <w:rsid w:val="00376DD1"/>
    <w:rsid w:val="00385360"/>
    <w:rsid w:val="003A0CD9"/>
    <w:rsid w:val="003D2380"/>
    <w:rsid w:val="003D2A2F"/>
    <w:rsid w:val="003D42B2"/>
    <w:rsid w:val="003E2501"/>
    <w:rsid w:val="003E7E06"/>
    <w:rsid w:val="00457B68"/>
    <w:rsid w:val="00467F61"/>
    <w:rsid w:val="004B4B33"/>
    <w:rsid w:val="004C1535"/>
    <w:rsid w:val="004C6966"/>
    <w:rsid w:val="004D09F0"/>
    <w:rsid w:val="004D1D34"/>
    <w:rsid w:val="004E1F07"/>
    <w:rsid w:val="004F19FD"/>
    <w:rsid w:val="00530898"/>
    <w:rsid w:val="00537933"/>
    <w:rsid w:val="00544BF1"/>
    <w:rsid w:val="00560E42"/>
    <w:rsid w:val="00561487"/>
    <w:rsid w:val="005624CC"/>
    <w:rsid w:val="00574B8A"/>
    <w:rsid w:val="00580F73"/>
    <w:rsid w:val="00586F79"/>
    <w:rsid w:val="005A028A"/>
    <w:rsid w:val="005E3320"/>
    <w:rsid w:val="006410E4"/>
    <w:rsid w:val="00641B85"/>
    <w:rsid w:val="00650E51"/>
    <w:rsid w:val="00650FD4"/>
    <w:rsid w:val="00655989"/>
    <w:rsid w:val="00672C2D"/>
    <w:rsid w:val="00675B44"/>
    <w:rsid w:val="006A0507"/>
    <w:rsid w:val="006A456C"/>
    <w:rsid w:val="006B3EB9"/>
    <w:rsid w:val="006B6836"/>
    <w:rsid w:val="006C750C"/>
    <w:rsid w:val="00744972"/>
    <w:rsid w:val="00747695"/>
    <w:rsid w:val="0075000D"/>
    <w:rsid w:val="00761723"/>
    <w:rsid w:val="00761D95"/>
    <w:rsid w:val="00772902"/>
    <w:rsid w:val="00775A91"/>
    <w:rsid w:val="00794910"/>
    <w:rsid w:val="007C2D96"/>
    <w:rsid w:val="007C4BD0"/>
    <w:rsid w:val="007F19A7"/>
    <w:rsid w:val="008054A5"/>
    <w:rsid w:val="00832FB9"/>
    <w:rsid w:val="008575C4"/>
    <w:rsid w:val="0086273A"/>
    <w:rsid w:val="00865DC1"/>
    <w:rsid w:val="00893152"/>
    <w:rsid w:val="00897F9E"/>
    <w:rsid w:val="008B6E93"/>
    <w:rsid w:val="008E718C"/>
    <w:rsid w:val="00902726"/>
    <w:rsid w:val="00912AF1"/>
    <w:rsid w:val="00917603"/>
    <w:rsid w:val="00977C50"/>
    <w:rsid w:val="009858D2"/>
    <w:rsid w:val="00992E61"/>
    <w:rsid w:val="00996877"/>
    <w:rsid w:val="009B120F"/>
    <w:rsid w:val="009B4970"/>
    <w:rsid w:val="009C373F"/>
    <w:rsid w:val="009F50E3"/>
    <w:rsid w:val="00A16BF6"/>
    <w:rsid w:val="00A64960"/>
    <w:rsid w:val="00A66CBA"/>
    <w:rsid w:val="00A91875"/>
    <w:rsid w:val="00AE3565"/>
    <w:rsid w:val="00B04D40"/>
    <w:rsid w:val="00B32EAD"/>
    <w:rsid w:val="00B63049"/>
    <w:rsid w:val="00B72C03"/>
    <w:rsid w:val="00B76761"/>
    <w:rsid w:val="00B8090B"/>
    <w:rsid w:val="00B81763"/>
    <w:rsid w:val="00B82CEA"/>
    <w:rsid w:val="00BB6888"/>
    <w:rsid w:val="00BD15D8"/>
    <w:rsid w:val="00BE7495"/>
    <w:rsid w:val="00C000E2"/>
    <w:rsid w:val="00C07747"/>
    <w:rsid w:val="00C45894"/>
    <w:rsid w:val="00C56A66"/>
    <w:rsid w:val="00C76A19"/>
    <w:rsid w:val="00CC1D00"/>
    <w:rsid w:val="00CC7F6F"/>
    <w:rsid w:val="00CF1DF0"/>
    <w:rsid w:val="00D41DB6"/>
    <w:rsid w:val="00D65479"/>
    <w:rsid w:val="00DB1EED"/>
    <w:rsid w:val="00DC13E9"/>
    <w:rsid w:val="00DC2B92"/>
    <w:rsid w:val="00DE44FB"/>
    <w:rsid w:val="00DE75D6"/>
    <w:rsid w:val="00E07424"/>
    <w:rsid w:val="00E312C0"/>
    <w:rsid w:val="00E74765"/>
    <w:rsid w:val="00E758F5"/>
    <w:rsid w:val="00EA56F8"/>
    <w:rsid w:val="00ED14E5"/>
    <w:rsid w:val="00EE4A74"/>
    <w:rsid w:val="00EE52C7"/>
    <w:rsid w:val="00F068CE"/>
    <w:rsid w:val="00F121F3"/>
    <w:rsid w:val="00F144B5"/>
    <w:rsid w:val="00F15BF2"/>
    <w:rsid w:val="00F56EC3"/>
    <w:rsid w:val="00F71F8C"/>
    <w:rsid w:val="00F746AF"/>
    <w:rsid w:val="00F90C55"/>
    <w:rsid w:val="00FC6A07"/>
    <w:rsid w:val="00FE0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15:docId w15:val="{066B6BC0-0E3A-4A05-8854-D65AEF89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00"/>
    <w:pPr>
      <w:spacing w:after="160" w:line="279" w:lineRule="auto"/>
    </w:pPr>
    <w:rPr>
      <w:rFonts w:eastAsiaTheme="minorEastAsia"/>
      <w:lang w:val="es-ES"/>
    </w:rPr>
  </w:style>
  <w:style w:type="paragraph" w:styleId="Ttulo1">
    <w:name w:val="heading 1"/>
    <w:basedOn w:val="Normal"/>
    <w:next w:val="Normal"/>
    <w:link w:val="Ttulo1Car"/>
    <w:uiPriority w:val="9"/>
    <w:qFormat/>
    <w:rsid w:val="00CC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D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D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D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D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D00"/>
    <w:rPr>
      <w:rFonts w:eastAsiaTheme="majorEastAsia" w:cstheme="majorBidi"/>
      <w:color w:val="272727" w:themeColor="text1" w:themeTint="D8"/>
    </w:rPr>
  </w:style>
  <w:style w:type="paragraph" w:styleId="Ttulo">
    <w:name w:val="Title"/>
    <w:basedOn w:val="Normal"/>
    <w:next w:val="Normal"/>
    <w:link w:val="TtuloCar"/>
    <w:uiPriority w:val="10"/>
    <w:qFormat/>
    <w:rsid w:val="00CC1D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D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D00"/>
    <w:pPr>
      <w:spacing w:before="160"/>
      <w:jc w:val="center"/>
    </w:pPr>
    <w:rPr>
      <w:i/>
      <w:iCs/>
      <w:color w:val="404040" w:themeColor="text1" w:themeTint="BF"/>
    </w:rPr>
  </w:style>
  <w:style w:type="character" w:customStyle="1" w:styleId="CitaCar">
    <w:name w:val="Cita Car"/>
    <w:basedOn w:val="Fuentedeprrafopredeter"/>
    <w:link w:val="Cita"/>
    <w:uiPriority w:val="29"/>
    <w:rsid w:val="00CC1D00"/>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CC1D00"/>
    <w:pPr>
      <w:ind w:left="720"/>
      <w:contextualSpacing/>
    </w:pPr>
  </w:style>
  <w:style w:type="character" w:styleId="nfasisintenso">
    <w:name w:val="Intense Emphasis"/>
    <w:basedOn w:val="Fuentedeprrafopredeter"/>
    <w:uiPriority w:val="21"/>
    <w:qFormat/>
    <w:rsid w:val="00CC1D00"/>
    <w:rPr>
      <w:i/>
      <w:iCs/>
      <w:color w:val="0F4761" w:themeColor="accent1" w:themeShade="BF"/>
    </w:rPr>
  </w:style>
  <w:style w:type="paragraph" w:styleId="Citadestacada">
    <w:name w:val="Intense Quote"/>
    <w:basedOn w:val="Normal"/>
    <w:next w:val="Normal"/>
    <w:link w:val="CitadestacadaCar"/>
    <w:uiPriority w:val="30"/>
    <w:qFormat/>
    <w:rsid w:val="00CC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D00"/>
    <w:rPr>
      <w:i/>
      <w:iCs/>
      <w:color w:val="0F4761" w:themeColor="accent1" w:themeShade="BF"/>
    </w:rPr>
  </w:style>
  <w:style w:type="character" w:styleId="Referenciaintensa">
    <w:name w:val="Intense Reference"/>
    <w:basedOn w:val="Fuentedeprrafopredeter"/>
    <w:uiPriority w:val="32"/>
    <w:qFormat/>
    <w:rsid w:val="00CC1D00"/>
    <w:rPr>
      <w:b/>
      <w:bCs/>
      <w:smallCaps/>
      <w:color w:val="0F4761" w:themeColor="accent1" w:themeShade="BF"/>
      <w:spacing w:val="5"/>
    </w:rPr>
  </w:style>
  <w:style w:type="table" w:styleId="Tablaconcuadrcula">
    <w:name w:val="Table Grid"/>
    <w:basedOn w:val="Tablanormal"/>
    <w:uiPriority w:val="39"/>
    <w:rsid w:val="00CC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1D00"/>
    <w:rPr>
      <w:sz w:val="16"/>
      <w:szCs w:val="16"/>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CC1D00"/>
  </w:style>
  <w:style w:type="paragraph" w:styleId="Textonotapie">
    <w:name w:val="footnote text"/>
    <w:basedOn w:val="Normal"/>
    <w:link w:val="TextonotapieCar"/>
    <w:uiPriority w:val="99"/>
    <w:semiHidden/>
    <w:unhideWhenUsed/>
    <w:rsid w:val="00CC1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00"/>
    <w:rPr>
      <w:sz w:val="20"/>
      <w:szCs w:val="20"/>
      <w:lang w:val="es-ES"/>
    </w:rPr>
  </w:style>
  <w:style w:type="character" w:styleId="Refdenotaalpie">
    <w:name w:val="footnote reference"/>
    <w:basedOn w:val="Fuentedeprrafopredeter"/>
    <w:uiPriority w:val="99"/>
    <w:semiHidden/>
    <w:unhideWhenUsed/>
    <w:rsid w:val="00CC1D00"/>
    <w:rPr>
      <w:vertAlign w:val="superscript"/>
    </w:rPr>
  </w:style>
  <w:style w:type="paragraph" w:customStyle="1" w:styleId="s4">
    <w:name w:val="s4"/>
    <w:basedOn w:val="Normal"/>
    <w:rsid w:val="00CC1D00"/>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CC1D00"/>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ES"/>
    </w:rPr>
  </w:style>
  <w:style w:type="paragraph" w:styleId="Revisin">
    <w:name w:val="Revision"/>
    <w:hidden/>
    <w:uiPriority w:val="99"/>
    <w:semiHidden/>
    <w:rsid w:val="000C33FE"/>
    <w:rPr>
      <w:lang w:val="es-ES"/>
    </w:rPr>
  </w:style>
  <w:style w:type="paragraph" w:styleId="Asuntodelcomentario">
    <w:name w:val="annotation subject"/>
    <w:basedOn w:val="Textocomentario"/>
    <w:next w:val="Textocomentario"/>
    <w:link w:val="AsuntodelcomentarioCar"/>
    <w:uiPriority w:val="99"/>
    <w:semiHidden/>
    <w:unhideWhenUsed/>
    <w:rsid w:val="00586F79"/>
    <w:rPr>
      <w:b/>
      <w:bCs/>
    </w:rPr>
  </w:style>
  <w:style w:type="character" w:customStyle="1" w:styleId="AsuntodelcomentarioCar">
    <w:name w:val="Asunto del comentario Car"/>
    <w:basedOn w:val="TextocomentarioCar"/>
    <w:link w:val="Asuntodelcomentario"/>
    <w:uiPriority w:val="99"/>
    <w:semiHidden/>
    <w:rsid w:val="00586F79"/>
    <w:rPr>
      <w:b/>
      <w:bCs/>
      <w:sz w:val="20"/>
      <w:szCs w:val="20"/>
      <w:lang w:val="es-ES"/>
    </w:rPr>
  </w:style>
  <w:style w:type="paragraph" w:styleId="NormalWeb">
    <w:name w:val="Normal (Web)"/>
    <w:basedOn w:val="Normal"/>
    <w:unhideWhenUsed/>
    <w:rsid w:val="007C4BD0"/>
    <w:pPr>
      <w:spacing w:line="259" w:lineRule="auto"/>
    </w:pPr>
    <w:rPr>
      <w:rFonts w:ascii="Times New Roman" w:eastAsiaTheme="minorHAnsi" w:hAnsi="Times New Roman" w:cs="Times New Roman"/>
      <w:kern w:val="2"/>
      <w:lang w:val="es-MX"/>
      <w14:ligatures w14:val="standardContextual"/>
    </w:rPr>
  </w:style>
  <w:style w:type="paragraph" w:styleId="Encabezado">
    <w:name w:val="header"/>
    <w:basedOn w:val="Normal"/>
    <w:link w:val="EncabezadoCar"/>
    <w:uiPriority w:val="99"/>
    <w:unhideWhenUsed/>
    <w:rsid w:val="00641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0E4"/>
    <w:rPr>
      <w:rFonts w:eastAsiaTheme="minorEastAsia"/>
      <w:lang w:val="es-ES"/>
    </w:rPr>
  </w:style>
  <w:style w:type="paragraph" w:styleId="Piedepgina">
    <w:name w:val="footer"/>
    <w:basedOn w:val="Normal"/>
    <w:link w:val="PiedepginaCar"/>
    <w:uiPriority w:val="99"/>
    <w:unhideWhenUsed/>
    <w:rsid w:val="00641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0E4"/>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2269</Words>
  <Characters>12484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Loya Guerrero</dc:creator>
  <cp:keywords/>
  <dc:description/>
  <cp:lastModifiedBy>Mauricio Marquet González</cp:lastModifiedBy>
  <cp:revision>2</cp:revision>
  <cp:lastPrinted>2025-09-04T17:42:00Z</cp:lastPrinted>
  <dcterms:created xsi:type="dcterms:W3CDTF">2025-09-13T01:21:00Z</dcterms:created>
  <dcterms:modified xsi:type="dcterms:W3CDTF">2025-09-13T01:21:00Z</dcterms:modified>
</cp:coreProperties>
</file>