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B80636" w:rsidP="007B1218">
            <w:pPr>
              <w:jc w:val="left"/>
              <w:rPr>
                <w:rFonts w:asciiTheme="minorHAnsi" w:hAnsiTheme="minorHAnsi" w:cstheme="minorHAnsi"/>
              </w:rPr>
            </w:pPr>
            <w:r w:rsidRPr="00B80636">
              <w:rPr>
                <w:rFonts w:asciiTheme="minorHAnsi" w:hAnsiTheme="minorHAnsi" w:cstheme="minorHAnsi"/>
              </w:rPr>
              <w:t>Congreso del Estado de Morelos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B80636" w:rsidP="00537DCD">
            <w:pPr>
              <w:rPr>
                <w:rFonts w:asciiTheme="minorHAnsi" w:hAnsiTheme="minorHAnsi" w:cstheme="minorHAnsi"/>
              </w:rPr>
            </w:pPr>
            <w:r w:rsidRPr="00B80636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cultura jurídica.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B80636" w:rsidP="007B1218">
            <w:pPr>
              <w:jc w:val="left"/>
              <w:rPr>
                <w:rFonts w:asciiTheme="minorHAnsi" w:hAnsiTheme="minorHAnsi" w:cstheme="minorHAnsi"/>
              </w:rPr>
            </w:pPr>
            <w:r w:rsidRPr="00B80636">
              <w:rPr>
                <w:rFonts w:asciiTheme="minorHAnsi" w:hAnsiTheme="minorHAnsi" w:cstheme="minorHAnsi"/>
              </w:rPr>
              <w:t>22-abr-05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B80636" w:rsidP="007B1218">
            <w:pPr>
              <w:jc w:val="left"/>
              <w:rPr>
                <w:rFonts w:asciiTheme="minorHAnsi" w:hAnsiTheme="minorHAnsi" w:cstheme="minorHAnsi"/>
              </w:rPr>
            </w:pPr>
            <w:r w:rsidRPr="00B80636">
              <w:rPr>
                <w:rFonts w:asciiTheme="minorHAnsi" w:hAnsiTheme="minorHAnsi" w:cstheme="minorHAnsi"/>
              </w:rPr>
              <w:t>31-ago-06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B95C30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Uno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1B79EA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Convenio Específico de colaboración que establece las bases para la realización de un Diplomado en Derecho Parlamentario y Deliberación Jurisdiccional con el Congreso del Estado de Morelos.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1B79EA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Establecer las bases para la realización de un Diplomado en Derecho Parlamentario y Deliberación Jurisdiccional, el cual se impartirá en forma coordinada por las personas morales oficiales representadas en el convenio en que se actúa.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1B79EA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08 de mayo de 2006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427"/>
        <w:gridCol w:w="1559"/>
        <w:gridCol w:w="1418"/>
        <w:gridCol w:w="1701"/>
      </w:tblGrid>
      <w:tr w:rsidR="005E03C0" w:rsidRPr="006C5A6E" w:rsidTr="00B85684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42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701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B85684">
        <w:tc>
          <w:tcPr>
            <w:tcW w:w="2448" w:type="dxa"/>
          </w:tcPr>
          <w:p w:rsidR="006832EF" w:rsidRPr="006C5A6E" w:rsidRDefault="00B95C3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en Derecho Procesal Constitucional</w:t>
            </w:r>
          </w:p>
        </w:tc>
        <w:tc>
          <w:tcPr>
            <w:tcW w:w="1620" w:type="dxa"/>
          </w:tcPr>
          <w:p w:rsidR="005E03C0" w:rsidRPr="006C5A6E" w:rsidRDefault="003926FD" w:rsidP="003926F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Tribunal Superior de Justicia del Estado de Morelos, Universidad Autónoma del Estado de Morelos y </w:t>
            </w:r>
            <w:r w:rsidRPr="003926FD">
              <w:rPr>
                <w:rFonts w:asciiTheme="minorHAnsi" w:hAnsiTheme="minorHAnsi" w:cstheme="minorHAnsi"/>
              </w:rPr>
              <w:t xml:space="preserve">Casa de la Cultura </w:t>
            </w:r>
            <w:r w:rsidRPr="003926FD">
              <w:rPr>
                <w:rFonts w:asciiTheme="minorHAnsi" w:hAnsiTheme="minorHAnsi" w:cstheme="minorHAnsi"/>
              </w:rPr>
              <w:lastRenderedPageBreak/>
              <w:t>Jurídica “Ministro Teófilo Olea y Leyva”</w:t>
            </w:r>
          </w:p>
        </w:tc>
        <w:tc>
          <w:tcPr>
            <w:tcW w:w="1427" w:type="dxa"/>
          </w:tcPr>
          <w:p w:rsidR="005E03C0" w:rsidRPr="006C5A6E" w:rsidRDefault="006F095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11 de </w:t>
            </w:r>
            <w:r w:rsidR="00C076E6">
              <w:rPr>
                <w:rFonts w:asciiTheme="minorHAnsi" w:hAnsiTheme="minorHAnsi" w:cstheme="minorHAnsi"/>
              </w:rPr>
              <w:t xml:space="preserve">Mayo de </w:t>
            </w:r>
            <w:r w:rsidR="003926FD">
              <w:rPr>
                <w:rFonts w:asciiTheme="minorHAnsi" w:hAnsiTheme="minorHAnsi" w:cstheme="minorHAnsi"/>
              </w:rPr>
              <w:t>2005</w:t>
            </w:r>
          </w:p>
        </w:tc>
        <w:tc>
          <w:tcPr>
            <w:tcW w:w="1559" w:type="dxa"/>
          </w:tcPr>
          <w:p w:rsidR="005E03C0" w:rsidRPr="006C5A6E" w:rsidRDefault="006F095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 de </w:t>
            </w:r>
            <w:r w:rsidR="00C076E6">
              <w:rPr>
                <w:rFonts w:asciiTheme="minorHAnsi" w:hAnsiTheme="minorHAnsi" w:cstheme="minorHAnsi"/>
              </w:rPr>
              <w:t xml:space="preserve">Septiembre de </w:t>
            </w:r>
            <w:r w:rsidR="003926FD">
              <w:rPr>
                <w:rFonts w:asciiTheme="minorHAnsi" w:hAnsiTheme="minorHAnsi" w:cstheme="minorHAnsi"/>
              </w:rPr>
              <w:t>2005</w:t>
            </w:r>
          </w:p>
        </w:tc>
        <w:tc>
          <w:tcPr>
            <w:tcW w:w="1418" w:type="dxa"/>
          </w:tcPr>
          <w:p w:rsidR="005E03C0" w:rsidRPr="006C5A6E" w:rsidRDefault="00C076E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$77,821.50</w:t>
            </w:r>
          </w:p>
        </w:tc>
        <w:tc>
          <w:tcPr>
            <w:tcW w:w="1701" w:type="dxa"/>
          </w:tcPr>
          <w:p w:rsidR="005E03C0" w:rsidRPr="006C5A6E" w:rsidRDefault="00C076E6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$57,771.09</w:t>
            </w:r>
          </w:p>
        </w:tc>
      </w:tr>
      <w:tr w:rsidR="003926FD" w:rsidRPr="006C5A6E" w:rsidTr="00B85684">
        <w:tc>
          <w:tcPr>
            <w:tcW w:w="2448" w:type="dxa"/>
          </w:tcPr>
          <w:p w:rsidR="003926FD" w:rsidRPr="006C5A6E" w:rsidRDefault="003926FD" w:rsidP="003A22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Parlamento de Mujeres de Morelos</w:t>
            </w:r>
          </w:p>
        </w:tc>
        <w:tc>
          <w:tcPr>
            <w:tcW w:w="1620" w:type="dxa"/>
          </w:tcPr>
          <w:p w:rsidR="003926FD" w:rsidRPr="006C5A6E" w:rsidRDefault="003926FD" w:rsidP="003A22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Congreso del Estado de Morelos y Casa de la Cultura Jurídica “Ministro Teófilo Olea y Leyva”</w:t>
            </w:r>
          </w:p>
        </w:tc>
        <w:tc>
          <w:tcPr>
            <w:tcW w:w="1427" w:type="dxa"/>
          </w:tcPr>
          <w:p w:rsidR="003926FD" w:rsidRPr="006C5A6E" w:rsidRDefault="006F0958" w:rsidP="006F09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02 de Marzo de </w:t>
            </w:r>
            <w:r w:rsidR="003926FD">
              <w:rPr>
                <w:rFonts w:asciiTheme="minorHAnsi" w:hAnsiTheme="minorHAnsi" w:cstheme="minorHAnsi"/>
              </w:rPr>
              <w:t xml:space="preserve">2005 y </w:t>
            </w:r>
            <w:r>
              <w:rPr>
                <w:rFonts w:asciiTheme="minorHAnsi" w:hAnsiTheme="minorHAnsi" w:cstheme="minorHAnsi"/>
              </w:rPr>
              <w:t xml:space="preserve">23 de Enero de </w:t>
            </w:r>
            <w:r w:rsidR="003926FD">
              <w:rPr>
                <w:rFonts w:asciiTheme="minorHAnsi" w:hAnsiTheme="minorHAnsi" w:cstheme="minorHAnsi"/>
              </w:rPr>
              <w:t>2006</w:t>
            </w:r>
          </w:p>
        </w:tc>
        <w:tc>
          <w:tcPr>
            <w:tcW w:w="1559" w:type="dxa"/>
          </w:tcPr>
          <w:p w:rsidR="003926FD" w:rsidRPr="006C5A6E" w:rsidRDefault="006F0958" w:rsidP="003A22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02 de Marzo de </w:t>
            </w:r>
            <w:r w:rsidR="003926FD">
              <w:rPr>
                <w:rFonts w:asciiTheme="minorHAnsi" w:hAnsiTheme="minorHAnsi" w:cstheme="minorHAnsi"/>
              </w:rPr>
              <w:t xml:space="preserve">2005 y </w:t>
            </w:r>
            <w:r>
              <w:rPr>
                <w:rFonts w:asciiTheme="minorHAnsi" w:hAnsiTheme="minorHAnsi" w:cstheme="minorHAnsi"/>
              </w:rPr>
              <w:t xml:space="preserve">23 de Enero de </w:t>
            </w:r>
            <w:r w:rsidR="003926FD">
              <w:rPr>
                <w:rFonts w:asciiTheme="minorHAnsi" w:hAnsiTheme="minorHAnsi" w:cstheme="minorHAnsi"/>
              </w:rPr>
              <w:t>2006</w:t>
            </w:r>
          </w:p>
        </w:tc>
        <w:tc>
          <w:tcPr>
            <w:tcW w:w="1418" w:type="dxa"/>
          </w:tcPr>
          <w:p w:rsidR="003926FD" w:rsidRPr="006C5A6E" w:rsidRDefault="003926FD" w:rsidP="003A22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701" w:type="dxa"/>
          </w:tcPr>
          <w:p w:rsidR="003926FD" w:rsidRPr="006C5A6E" w:rsidRDefault="003926FD" w:rsidP="003A2270">
            <w:pPr>
              <w:rPr>
                <w:rFonts w:asciiTheme="minorHAnsi" w:hAnsiTheme="minorHAnsi" w:cstheme="minorHAnsi"/>
              </w:rPr>
            </w:pPr>
          </w:p>
        </w:tc>
      </w:tr>
      <w:tr w:rsidR="00B95C30" w:rsidRPr="006C5A6E" w:rsidTr="00B85684">
        <w:tc>
          <w:tcPr>
            <w:tcW w:w="2448" w:type="dxa"/>
          </w:tcPr>
          <w:p w:rsidR="00B95C30" w:rsidRPr="006C5A6E" w:rsidRDefault="00B95C30" w:rsidP="00B95C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en Derecho Parlamentario y Deliberación Jurisdiccional</w:t>
            </w:r>
          </w:p>
        </w:tc>
        <w:tc>
          <w:tcPr>
            <w:tcW w:w="1620" w:type="dxa"/>
          </w:tcPr>
          <w:p w:rsidR="00B95C30" w:rsidRPr="006C5A6E" w:rsidRDefault="003926FD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Congreso del Estado de Morelos y Casa de la Cultura Jurídica “Ministro Teófilo Olea y Leyva”</w:t>
            </w:r>
          </w:p>
        </w:tc>
        <w:tc>
          <w:tcPr>
            <w:tcW w:w="1427" w:type="dxa"/>
          </w:tcPr>
          <w:p w:rsidR="00B95C30" w:rsidRPr="006C5A6E" w:rsidRDefault="006F0958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18 de </w:t>
            </w:r>
            <w:r w:rsidR="003926FD">
              <w:rPr>
                <w:rFonts w:asciiTheme="minorHAnsi" w:hAnsiTheme="minorHAnsi" w:cstheme="minorHAnsi"/>
              </w:rPr>
              <w:t>Mayo de 2006</w:t>
            </w:r>
          </w:p>
        </w:tc>
        <w:tc>
          <w:tcPr>
            <w:tcW w:w="1559" w:type="dxa"/>
          </w:tcPr>
          <w:p w:rsidR="00B95C30" w:rsidRPr="006C5A6E" w:rsidRDefault="006F0958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12 de </w:t>
            </w:r>
            <w:r w:rsidR="003926FD">
              <w:rPr>
                <w:rFonts w:asciiTheme="minorHAnsi" w:hAnsiTheme="minorHAnsi" w:cstheme="minorHAnsi"/>
              </w:rPr>
              <w:t>Julio de 2006</w:t>
            </w:r>
          </w:p>
        </w:tc>
        <w:tc>
          <w:tcPr>
            <w:tcW w:w="1418" w:type="dxa"/>
          </w:tcPr>
          <w:p w:rsidR="00B95C30" w:rsidRPr="006C5A6E" w:rsidRDefault="00B85684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$40,473.00</w:t>
            </w:r>
          </w:p>
        </w:tc>
        <w:tc>
          <w:tcPr>
            <w:tcW w:w="1701" w:type="dxa"/>
          </w:tcPr>
          <w:p w:rsidR="00B95C30" w:rsidRPr="006C5A6E" w:rsidRDefault="00B85684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$29,653.00</w:t>
            </w:r>
          </w:p>
        </w:tc>
      </w:tr>
      <w:tr w:rsidR="00B95C30" w:rsidRPr="006C5A6E" w:rsidTr="00B85684">
        <w:tc>
          <w:tcPr>
            <w:tcW w:w="2448" w:type="dxa"/>
          </w:tcPr>
          <w:p w:rsidR="00B95C30" w:rsidRPr="006C5A6E" w:rsidRDefault="00B95C30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Competencia Legislativa Local frente al Régimen Constitucional</w:t>
            </w:r>
          </w:p>
        </w:tc>
        <w:tc>
          <w:tcPr>
            <w:tcW w:w="1620" w:type="dxa"/>
          </w:tcPr>
          <w:p w:rsidR="00B95C30" w:rsidRPr="006C5A6E" w:rsidRDefault="003926FD" w:rsidP="004661CF">
            <w:pPr>
              <w:rPr>
                <w:rFonts w:asciiTheme="minorHAnsi" w:hAnsiTheme="minorHAnsi" w:cstheme="minorHAnsi"/>
              </w:rPr>
            </w:pPr>
            <w:r w:rsidRPr="003926FD">
              <w:rPr>
                <w:rFonts w:asciiTheme="minorHAnsi" w:hAnsiTheme="minorHAnsi" w:cstheme="minorHAnsi"/>
              </w:rPr>
              <w:t>Congreso del Estado de Morelos y Casa de la Cultura Jurídica “Ministro Teófilo Olea y Leyva”</w:t>
            </w:r>
          </w:p>
        </w:tc>
        <w:tc>
          <w:tcPr>
            <w:tcW w:w="1427" w:type="dxa"/>
          </w:tcPr>
          <w:p w:rsidR="00B95C30" w:rsidRDefault="006F0958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16 de </w:t>
            </w:r>
            <w:r w:rsidR="003926FD">
              <w:rPr>
                <w:rFonts w:asciiTheme="minorHAnsi" w:hAnsiTheme="minorHAnsi" w:cstheme="minorHAnsi"/>
              </w:rPr>
              <w:t>Noviembre de 2006</w:t>
            </w:r>
          </w:p>
          <w:p w:rsidR="002753C9" w:rsidRDefault="002753C9" w:rsidP="004661CF">
            <w:pPr>
              <w:rPr>
                <w:rFonts w:asciiTheme="minorHAnsi" w:hAnsiTheme="minorHAnsi" w:cstheme="minorHAnsi"/>
              </w:rPr>
            </w:pPr>
          </w:p>
          <w:p w:rsidR="002753C9" w:rsidRPr="006C5A6E" w:rsidRDefault="002753C9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*(Evento acordado durante la vigencia del convenio y realizado posterior a su vigencia)</w:t>
            </w:r>
          </w:p>
        </w:tc>
        <w:tc>
          <w:tcPr>
            <w:tcW w:w="1559" w:type="dxa"/>
          </w:tcPr>
          <w:p w:rsidR="00B95C30" w:rsidRPr="006C5A6E" w:rsidRDefault="006F0958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08 de </w:t>
            </w:r>
            <w:r w:rsidR="003926FD">
              <w:rPr>
                <w:rFonts w:asciiTheme="minorHAnsi" w:hAnsiTheme="minorHAnsi" w:cstheme="minorHAnsi"/>
              </w:rPr>
              <w:t>Diciembre de 2006</w:t>
            </w:r>
          </w:p>
        </w:tc>
        <w:tc>
          <w:tcPr>
            <w:tcW w:w="1418" w:type="dxa"/>
          </w:tcPr>
          <w:p w:rsidR="00B95C30" w:rsidRPr="006C5A6E" w:rsidRDefault="00B85684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701" w:type="dxa"/>
          </w:tcPr>
          <w:p w:rsidR="00B95C30" w:rsidRPr="006C5A6E" w:rsidRDefault="00B95C30" w:rsidP="004661CF">
            <w:pPr>
              <w:rPr>
                <w:rFonts w:asciiTheme="minorHAnsi" w:hAnsiTheme="minorHAnsi" w:cstheme="minorHAnsi"/>
              </w:rPr>
            </w:pPr>
          </w:p>
        </w:tc>
      </w:tr>
      <w:tr w:rsidR="00B95C30" w:rsidRPr="006C5A6E" w:rsidTr="00B85684">
        <w:tc>
          <w:tcPr>
            <w:tcW w:w="2448" w:type="dxa"/>
          </w:tcPr>
          <w:p w:rsidR="00B95C30" w:rsidRPr="006C5A6E" w:rsidRDefault="00B95C30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Ciclo de Conferencias Democracia y Gobiernos Divididos</w:t>
            </w:r>
          </w:p>
        </w:tc>
        <w:tc>
          <w:tcPr>
            <w:tcW w:w="1620" w:type="dxa"/>
          </w:tcPr>
          <w:p w:rsidR="00B95C30" w:rsidRPr="006C5A6E" w:rsidRDefault="003926FD" w:rsidP="004661CF">
            <w:pPr>
              <w:rPr>
                <w:rFonts w:asciiTheme="minorHAnsi" w:hAnsiTheme="minorHAnsi" w:cstheme="minorHAnsi"/>
              </w:rPr>
            </w:pPr>
            <w:r w:rsidRPr="003926FD">
              <w:rPr>
                <w:rFonts w:asciiTheme="minorHAnsi" w:hAnsiTheme="minorHAnsi" w:cstheme="minorHAnsi"/>
              </w:rPr>
              <w:t>Congreso del Estado de Morelos y Casa de la Cultura Jurídica “Ministro Teófilo Olea y Leyva”</w:t>
            </w:r>
          </w:p>
        </w:tc>
        <w:tc>
          <w:tcPr>
            <w:tcW w:w="1427" w:type="dxa"/>
          </w:tcPr>
          <w:p w:rsidR="00B95C30" w:rsidRDefault="006F0958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17 de </w:t>
            </w:r>
            <w:r w:rsidR="003926FD">
              <w:rPr>
                <w:rFonts w:asciiTheme="minorHAnsi" w:hAnsiTheme="minorHAnsi" w:cstheme="minorHAnsi"/>
              </w:rPr>
              <w:t>Enero de 2007</w:t>
            </w:r>
          </w:p>
          <w:p w:rsidR="002753C9" w:rsidRDefault="002753C9" w:rsidP="004661CF">
            <w:pPr>
              <w:rPr>
                <w:rFonts w:asciiTheme="minorHAnsi" w:hAnsiTheme="minorHAnsi" w:cstheme="minorHAnsi"/>
              </w:rPr>
            </w:pPr>
          </w:p>
          <w:p w:rsidR="002753C9" w:rsidRPr="006C5A6E" w:rsidRDefault="002753C9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*(Evento acordado durante la vigencia del convenio y realizado posterior a su vigencia)</w:t>
            </w:r>
          </w:p>
        </w:tc>
        <w:tc>
          <w:tcPr>
            <w:tcW w:w="1559" w:type="dxa"/>
          </w:tcPr>
          <w:p w:rsidR="00B95C30" w:rsidRPr="006C5A6E" w:rsidRDefault="006F0958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17 de </w:t>
            </w:r>
            <w:r w:rsidR="003926FD">
              <w:rPr>
                <w:rFonts w:asciiTheme="minorHAnsi" w:hAnsiTheme="minorHAnsi" w:cstheme="minorHAnsi"/>
              </w:rPr>
              <w:t>Enero de 2007</w:t>
            </w:r>
          </w:p>
        </w:tc>
        <w:tc>
          <w:tcPr>
            <w:tcW w:w="1418" w:type="dxa"/>
          </w:tcPr>
          <w:p w:rsidR="00B95C30" w:rsidRPr="006C5A6E" w:rsidRDefault="00B85684" w:rsidP="004661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</w:t>
            </w:r>
          </w:p>
        </w:tc>
        <w:tc>
          <w:tcPr>
            <w:tcW w:w="1701" w:type="dxa"/>
          </w:tcPr>
          <w:p w:rsidR="00B95C30" w:rsidRPr="006C5A6E" w:rsidRDefault="00B95C30" w:rsidP="004661CF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lastRenderedPageBreak/>
        <w:t>¿Qué utilidad tuvo el convenio para el área y/o la SCJN?</w:t>
      </w:r>
    </w:p>
    <w:p w:rsidR="00716777" w:rsidRDefault="00716777" w:rsidP="00A92C8B">
      <w:pPr>
        <w:ind w:right="-235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</w:rPr>
        <w:t>Por</w:t>
      </w:r>
      <w:r>
        <w:rPr>
          <w:rFonts w:asciiTheme="minorHAnsi" w:hAnsiTheme="minorHAnsi" w:cstheme="minorHAnsi"/>
          <w:lang w:val="es-ES"/>
        </w:rPr>
        <w:t xml:space="preserve"> </w:t>
      </w:r>
      <w:r w:rsidRPr="00716777">
        <w:rPr>
          <w:rFonts w:asciiTheme="minorHAnsi" w:hAnsiTheme="minorHAnsi" w:cstheme="minorHAnsi"/>
          <w:lang w:val="es-ES"/>
        </w:rPr>
        <w:t>tratarse de uno de los tres poderes del estado de Morelos que por su representación, su</w:t>
      </w:r>
      <w:r>
        <w:rPr>
          <w:rFonts w:asciiTheme="minorHAnsi" w:hAnsiTheme="minorHAnsi" w:cstheme="minorHAnsi"/>
          <w:lang w:val="es-ES"/>
        </w:rPr>
        <w:t xml:space="preserve">s </w:t>
      </w:r>
      <w:r w:rsidRPr="00716777">
        <w:rPr>
          <w:rFonts w:asciiTheme="minorHAnsi" w:hAnsiTheme="minorHAnsi" w:cstheme="minorHAnsi"/>
          <w:lang w:val="es-ES"/>
        </w:rPr>
        <w:t xml:space="preserve"> recursos y s</w:t>
      </w:r>
      <w:r>
        <w:rPr>
          <w:rFonts w:asciiTheme="minorHAnsi" w:hAnsiTheme="minorHAnsi" w:cstheme="minorHAnsi"/>
          <w:lang w:val="es-ES"/>
        </w:rPr>
        <w:t>u  infraestructura, las actividades realizadas en el marco de este convenio, nos permitieron</w:t>
      </w:r>
      <w:r w:rsidRPr="00716777">
        <w:rPr>
          <w:rFonts w:asciiTheme="minorHAnsi" w:hAnsiTheme="minorHAnsi" w:cstheme="minorHAnsi"/>
          <w:lang w:val="es-ES"/>
        </w:rPr>
        <w:t xml:space="preserve"> potenciar los alcances de las labores de difusión de la cultura jurídica</w:t>
      </w:r>
      <w:r>
        <w:rPr>
          <w:rFonts w:asciiTheme="minorHAnsi" w:hAnsiTheme="minorHAnsi" w:cstheme="minorHAnsi"/>
          <w:lang w:val="es-ES"/>
        </w:rPr>
        <w:t xml:space="preserve"> </w:t>
      </w:r>
      <w:r w:rsidRPr="00716777">
        <w:rPr>
          <w:rFonts w:asciiTheme="minorHAnsi" w:hAnsiTheme="minorHAnsi" w:cstheme="minorHAnsi"/>
          <w:lang w:val="es-ES"/>
        </w:rPr>
        <w:t>que la Casa de la Cultura Jurídica realiza en el estado de Morelos</w:t>
      </w:r>
      <w:r>
        <w:rPr>
          <w:rFonts w:asciiTheme="minorHAnsi" w:hAnsiTheme="minorHAnsi" w:cstheme="minorHAnsi"/>
          <w:lang w:val="es-ES"/>
        </w:rPr>
        <w:t xml:space="preserve">. </w:t>
      </w:r>
    </w:p>
    <w:p w:rsidR="00033BB4" w:rsidRPr="00716777" w:rsidRDefault="00716777" w:rsidP="00716777">
      <w:pPr>
        <w:ind w:right="-235"/>
        <w:rPr>
          <w:rFonts w:asciiTheme="minorHAnsi" w:hAnsiTheme="minorHAnsi" w:cstheme="minorHAnsi"/>
          <w:lang w:val="es-ES"/>
        </w:rPr>
      </w:pPr>
      <w:r w:rsidRPr="00716777">
        <w:rPr>
          <w:rFonts w:asciiTheme="minorHAnsi" w:hAnsiTheme="minorHAnsi" w:cstheme="minorHAnsi"/>
          <w:lang w:val="es-ES"/>
        </w:rPr>
        <w:t xml:space="preserve">También, nos permitirá eficientar el uso de los recursos destinados a los eventos de promoción y difusión de la cultura jurídica </w:t>
      </w:r>
      <w:r>
        <w:rPr>
          <w:rFonts w:asciiTheme="minorHAnsi" w:hAnsiTheme="minorHAnsi" w:cstheme="minorHAnsi"/>
          <w:lang w:val="es-ES"/>
        </w:rPr>
        <w:t xml:space="preserve">que se realizaron </w:t>
      </w:r>
      <w:r w:rsidRPr="00716777">
        <w:rPr>
          <w:rFonts w:asciiTheme="minorHAnsi" w:hAnsiTheme="minorHAnsi" w:cstheme="minorHAnsi"/>
          <w:lang w:val="es-ES"/>
        </w:rPr>
        <w:t>de manera conj</w:t>
      </w:r>
      <w:r>
        <w:rPr>
          <w:rFonts w:asciiTheme="minorHAnsi" w:hAnsiTheme="minorHAnsi" w:cstheme="minorHAnsi"/>
          <w:lang w:val="es-ES"/>
        </w:rPr>
        <w:t xml:space="preserve">unta, toda vez que se logró </w:t>
      </w:r>
      <w:r w:rsidRPr="00716777">
        <w:rPr>
          <w:rFonts w:asciiTheme="minorHAnsi" w:hAnsiTheme="minorHAnsi" w:cstheme="minorHAnsi"/>
          <w:lang w:val="es-ES"/>
        </w:rPr>
        <w:t xml:space="preserve">la colaboración del Congreso del estado de Morelos en los gastos derivados de los mismos, así como la utilización de </w:t>
      </w:r>
      <w:r>
        <w:rPr>
          <w:rFonts w:asciiTheme="minorHAnsi" w:hAnsiTheme="minorHAnsi" w:cstheme="minorHAnsi"/>
          <w:lang w:val="es-ES"/>
        </w:rPr>
        <w:t xml:space="preserve">sus </w:t>
      </w:r>
      <w:r w:rsidRPr="00716777">
        <w:rPr>
          <w:rFonts w:asciiTheme="minorHAnsi" w:hAnsiTheme="minorHAnsi" w:cstheme="minorHAnsi"/>
          <w:lang w:val="es-ES"/>
        </w:rPr>
        <w:t>espacios para la realización de los mismos.</w:t>
      </w:r>
      <w:r w:rsidR="00033BB4">
        <w:rPr>
          <w:rFonts w:asciiTheme="minorHAnsi" w:hAnsiTheme="minorHAnsi" w:cstheme="minorHAnsi"/>
          <w:lang w:val="es-ES"/>
        </w:rPr>
        <w:t xml:space="preserve"> </w:t>
      </w:r>
    </w:p>
    <w:p w:rsidR="00033BB4" w:rsidRPr="00033BB4" w:rsidRDefault="00716777" w:rsidP="00033BB4">
      <w:pPr>
        <w:ind w:right="-235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Además,  e</w:t>
      </w:r>
      <w:r w:rsidR="002753C9">
        <w:rPr>
          <w:rFonts w:asciiTheme="minorHAnsi" w:hAnsiTheme="minorHAnsi" w:cstheme="minorHAnsi"/>
        </w:rPr>
        <w:t xml:space="preserve">l convenio fue de utilidad para la institución porque </w:t>
      </w:r>
      <w:r w:rsidR="00033BB4">
        <w:rPr>
          <w:rFonts w:asciiTheme="minorHAnsi" w:hAnsiTheme="minorHAnsi" w:cstheme="minorHAnsi"/>
        </w:rPr>
        <w:t>formalizó</w:t>
      </w:r>
      <w:r w:rsidR="002753C9">
        <w:rPr>
          <w:rFonts w:asciiTheme="minorHAnsi" w:hAnsiTheme="minorHAnsi" w:cstheme="minorHAnsi"/>
        </w:rPr>
        <w:t xml:space="preserve"> el intercambio de información </w:t>
      </w:r>
      <w:r w:rsidR="00033BB4">
        <w:rPr>
          <w:rFonts w:asciiTheme="minorHAnsi" w:hAnsiTheme="minorHAnsi" w:cstheme="minorHAnsi"/>
        </w:rPr>
        <w:t>jurídico-</w:t>
      </w:r>
      <w:r w:rsidR="002753C9">
        <w:rPr>
          <w:rFonts w:asciiTheme="minorHAnsi" w:hAnsiTheme="minorHAnsi" w:cstheme="minorHAnsi"/>
        </w:rPr>
        <w:t>legislativa que es de utilidad para la SCJN de manera sistem</w:t>
      </w:r>
      <w:r>
        <w:rPr>
          <w:rFonts w:asciiTheme="minorHAnsi" w:hAnsiTheme="minorHAnsi" w:cstheme="minorHAnsi"/>
        </w:rPr>
        <w:t>ática y no discrecional</w:t>
      </w:r>
      <w:r w:rsidR="00033BB4">
        <w:rPr>
          <w:rFonts w:asciiTheme="minorHAnsi" w:hAnsiTheme="minorHAnsi" w:cstheme="minorHAnsi"/>
        </w:rPr>
        <w:t xml:space="preserve">. Lo que nos permitió atender con mayor oportunidad los requerimientos específicos </w:t>
      </w:r>
      <w:r w:rsidR="00033BB4">
        <w:rPr>
          <w:rFonts w:asciiTheme="minorHAnsi" w:hAnsiTheme="minorHAnsi" w:cstheme="minorHAnsi"/>
          <w:lang w:val="es-ES"/>
        </w:rPr>
        <w:t>que en  materia legislativa son solicitadas por diversas áreas del  Alto Tribunal.</w:t>
      </w:r>
    </w:p>
    <w:p w:rsidR="00716777" w:rsidRPr="00033BB4" w:rsidRDefault="00716777" w:rsidP="00A92C8B">
      <w:pPr>
        <w:ind w:right="-235"/>
        <w:rPr>
          <w:rFonts w:asciiTheme="minorHAnsi" w:hAnsiTheme="minorHAnsi" w:cstheme="minorHAnsi"/>
          <w:lang w:val="es-ES"/>
        </w:rPr>
      </w:pPr>
    </w:p>
    <w:p w:rsidR="00716777" w:rsidRDefault="00716777" w:rsidP="00A92C8B">
      <w:pPr>
        <w:ind w:right="-235"/>
        <w:rPr>
          <w:rFonts w:asciiTheme="minorHAnsi" w:hAnsiTheme="minorHAnsi" w:cstheme="minorHAnsi"/>
        </w:rPr>
      </w:pP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5A5" w:rsidRDefault="00B375A5" w:rsidP="00E64D5D">
      <w:r>
        <w:separator/>
      </w:r>
    </w:p>
  </w:endnote>
  <w:endnote w:type="continuationSeparator" w:id="0">
    <w:p w:rsidR="00B375A5" w:rsidRDefault="00B375A5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763A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763A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5A5" w:rsidRDefault="00B375A5" w:rsidP="00E64D5D">
      <w:r>
        <w:separator/>
      </w:r>
    </w:p>
  </w:footnote>
  <w:footnote w:type="continuationSeparator" w:id="0">
    <w:p w:rsidR="00B375A5" w:rsidRDefault="00B375A5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10843"/>
    <w:rsid w:val="00023435"/>
    <w:rsid w:val="00033BB4"/>
    <w:rsid w:val="0003558F"/>
    <w:rsid w:val="00045E40"/>
    <w:rsid w:val="00095030"/>
    <w:rsid w:val="000A273E"/>
    <w:rsid w:val="000B4F42"/>
    <w:rsid w:val="000B6044"/>
    <w:rsid w:val="00115C27"/>
    <w:rsid w:val="00161BD9"/>
    <w:rsid w:val="00195A93"/>
    <w:rsid w:val="001B17D1"/>
    <w:rsid w:val="001B20B2"/>
    <w:rsid w:val="001B78D5"/>
    <w:rsid w:val="001B79EA"/>
    <w:rsid w:val="001C3104"/>
    <w:rsid w:val="001D4835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753C9"/>
    <w:rsid w:val="00291262"/>
    <w:rsid w:val="0029234C"/>
    <w:rsid w:val="002E54DA"/>
    <w:rsid w:val="002F0ECD"/>
    <w:rsid w:val="003110A5"/>
    <w:rsid w:val="003318FF"/>
    <w:rsid w:val="00360745"/>
    <w:rsid w:val="00374CA7"/>
    <w:rsid w:val="00377A6A"/>
    <w:rsid w:val="00390248"/>
    <w:rsid w:val="00390EB8"/>
    <w:rsid w:val="003926FD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B248B"/>
    <w:rsid w:val="004C6B2B"/>
    <w:rsid w:val="00502AC5"/>
    <w:rsid w:val="005136B2"/>
    <w:rsid w:val="005241FC"/>
    <w:rsid w:val="005277AC"/>
    <w:rsid w:val="005368BF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0958"/>
    <w:rsid w:val="006F5234"/>
    <w:rsid w:val="00714DC9"/>
    <w:rsid w:val="00716777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25C13"/>
    <w:rsid w:val="00876282"/>
    <w:rsid w:val="008763AE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3668B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5A5"/>
    <w:rsid w:val="00B37EF3"/>
    <w:rsid w:val="00B50CC7"/>
    <w:rsid w:val="00B620C2"/>
    <w:rsid w:val="00B72A09"/>
    <w:rsid w:val="00B80636"/>
    <w:rsid w:val="00B81016"/>
    <w:rsid w:val="00B81555"/>
    <w:rsid w:val="00B85684"/>
    <w:rsid w:val="00B95C30"/>
    <w:rsid w:val="00BA4171"/>
    <w:rsid w:val="00BB18CC"/>
    <w:rsid w:val="00BB3509"/>
    <w:rsid w:val="00BB696E"/>
    <w:rsid w:val="00BD4A30"/>
    <w:rsid w:val="00BE45F5"/>
    <w:rsid w:val="00C02482"/>
    <w:rsid w:val="00C068CE"/>
    <w:rsid w:val="00C076E6"/>
    <w:rsid w:val="00C32EE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4CAE"/>
    <w:rsid w:val="00CF557C"/>
    <w:rsid w:val="00D12BF0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B2783-EF81-4606-908B-212C2BD9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2015-08-18T17:00:00Z</dcterms:created>
  <dcterms:modified xsi:type="dcterms:W3CDTF">2015-08-18T17:00:00Z</dcterms:modified>
</cp:coreProperties>
</file>