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504792" w:rsidP="007B1218">
            <w:pPr>
              <w:jc w:val="left"/>
              <w:rPr>
                <w:rFonts w:asciiTheme="minorHAnsi" w:hAnsiTheme="minorHAnsi" w:cstheme="minorHAnsi"/>
              </w:rPr>
            </w:pPr>
            <w:r w:rsidRPr="00504792">
              <w:rPr>
                <w:rFonts w:asciiTheme="minorHAnsi" w:hAnsiTheme="minorHAnsi" w:cstheme="minorHAnsi"/>
              </w:rPr>
              <w:t>Universidad Autónoma de Chihuahua</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504792" w:rsidP="00537DCD">
            <w:pPr>
              <w:rPr>
                <w:rFonts w:asciiTheme="minorHAnsi" w:hAnsiTheme="minorHAnsi" w:cstheme="minorHAnsi"/>
              </w:rPr>
            </w:pPr>
            <w:r w:rsidRPr="00504792">
              <w:rPr>
                <w:rFonts w:asciiTheme="minorHAnsi" w:hAnsiTheme="minorHAnsi" w:cstheme="minorHAnsi"/>
              </w:rPr>
              <w:t>Establecer las bases para que ambas instituciones realicen conjuntamente acciones de investigación y difusión.</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04-abr-05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050BB7" w:rsidP="007B1218">
            <w:pPr>
              <w:jc w:val="left"/>
              <w:rPr>
                <w:rFonts w:asciiTheme="minorHAnsi" w:hAnsiTheme="minorHAnsi" w:cstheme="minorHAnsi"/>
              </w:rPr>
            </w:pPr>
            <w:r>
              <w:rPr>
                <w:rFonts w:asciiTheme="minorHAnsi" w:hAnsiTheme="minorHAnsi" w:cstheme="minorHAnsi"/>
              </w:rPr>
              <w:t>N/A</w:t>
            </w: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050BB7" w:rsidP="007B1218">
            <w:pPr>
              <w:jc w:val="center"/>
              <w:rPr>
                <w:rFonts w:asciiTheme="minorHAnsi" w:hAnsiTheme="minorHAnsi" w:cstheme="minorHAnsi"/>
              </w:rPr>
            </w:pPr>
            <w:r>
              <w:rPr>
                <w:rFonts w:asciiTheme="minorHAnsi" w:hAnsiTheme="minorHAnsi" w:cstheme="minorHAnsi"/>
              </w:rPr>
              <w:t>N/A</w:t>
            </w:r>
          </w:p>
        </w:tc>
        <w:tc>
          <w:tcPr>
            <w:tcW w:w="2835" w:type="dxa"/>
            <w:shd w:val="clear" w:color="auto" w:fill="auto"/>
            <w:vAlign w:val="center"/>
          </w:tcPr>
          <w:p w:rsidR="005E03C0" w:rsidRPr="006C5A6E" w:rsidRDefault="00050BB7" w:rsidP="007B1218">
            <w:pPr>
              <w:jc w:val="center"/>
              <w:rPr>
                <w:rFonts w:asciiTheme="minorHAnsi" w:hAnsiTheme="minorHAnsi" w:cstheme="minorHAnsi"/>
              </w:rPr>
            </w:pPr>
            <w:r>
              <w:rPr>
                <w:rFonts w:asciiTheme="minorHAnsi" w:hAnsiTheme="minorHAnsi" w:cstheme="minorHAnsi"/>
              </w:rPr>
              <w:t>N/A</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050BB7" w:rsidP="007B1218">
            <w:pPr>
              <w:jc w:val="center"/>
              <w:rPr>
                <w:rFonts w:asciiTheme="minorHAnsi" w:hAnsiTheme="minorHAnsi" w:cstheme="minorHAnsi"/>
              </w:rPr>
            </w:pPr>
            <w:r>
              <w:rPr>
                <w:rFonts w:asciiTheme="minorHAnsi" w:hAnsiTheme="minorHAnsi" w:cstheme="minorHAnsi"/>
              </w:rPr>
              <w:t>N/A</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D5691B" w:rsidRPr="006C5A6E" w:rsidTr="007B1218">
        <w:tc>
          <w:tcPr>
            <w:tcW w:w="2448" w:type="dxa"/>
          </w:tcPr>
          <w:p w:rsidR="00D5691B" w:rsidRPr="006C5A6E" w:rsidRDefault="00D5691B" w:rsidP="00D5691B">
            <w:pPr>
              <w:rPr>
                <w:rFonts w:asciiTheme="minorHAnsi" w:hAnsiTheme="minorHAnsi" w:cstheme="minorHAnsi"/>
              </w:rPr>
            </w:pPr>
            <w:r>
              <w:rPr>
                <w:rFonts w:asciiTheme="minorHAnsi" w:hAnsiTheme="minorHAnsi" w:cstheme="minorHAnsi"/>
              </w:rPr>
              <w:t>Foro “Reforma Judicial para el Siglo XXI” mesas de trabajo “Justicia Penal II”</w:t>
            </w:r>
          </w:p>
        </w:tc>
        <w:tc>
          <w:tcPr>
            <w:tcW w:w="1620" w:type="dxa"/>
          </w:tcPr>
          <w:p w:rsidR="00D5691B" w:rsidRPr="006C5A6E"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Pr="006C5A6E" w:rsidRDefault="00D5691B" w:rsidP="00D5691B">
            <w:pPr>
              <w:jc w:val="center"/>
              <w:rPr>
                <w:rFonts w:asciiTheme="minorHAnsi" w:hAnsiTheme="minorHAnsi" w:cstheme="minorHAnsi"/>
              </w:rPr>
            </w:pPr>
            <w:r>
              <w:rPr>
                <w:rFonts w:asciiTheme="minorHAnsi" w:hAnsiTheme="minorHAnsi" w:cstheme="minorHAnsi"/>
              </w:rPr>
              <w:t>2005</w:t>
            </w:r>
          </w:p>
        </w:tc>
        <w:tc>
          <w:tcPr>
            <w:tcW w:w="1350" w:type="dxa"/>
          </w:tcPr>
          <w:p w:rsidR="00D5691B" w:rsidRPr="006C5A6E" w:rsidRDefault="00D5691B" w:rsidP="00D5691B">
            <w:pPr>
              <w:jc w:val="center"/>
              <w:rPr>
                <w:rFonts w:asciiTheme="minorHAnsi" w:hAnsiTheme="minorHAnsi" w:cstheme="minorHAnsi"/>
              </w:rPr>
            </w:pPr>
            <w:r>
              <w:rPr>
                <w:rFonts w:asciiTheme="minorHAnsi" w:hAnsiTheme="minorHAnsi" w:cstheme="minorHAnsi"/>
              </w:rPr>
              <w:t>2005</w:t>
            </w:r>
          </w:p>
        </w:tc>
        <w:tc>
          <w:tcPr>
            <w:tcW w:w="1600" w:type="dxa"/>
          </w:tcPr>
          <w:p w:rsidR="00D5691B" w:rsidRPr="006C5A6E" w:rsidRDefault="00D5691B" w:rsidP="00D5691B">
            <w:pPr>
              <w:rPr>
                <w:rFonts w:asciiTheme="minorHAnsi" w:hAnsiTheme="minorHAnsi" w:cstheme="minorHAnsi"/>
              </w:rPr>
            </w:pPr>
            <w:r>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Semana Jurídica con motivo de los festejos por los 10 años de la reestructuración de la SCJN.</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 y Gobierno del Estado</w:t>
            </w:r>
          </w:p>
        </w:tc>
        <w:tc>
          <w:tcPr>
            <w:tcW w:w="1170" w:type="dxa"/>
          </w:tcPr>
          <w:p w:rsidR="00D5691B" w:rsidRPr="006C5A6E" w:rsidRDefault="00D5691B" w:rsidP="00D5691B">
            <w:pPr>
              <w:jc w:val="center"/>
              <w:rPr>
                <w:rFonts w:asciiTheme="minorHAnsi" w:hAnsiTheme="minorHAnsi" w:cstheme="minorHAnsi"/>
              </w:rPr>
            </w:pPr>
            <w:r>
              <w:rPr>
                <w:rFonts w:asciiTheme="minorHAnsi" w:hAnsiTheme="minorHAnsi" w:cstheme="minorHAnsi"/>
              </w:rPr>
              <w:t>2005</w:t>
            </w:r>
          </w:p>
        </w:tc>
        <w:tc>
          <w:tcPr>
            <w:tcW w:w="1350" w:type="dxa"/>
          </w:tcPr>
          <w:p w:rsidR="00D5691B" w:rsidRPr="006C5A6E" w:rsidRDefault="00D5691B" w:rsidP="00D5691B">
            <w:pPr>
              <w:jc w:val="center"/>
              <w:rPr>
                <w:rFonts w:asciiTheme="minorHAnsi" w:hAnsiTheme="minorHAnsi" w:cstheme="minorHAnsi"/>
              </w:rPr>
            </w:pPr>
            <w:r>
              <w:rPr>
                <w:rFonts w:asciiTheme="minorHAnsi" w:hAnsiTheme="minorHAnsi" w:cstheme="minorHAnsi"/>
              </w:rPr>
              <w:t>2005</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“Presentación del Libro Blanco de la Reforma Judicial”</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 y Gobierno del Estado</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2006</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2006</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Mesa Redonda sobre “Juicios Orales”</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 y STJE</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2007</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2007</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9B6BE8">
        <w:trPr>
          <w:trHeight w:val="986"/>
        </w:trPr>
        <w:tc>
          <w:tcPr>
            <w:tcW w:w="2448" w:type="dxa"/>
          </w:tcPr>
          <w:p w:rsidR="00D5691B" w:rsidRDefault="00D5691B" w:rsidP="00D5691B">
            <w:pPr>
              <w:rPr>
                <w:rFonts w:asciiTheme="minorHAnsi" w:hAnsiTheme="minorHAnsi" w:cstheme="minorHAnsi"/>
              </w:rPr>
            </w:pPr>
            <w:r>
              <w:rPr>
                <w:rFonts w:asciiTheme="minorHAnsi" w:hAnsiTheme="minorHAnsi" w:cstheme="minorHAnsi"/>
              </w:rPr>
              <w:t>Conferencia “Historia de la Mafia, un Poder en las Sombras”</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2007</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2007</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lastRenderedPageBreak/>
              <w:t>Presentación “Escuela de la Justicia”</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2009</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2009</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Curso IUS</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2009</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2009</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Escuela de la Justicia</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29/09/14</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03/10/14</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Conferencia “Jurisdicción con Perspectiva de Género”</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29/09/14</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29/09/14</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Conferencia “La Ética del Abogado”</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30/09/14</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30/09/14</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p>
        </w:tc>
      </w:tr>
      <w:tr w:rsidR="00D5691B" w:rsidRPr="006C5A6E" w:rsidTr="007B1218">
        <w:tc>
          <w:tcPr>
            <w:tcW w:w="2448" w:type="dxa"/>
          </w:tcPr>
          <w:p w:rsidR="00D5691B" w:rsidRDefault="00D5691B" w:rsidP="00D5691B">
            <w:pPr>
              <w:rPr>
                <w:rFonts w:asciiTheme="minorHAnsi" w:hAnsiTheme="minorHAnsi" w:cstheme="minorHAnsi"/>
              </w:rPr>
            </w:pPr>
            <w:r>
              <w:rPr>
                <w:rFonts w:asciiTheme="minorHAnsi" w:hAnsiTheme="minorHAnsi" w:cstheme="minorHAnsi"/>
              </w:rPr>
              <w:t>Conferencia “Interés Legítimo en el Juicio de Amparo”</w:t>
            </w:r>
          </w:p>
        </w:tc>
        <w:tc>
          <w:tcPr>
            <w:tcW w:w="1620" w:type="dxa"/>
          </w:tcPr>
          <w:p w:rsidR="00D5691B" w:rsidRDefault="00D5691B" w:rsidP="00D5691B">
            <w:pPr>
              <w:jc w:val="center"/>
              <w:rPr>
                <w:rFonts w:asciiTheme="minorHAnsi" w:hAnsiTheme="minorHAnsi" w:cstheme="minorHAnsi"/>
              </w:rPr>
            </w:pPr>
            <w:r>
              <w:rPr>
                <w:rFonts w:asciiTheme="minorHAnsi" w:hAnsiTheme="minorHAnsi" w:cstheme="minorHAnsi"/>
              </w:rPr>
              <w:t>UACH</w:t>
            </w:r>
          </w:p>
        </w:tc>
        <w:tc>
          <w:tcPr>
            <w:tcW w:w="1170" w:type="dxa"/>
          </w:tcPr>
          <w:p w:rsidR="00D5691B" w:rsidRDefault="00D5691B" w:rsidP="00D5691B">
            <w:pPr>
              <w:jc w:val="center"/>
              <w:rPr>
                <w:rFonts w:asciiTheme="minorHAnsi" w:hAnsiTheme="minorHAnsi" w:cstheme="minorHAnsi"/>
              </w:rPr>
            </w:pPr>
            <w:r>
              <w:rPr>
                <w:rFonts w:asciiTheme="minorHAnsi" w:hAnsiTheme="minorHAnsi" w:cstheme="minorHAnsi"/>
              </w:rPr>
              <w:t>03/10/14</w:t>
            </w:r>
          </w:p>
        </w:tc>
        <w:tc>
          <w:tcPr>
            <w:tcW w:w="1350" w:type="dxa"/>
          </w:tcPr>
          <w:p w:rsidR="00D5691B" w:rsidRDefault="00D5691B" w:rsidP="00D5691B">
            <w:pPr>
              <w:jc w:val="center"/>
              <w:rPr>
                <w:rFonts w:asciiTheme="minorHAnsi" w:hAnsiTheme="minorHAnsi" w:cstheme="minorHAnsi"/>
              </w:rPr>
            </w:pPr>
            <w:r>
              <w:rPr>
                <w:rFonts w:asciiTheme="minorHAnsi" w:hAnsiTheme="minorHAnsi" w:cstheme="minorHAnsi"/>
              </w:rPr>
              <w:t>03/10/14</w:t>
            </w:r>
          </w:p>
        </w:tc>
        <w:tc>
          <w:tcPr>
            <w:tcW w:w="1600" w:type="dxa"/>
          </w:tcPr>
          <w:p w:rsidR="00D5691B" w:rsidRDefault="00D5691B" w:rsidP="00D5691B">
            <w:r w:rsidRPr="001D625B">
              <w:rPr>
                <w:rFonts w:asciiTheme="minorHAnsi" w:hAnsiTheme="minorHAnsi" w:cstheme="minorHAnsi"/>
              </w:rPr>
              <w:t>N/A</w:t>
            </w:r>
          </w:p>
        </w:tc>
        <w:tc>
          <w:tcPr>
            <w:tcW w:w="1559" w:type="dxa"/>
          </w:tcPr>
          <w:p w:rsidR="00D5691B" w:rsidRDefault="00D5691B" w:rsidP="00D5691B">
            <w:r w:rsidRPr="00851F19">
              <w:rPr>
                <w:rFonts w:asciiTheme="minorHAnsi" w:hAnsiTheme="minorHAnsi" w:cstheme="minorHAnsi"/>
              </w:rPr>
              <w:t>N/A</w:t>
            </w:r>
            <w:bookmarkStart w:id="0" w:name="_GoBack"/>
            <w:bookmarkEnd w:id="0"/>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7803E6" w:rsidRPr="006C5A6E" w:rsidRDefault="007803E6" w:rsidP="00A92C8B">
      <w:pPr>
        <w:ind w:right="-235"/>
        <w:rPr>
          <w:rFonts w:asciiTheme="minorHAnsi" w:hAnsiTheme="minorHAnsi" w:cstheme="minorHAnsi"/>
        </w:rPr>
      </w:pPr>
      <w:r>
        <w:rPr>
          <w:rFonts w:asciiTheme="minorHAnsi" w:hAnsiTheme="minorHAnsi" w:cstheme="minorHAnsi"/>
        </w:rPr>
        <w:t>Beneficio para ambas instituciones, ya que se cumplieron los objetivos planteados en el programa anual de trabajo, difundir la cultura jurídica atreves de las diversas capacitaciones para estudiantes de la carrera de derecho, así como de los abogados litigantes, funcionarios de los tres niveles interesados en adquirir conocimientos y ser mejor profesionistas.,</w:t>
      </w:r>
    </w:p>
    <w:sectPr w:rsidR="007803E6"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734" w:rsidRDefault="00565734" w:rsidP="00E64D5D">
      <w:r>
        <w:separator/>
      </w:r>
    </w:p>
  </w:endnote>
  <w:endnote w:type="continuationSeparator" w:id="0">
    <w:p w:rsidR="00565734" w:rsidRDefault="00565734"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D5691B">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B41381"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D5691B">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FF989C"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734" w:rsidRDefault="00565734" w:rsidP="00E64D5D">
      <w:r>
        <w:separator/>
      </w:r>
    </w:p>
  </w:footnote>
  <w:footnote w:type="continuationSeparator" w:id="0">
    <w:p w:rsidR="00565734" w:rsidRDefault="00565734"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50BB7"/>
    <w:rsid w:val="00095030"/>
    <w:rsid w:val="000B4F42"/>
    <w:rsid w:val="000B6044"/>
    <w:rsid w:val="00115C27"/>
    <w:rsid w:val="00161BD9"/>
    <w:rsid w:val="00195A93"/>
    <w:rsid w:val="001B17D1"/>
    <w:rsid w:val="001B20B2"/>
    <w:rsid w:val="001B78D5"/>
    <w:rsid w:val="001C3104"/>
    <w:rsid w:val="00200549"/>
    <w:rsid w:val="00210DC8"/>
    <w:rsid w:val="0021708A"/>
    <w:rsid w:val="00225E7A"/>
    <w:rsid w:val="0023072E"/>
    <w:rsid w:val="00236EC1"/>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6B2B"/>
    <w:rsid w:val="00502AC5"/>
    <w:rsid w:val="00504792"/>
    <w:rsid w:val="005136B2"/>
    <w:rsid w:val="005241FC"/>
    <w:rsid w:val="005277AC"/>
    <w:rsid w:val="00537DCD"/>
    <w:rsid w:val="00560D7A"/>
    <w:rsid w:val="00565734"/>
    <w:rsid w:val="00572E31"/>
    <w:rsid w:val="00575C20"/>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019D4"/>
    <w:rsid w:val="00714DC9"/>
    <w:rsid w:val="007371DD"/>
    <w:rsid w:val="0074144C"/>
    <w:rsid w:val="00755AB4"/>
    <w:rsid w:val="007667B0"/>
    <w:rsid w:val="007803E6"/>
    <w:rsid w:val="007830AD"/>
    <w:rsid w:val="00796E58"/>
    <w:rsid w:val="007A35A2"/>
    <w:rsid w:val="007A6D34"/>
    <w:rsid w:val="007B3FC6"/>
    <w:rsid w:val="007C1ECB"/>
    <w:rsid w:val="00876282"/>
    <w:rsid w:val="0088351B"/>
    <w:rsid w:val="00892A0F"/>
    <w:rsid w:val="00893093"/>
    <w:rsid w:val="00893308"/>
    <w:rsid w:val="00894CB6"/>
    <w:rsid w:val="008E00B4"/>
    <w:rsid w:val="008F70B2"/>
    <w:rsid w:val="00933749"/>
    <w:rsid w:val="00937B1E"/>
    <w:rsid w:val="00944CCD"/>
    <w:rsid w:val="00951128"/>
    <w:rsid w:val="00953BCD"/>
    <w:rsid w:val="00976DDD"/>
    <w:rsid w:val="009B6BE8"/>
    <w:rsid w:val="009B6D0D"/>
    <w:rsid w:val="009D3231"/>
    <w:rsid w:val="009F4F46"/>
    <w:rsid w:val="009F5C80"/>
    <w:rsid w:val="00A105BA"/>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620C2"/>
    <w:rsid w:val="00B72A09"/>
    <w:rsid w:val="00B81016"/>
    <w:rsid w:val="00B81555"/>
    <w:rsid w:val="00BA4171"/>
    <w:rsid w:val="00BB18CC"/>
    <w:rsid w:val="00BB3509"/>
    <w:rsid w:val="00BB696E"/>
    <w:rsid w:val="00BD4A30"/>
    <w:rsid w:val="00BE45F5"/>
    <w:rsid w:val="00C02482"/>
    <w:rsid w:val="00C32EE3"/>
    <w:rsid w:val="00C80953"/>
    <w:rsid w:val="00C83ED1"/>
    <w:rsid w:val="00CB13C6"/>
    <w:rsid w:val="00CB696A"/>
    <w:rsid w:val="00CC2875"/>
    <w:rsid w:val="00CD0622"/>
    <w:rsid w:val="00CD4806"/>
    <w:rsid w:val="00CE26B8"/>
    <w:rsid w:val="00CE68B5"/>
    <w:rsid w:val="00CF4396"/>
    <w:rsid w:val="00CF557C"/>
    <w:rsid w:val="00D4289C"/>
    <w:rsid w:val="00D55E02"/>
    <w:rsid w:val="00D5691B"/>
    <w:rsid w:val="00D828F1"/>
    <w:rsid w:val="00DB49CB"/>
    <w:rsid w:val="00DC0817"/>
    <w:rsid w:val="00E40797"/>
    <w:rsid w:val="00E5094F"/>
    <w:rsid w:val="00E53B24"/>
    <w:rsid w:val="00E54974"/>
    <w:rsid w:val="00E60E4E"/>
    <w:rsid w:val="00E64D5D"/>
    <w:rsid w:val="00E660E3"/>
    <w:rsid w:val="00E66397"/>
    <w:rsid w:val="00E704A5"/>
    <w:rsid w:val="00E84CB8"/>
    <w:rsid w:val="00E95074"/>
    <w:rsid w:val="00EC08A2"/>
    <w:rsid w:val="00ED357F"/>
    <w:rsid w:val="00EE3543"/>
    <w:rsid w:val="00EE46E4"/>
    <w:rsid w:val="00EF1C1D"/>
    <w:rsid w:val="00F24E0C"/>
    <w:rsid w:val="00F46E02"/>
    <w:rsid w:val="00F74998"/>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99C702-B619-4414-B92B-54DEC03D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EF5CE-EE77-4F13-80A7-6C6D4B45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1941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3</cp:revision>
  <cp:lastPrinted>2013-07-08T22:59:00Z</cp:lastPrinted>
  <dcterms:created xsi:type="dcterms:W3CDTF">2015-08-03T21:26:00Z</dcterms:created>
  <dcterms:modified xsi:type="dcterms:W3CDTF">2019-05-17T17:15:00Z</dcterms:modified>
</cp:coreProperties>
</file>