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AB0256" w:rsidP="007B1218">
            <w:pPr>
              <w:jc w:val="left"/>
              <w:rPr>
                <w:rFonts w:asciiTheme="minorHAnsi" w:hAnsiTheme="minorHAnsi" w:cstheme="minorHAnsi"/>
              </w:rPr>
            </w:pPr>
            <w:r w:rsidRPr="00AB0256">
              <w:rPr>
                <w:rFonts w:asciiTheme="minorHAnsi" w:hAnsiTheme="minorHAnsi" w:cstheme="minorHAnsi"/>
              </w:rPr>
              <w:t>Gobierno del Estado de Tamaulipas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AB0256" w:rsidP="00537DCD">
            <w:pPr>
              <w:rPr>
                <w:rFonts w:asciiTheme="minorHAnsi" w:hAnsiTheme="minorHAnsi" w:cstheme="minorHAnsi"/>
              </w:rPr>
            </w:pPr>
            <w:r w:rsidRPr="00AB0256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cultura jurídica en el ámbito de la impartición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0A73F5" w:rsidP="007B1218">
            <w:pPr>
              <w:jc w:val="left"/>
              <w:rPr>
                <w:rFonts w:asciiTheme="minorHAnsi" w:hAnsiTheme="minorHAnsi" w:cstheme="minorHAnsi"/>
              </w:rPr>
            </w:pPr>
            <w:r w:rsidRPr="000A73F5">
              <w:rPr>
                <w:rFonts w:asciiTheme="minorHAnsi" w:hAnsiTheme="minorHAnsi" w:cstheme="minorHAnsi"/>
              </w:rPr>
              <w:t>14-mar-05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0A73F5" w:rsidP="007B1218">
            <w:pPr>
              <w:jc w:val="left"/>
              <w:rPr>
                <w:rFonts w:asciiTheme="minorHAnsi" w:hAnsiTheme="minorHAnsi" w:cstheme="minorHAnsi"/>
              </w:rPr>
            </w:pPr>
            <w:r w:rsidRPr="000A73F5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285"/>
        <w:gridCol w:w="1418"/>
        <w:gridCol w:w="1417"/>
        <w:gridCol w:w="1559"/>
      </w:tblGrid>
      <w:tr w:rsidR="005E03C0" w:rsidRPr="006C5A6E" w:rsidTr="000C3437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28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0C3437">
        <w:tc>
          <w:tcPr>
            <w:tcW w:w="2448" w:type="dxa"/>
          </w:tcPr>
          <w:p w:rsidR="006832EF" w:rsidRPr="006C5A6E" w:rsidRDefault="000C343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Curso “Los abogados litigantes en el Sistema de justicia Penal Acusatorio”</w:t>
            </w:r>
          </w:p>
        </w:tc>
        <w:tc>
          <w:tcPr>
            <w:tcW w:w="1620" w:type="dxa"/>
          </w:tcPr>
          <w:p w:rsidR="005E03C0" w:rsidRPr="006C5A6E" w:rsidRDefault="000C343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Secretaría Técnica para la implementación del sistema de justicia penal acusatorio en el estado de Tamaulipas y SETEC</w:t>
            </w:r>
          </w:p>
        </w:tc>
        <w:tc>
          <w:tcPr>
            <w:tcW w:w="1285" w:type="dxa"/>
          </w:tcPr>
          <w:p w:rsidR="005E03C0" w:rsidRPr="000C3437" w:rsidRDefault="000C3437" w:rsidP="007B1218">
            <w:pPr>
              <w:rPr>
                <w:rFonts w:asciiTheme="minorHAnsi" w:hAnsiTheme="minorHAnsi" w:cstheme="minorHAnsi"/>
              </w:rPr>
            </w:pPr>
            <w:r w:rsidRPr="000C3437">
              <w:rPr>
                <w:rFonts w:asciiTheme="minorHAnsi" w:hAnsiTheme="minorHAnsi" w:cstheme="minorHAnsi"/>
              </w:rPr>
              <w:t>03/11/2014</w:t>
            </w:r>
          </w:p>
        </w:tc>
        <w:tc>
          <w:tcPr>
            <w:tcW w:w="1418" w:type="dxa"/>
          </w:tcPr>
          <w:p w:rsidR="005E03C0" w:rsidRPr="006C5A6E" w:rsidRDefault="000C3437" w:rsidP="000C343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28/11/2014</w:t>
            </w:r>
          </w:p>
        </w:tc>
        <w:tc>
          <w:tcPr>
            <w:tcW w:w="1417" w:type="dxa"/>
          </w:tcPr>
          <w:p w:rsidR="005E03C0" w:rsidRPr="006C5A6E" w:rsidRDefault="007B72F1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5E03C0" w:rsidRPr="006C5A6E" w:rsidRDefault="007B72F1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4F252F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los eventos</w:t>
      </w:r>
      <w:r w:rsidR="00BC25DE">
        <w:rPr>
          <w:rFonts w:asciiTheme="minorHAnsi" w:hAnsiTheme="minorHAnsi" w:cstheme="minorHAnsi"/>
        </w:rPr>
        <w:t xml:space="preserve"> magnos realizados por esta Casa</w:t>
      </w:r>
      <w:r>
        <w:rPr>
          <w:rFonts w:asciiTheme="minorHAnsi" w:hAnsiTheme="minorHAnsi" w:cstheme="minorHAnsi"/>
        </w:rPr>
        <w:t xml:space="preserve"> e la Cultura</w:t>
      </w:r>
      <w:r w:rsidR="00BC25DE">
        <w:rPr>
          <w:rFonts w:asciiTheme="minorHAnsi" w:hAnsiTheme="minorHAnsi" w:cstheme="minorHAnsi"/>
        </w:rPr>
        <w:t xml:space="preserve"> jurí</w:t>
      </w:r>
      <w:r>
        <w:rPr>
          <w:rFonts w:asciiTheme="minorHAnsi" w:hAnsiTheme="minorHAnsi" w:cstheme="minorHAnsi"/>
        </w:rPr>
        <w:t>dica, el Gob</w:t>
      </w:r>
      <w:r w:rsidR="00BC25DE">
        <w:rPr>
          <w:rFonts w:asciiTheme="minorHAnsi" w:hAnsiTheme="minorHAnsi" w:cstheme="minorHAnsi"/>
        </w:rPr>
        <w:t>ierno del es</w:t>
      </w:r>
      <w:r>
        <w:rPr>
          <w:rFonts w:asciiTheme="minorHAnsi" w:hAnsiTheme="minorHAnsi" w:cstheme="minorHAnsi"/>
        </w:rPr>
        <w:t>t</w:t>
      </w:r>
      <w:r w:rsidR="00BC25DE">
        <w:rPr>
          <w:rFonts w:asciiTheme="minorHAnsi" w:hAnsiTheme="minorHAnsi" w:cstheme="minorHAnsi"/>
        </w:rPr>
        <w:t>ado de T</w:t>
      </w:r>
      <w:r>
        <w:rPr>
          <w:rFonts w:asciiTheme="minorHAnsi" w:hAnsiTheme="minorHAnsi" w:cstheme="minorHAnsi"/>
        </w:rPr>
        <w:t xml:space="preserve">amaulipas, nos ha facilitado el teatro </w:t>
      </w:r>
      <w:r w:rsidR="00BC25DE">
        <w:rPr>
          <w:rFonts w:asciiTheme="minorHAnsi" w:hAnsiTheme="minorHAnsi" w:cstheme="minorHAnsi"/>
        </w:rPr>
        <w:t>Amalia G. Castillo Ledón</w:t>
      </w:r>
      <w:r>
        <w:rPr>
          <w:rFonts w:asciiTheme="minorHAnsi" w:hAnsiTheme="minorHAnsi" w:cstheme="minorHAnsi"/>
        </w:rPr>
        <w:t>, el cual es el de mayor enverg</w:t>
      </w:r>
      <w:r w:rsidR="00BC25DE">
        <w:rPr>
          <w:rFonts w:asciiTheme="minorHAnsi" w:hAnsiTheme="minorHAnsi" w:cstheme="minorHAnsi"/>
        </w:rPr>
        <w:t xml:space="preserve">adura en la capital tamaulipeca. Además se ha fortalecido los vínculos con los representantes del Gobierno del Estado, aunado a esto el Gobierno del Estado a través de la Dirección del Periódico Oficial, hemos tenido una buena atención en la entrega de los Periódicos Oficiales del Estado. </w:t>
      </w: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A6F" w:rsidRDefault="00033A6F" w:rsidP="00E64D5D">
      <w:r>
        <w:separator/>
      </w:r>
    </w:p>
  </w:endnote>
  <w:endnote w:type="continuationSeparator" w:id="0">
    <w:p w:rsidR="00033A6F" w:rsidRDefault="00033A6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7B72F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7B72F1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A6F" w:rsidRDefault="00033A6F" w:rsidP="00E64D5D">
      <w:r>
        <w:separator/>
      </w:r>
    </w:p>
  </w:footnote>
  <w:footnote w:type="continuationSeparator" w:id="0">
    <w:p w:rsidR="00033A6F" w:rsidRDefault="00033A6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3A6F"/>
    <w:rsid w:val="0003558F"/>
    <w:rsid w:val="00045E40"/>
    <w:rsid w:val="00095030"/>
    <w:rsid w:val="000A73F5"/>
    <w:rsid w:val="000B4F42"/>
    <w:rsid w:val="000B6044"/>
    <w:rsid w:val="000C3437"/>
    <w:rsid w:val="00115C27"/>
    <w:rsid w:val="0014112F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3307B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4F252F"/>
    <w:rsid w:val="00502AC5"/>
    <w:rsid w:val="005136B2"/>
    <w:rsid w:val="005241FC"/>
    <w:rsid w:val="005277AC"/>
    <w:rsid w:val="00537DCD"/>
    <w:rsid w:val="00572E31"/>
    <w:rsid w:val="0058726A"/>
    <w:rsid w:val="005A466E"/>
    <w:rsid w:val="005B1205"/>
    <w:rsid w:val="005C5FBC"/>
    <w:rsid w:val="005E03C0"/>
    <w:rsid w:val="006024AD"/>
    <w:rsid w:val="00615048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15F67"/>
    <w:rsid w:val="007166B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7B72F1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256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C25DE"/>
    <w:rsid w:val="00BD4A30"/>
    <w:rsid w:val="00BE45F5"/>
    <w:rsid w:val="00C02482"/>
    <w:rsid w:val="00C32EE3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7559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B1EED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3F35E6-65B0-4712-863E-C367E568A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3CA27-E7E0-460D-B59C-E247A2F5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2013-07-08T22:59:00Z</cp:lastPrinted>
  <dcterms:created xsi:type="dcterms:W3CDTF">2015-08-12T12:44:00Z</dcterms:created>
  <dcterms:modified xsi:type="dcterms:W3CDTF">2019-05-17T17:24:00Z</dcterms:modified>
</cp:coreProperties>
</file>