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91295D" w:rsidRDefault="005E03C0" w:rsidP="00A92C8B">
      <w:pPr>
        <w:ind w:right="-235" w:hanging="142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36365F" w:rsidP="007B1218">
            <w:pPr>
              <w:jc w:val="left"/>
              <w:rPr>
                <w:rFonts w:asciiTheme="minorHAnsi" w:hAnsiTheme="minorHAnsi" w:cstheme="minorHAnsi"/>
              </w:rPr>
            </w:pPr>
            <w:r w:rsidRPr="0036365F">
              <w:rPr>
                <w:rFonts w:asciiTheme="minorHAnsi" w:hAnsiTheme="minorHAnsi" w:cstheme="minorHAnsi"/>
              </w:rPr>
              <w:t>Gobierno del Estado de Quintana Roo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36365F" w:rsidP="00537DCD">
            <w:pPr>
              <w:rPr>
                <w:rFonts w:asciiTheme="minorHAnsi" w:hAnsiTheme="minorHAnsi" w:cstheme="minorHAnsi"/>
              </w:rPr>
            </w:pPr>
            <w:r w:rsidRPr="0036365F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36365F" w:rsidP="007B1218">
            <w:pPr>
              <w:jc w:val="left"/>
              <w:rPr>
                <w:rFonts w:asciiTheme="minorHAnsi" w:hAnsiTheme="minorHAnsi" w:cstheme="minorHAnsi"/>
              </w:rPr>
            </w:pPr>
            <w:r w:rsidRPr="0036365F">
              <w:rPr>
                <w:rFonts w:asciiTheme="minorHAnsi" w:hAnsiTheme="minorHAnsi" w:cstheme="minorHAnsi"/>
              </w:rPr>
              <w:t>28-sep-07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91295D" w:rsidRDefault="005E03C0" w:rsidP="00A92C8B">
      <w:pPr>
        <w:ind w:right="-235"/>
        <w:rPr>
          <w:rFonts w:asciiTheme="minorHAnsi" w:hAnsiTheme="minorHAnsi" w:cstheme="minorHAnsi"/>
          <w:sz w:val="16"/>
          <w:szCs w:val="16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91295D" w:rsidRDefault="005E03C0" w:rsidP="00A92C8B">
      <w:pPr>
        <w:ind w:right="-235"/>
        <w:jc w:val="left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C16357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C16357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C16357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C16357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91295D" w:rsidRDefault="005E03C0" w:rsidP="00A92C8B">
      <w:pPr>
        <w:ind w:right="-235"/>
        <w:rPr>
          <w:rFonts w:asciiTheme="minorHAnsi" w:hAnsiTheme="minorHAnsi" w:cstheme="minorHAnsi"/>
          <w:sz w:val="16"/>
          <w:szCs w:val="16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91295D" w:rsidRDefault="005E03C0" w:rsidP="005136B2">
      <w:pPr>
        <w:ind w:right="-235"/>
        <w:rPr>
          <w:rFonts w:asciiTheme="minorHAnsi" w:hAnsiTheme="minorHAnsi" w:cstheme="minorHAnsi"/>
          <w:b/>
          <w:sz w:val="16"/>
          <w:szCs w:val="16"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91295D" w:rsidRDefault="005E03C0" w:rsidP="00A92C8B">
      <w:pPr>
        <w:ind w:right="-235"/>
        <w:rPr>
          <w:rFonts w:asciiTheme="minorHAnsi" w:hAnsiTheme="minorHAnsi" w:cstheme="minorHAnsi"/>
          <w:sz w:val="16"/>
          <w:szCs w:val="16"/>
        </w:rPr>
      </w:pPr>
    </w:p>
    <w:tbl>
      <w:tblPr>
        <w:tblW w:w="9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285"/>
        <w:gridCol w:w="1350"/>
        <w:gridCol w:w="1600"/>
        <w:gridCol w:w="1559"/>
      </w:tblGrid>
      <w:tr w:rsidR="005E03C0" w:rsidRPr="006C5A6E" w:rsidTr="004B0581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285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4B0581">
        <w:tc>
          <w:tcPr>
            <w:tcW w:w="2448" w:type="dxa"/>
          </w:tcPr>
          <w:p w:rsidR="006832EF" w:rsidRPr="006C5A6E" w:rsidRDefault="0016025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Cine Debate</w:t>
            </w:r>
          </w:p>
        </w:tc>
        <w:tc>
          <w:tcPr>
            <w:tcW w:w="1620" w:type="dxa"/>
          </w:tcPr>
          <w:p w:rsidR="005E03C0" w:rsidRPr="006C5A6E" w:rsidRDefault="0049266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5E03C0" w:rsidRPr="006C5A6E" w:rsidRDefault="0016025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y 23 de octubre de 2008</w:t>
            </w:r>
            <w:r w:rsidR="00C634C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50" w:type="dxa"/>
          </w:tcPr>
          <w:p w:rsidR="005E03C0" w:rsidRPr="006C5A6E" w:rsidRDefault="0016025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y 23 de octubre de 2008</w:t>
            </w:r>
            <w:r w:rsidR="00C634C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00" w:type="dxa"/>
          </w:tcPr>
          <w:p w:rsidR="005E03C0" w:rsidRPr="006C5A6E" w:rsidRDefault="0049266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49266F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Pr="006C5A6E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“LV Aniversario del voto femenino en México”.</w:t>
            </w:r>
          </w:p>
        </w:tc>
        <w:tc>
          <w:tcPr>
            <w:tcW w:w="1620" w:type="dxa"/>
          </w:tcPr>
          <w:p w:rsidR="00C16357" w:rsidRDefault="00C16357">
            <w:r w:rsidRPr="004E3C81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octubre de 2008.</w:t>
            </w:r>
          </w:p>
        </w:tc>
        <w:tc>
          <w:tcPr>
            <w:tcW w:w="1350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octubre de 2008.</w:t>
            </w:r>
          </w:p>
        </w:tc>
        <w:tc>
          <w:tcPr>
            <w:tcW w:w="1600" w:type="dxa"/>
          </w:tcPr>
          <w:p w:rsidR="00C16357" w:rsidRDefault="00C16357">
            <w:r w:rsidRPr="00757D1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757D1E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Pr="0091295D" w:rsidRDefault="00C16357" w:rsidP="00161BD9">
            <w:pPr>
              <w:rPr>
                <w:rFonts w:asciiTheme="minorHAnsi" w:hAnsiTheme="minorHAnsi" w:cstheme="minorHAnsi"/>
                <w:spacing w:val="-4"/>
              </w:rPr>
            </w:pPr>
            <w:r w:rsidRPr="0091295D">
              <w:rPr>
                <w:rFonts w:asciiTheme="minorHAnsi" w:hAnsiTheme="minorHAnsi" w:cstheme="minorHAnsi"/>
                <w:spacing w:val="-4"/>
              </w:rPr>
              <w:t>Conferencia Magistral Criterios de Transparencia de la SCJN.</w:t>
            </w:r>
          </w:p>
        </w:tc>
        <w:tc>
          <w:tcPr>
            <w:tcW w:w="1620" w:type="dxa"/>
          </w:tcPr>
          <w:p w:rsidR="00C16357" w:rsidRDefault="00C16357">
            <w:r w:rsidRPr="004E3C81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marzo de 2009.</w:t>
            </w:r>
          </w:p>
        </w:tc>
        <w:tc>
          <w:tcPr>
            <w:tcW w:w="1350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 de marzo de 2009.</w:t>
            </w:r>
          </w:p>
        </w:tc>
        <w:tc>
          <w:tcPr>
            <w:tcW w:w="1600" w:type="dxa"/>
          </w:tcPr>
          <w:p w:rsidR="00C16357" w:rsidRDefault="00C16357">
            <w:r w:rsidRPr="00757D1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757D1E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91295D">
        <w:trPr>
          <w:trHeight w:val="2632"/>
        </w:trPr>
        <w:tc>
          <w:tcPr>
            <w:tcW w:w="2448" w:type="dxa"/>
          </w:tcPr>
          <w:p w:rsidR="00C16357" w:rsidRPr="0091295D" w:rsidRDefault="00C16357" w:rsidP="00160259">
            <w:pPr>
              <w:rPr>
                <w:rFonts w:asciiTheme="minorHAnsi" w:hAnsiTheme="minorHAnsi" w:cstheme="minorHAnsi"/>
                <w:spacing w:val="-6"/>
              </w:rPr>
            </w:pPr>
            <w:r w:rsidRPr="0091295D">
              <w:rPr>
                <w:rFonts w:asciiTheme="minorHAnsi" w:hAnsiTheme="minorHAnsi" w:cstheme="minorHAnsi"/>
                <w:spacing w:val="-6"/>
              </w:rPr>
              <w:t>Conferencia Magistral “La Investigación del delito en el Sistema Acusatorio” y Conferencia “Criterios tipológicos para la diferenciación de los delincuentes por parte de los operadores del sistema de justicia penal”.</w:t>
            </w:r>
          </w:p>
        </w:tc>
        <w:tc>
          <w:tcPr>
            <w:tcW w:w="1620" w:type="dxa"/>
          </w:tcPr>
          <w:p w:rsidR="00C16357" w:rsidRDefault="00C16357">
            <w:r w:rsidRPr="004E3C81"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  <w:tc>
          <w:tcPr>
            <w:tcW w:w="1285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abril de 2009.</w:t>
            </w:r>
          </w:p>
        </w:tc>
        <w:tc>
          <w:tcPr>
            <w:tcW w:w="1350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de abril de 2009.</w:t>
            </w:r>
          </w:p>
        </w:tc>
        <w:tc>
          <w:tcPr>
            <w:tcW w:w="1600" w:type="dxa"/>
          </w:tcPr>
          <w:p w:rsidR="00C16357" w:rsidRDefault="00C16357">
            <w:r w:rsidRPr="00757D1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757D1E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Pr="006C5A6E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Conferencia Magistral “Reformas al Sistema de Justicia Penal para Adolescentes”. La Reforma al Art. 21 Constitucional.</w:t>
            </w:r>
          </w:p>
        </w:tc>
        <w:tc>
          <w:tcPr>
            <w:tcW w:w="1620" w:type="dxa"/>
          </w:tcPr>
          <w:p w:rsidR="00C16357" w:rsidRDefault="00C16357">
            <w:r w:rsidRPr="007830CB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abril de 2009.</w:t>
            </w:r>
          </w:p>
        </w:tc>
        <w:tc>
          <w:tcPr>
            <w:tcW w:w="1350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abril de 2009.</w:t>
            </w:r>
          </w:p>
        </w:tc>
        <w:tc>
          <w:tcPr>
            <w:tcW w:w="1600" w:type="dxa"/>
          </w:tcPr>
          <w:p w:rsidR="00C16357" w:rsidRDefault="00C16357">
            <w:r w:rsidRPr="0048161E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48161E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Diplomado “Justicia Constitucional y Actualización Jurisprudencial”.</w:t>
            </w:r>
          </w:p>
        </w:tc>
        <w:tc>
          <w:tcPr>
            <w:tcW w:w="1620" w:type="dxa"/>
          </w:tcPr>
          <w:p w:rsidR="00C16357" w:rsidRDefault="00C16357">
            <w:r w:rsidRPr="007830CB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de septiembre de 2009</w:t>
            </w:r>
          </w:p>
        </w:tc>
        <w:tc>
          <w:tcPr>
            <w:tcW w:w="1350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noviembre de 2009.</w:t>
            </w:r>
          </w:p>
        </w:tc>
        <w:tc>
          <w:tcPr>
            <w:tcW w:w="1600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Pr="006C5A6E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Cine debate (Doce Mujeres en Pugna).</w:t>
            </w:r>
          </w:p>
        </w:tc>
        <w:tc>
          <w:tcPr>
            <w:tcW w:w="1620" w:type="dxa"/>
          </w:tcPr>
          <w:p w:rsidR="00C16357" w:rsidRDefault="00C16357">
            <w:r w:rsidRPr="007830CB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octubre de 2009.</w:t>
            </w:r>
          </w:p>
        </w:tc>
        <w:tc>
          <w:tcPr>
            <w:tcW w:w="1350" w:type="dxa"/>
          </w:tcPr>
          <w:p w:rsidR="00C16357" w:rsidRPr="006C5A6E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 de octubre de 2009.</w:t>
            </w:r>
          </w:p>
        </w:tc>
        <w:tc>
          <w:tcPr>
            <w:tcW w:w="1600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Teórico Práctico, El Juicio de Amparo.</w:t>
            </w:r>
          </w:p>
        </w:tc>
        <w:tc>
          <w:tcPr>
            <w:tcW w:w="1620" w:type="dxa"/>
          </w:tcPr>
          <w:p w:rsidR="00C16357" w:rsidRDefault="00C16357">
            <w:r w:rsidRPr="007830CB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de septiembre de 2009.</w:t>
            </w:r>
          </w:p>
        </w:tc>
        <w:tc>
          <w:tcPr>
            <w:tcW w:w="1350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de septiembre de 2009.</w:t>
            </w:r>
          </w:p>
        </w:tc>
        <w:tc>
          <w:tcPr>
            <w:tcW w:w="1600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Conferencia “Equidad y Género”.</w:t>
            </w:r>
          </w:p>
        </w:tc>
        <w:tc>
          <w:tcPr>
            <w:tcW w:w="1620" w:type="dxa"/>
          </w:tcPr>
          <w:p w:rsidR="00C16357" w:rsidRDefault="00C16357">
            <w:r w:rsidRPr="007830CB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octubre 2009.</w:t>
            </w:r>
          </w:p>
        </w:tc>
        <w:tc>
          <w:tcPr>
            <w:tcW w:w="1350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 de octubre 2009.</w:t>
            </w:r>
          </w:p>
        </w:tc>
        <w:tc>
          <w:tcPr>
            <w:tcW w:w="1600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Seminario “La Justicia Constitucional en México”</w:t>
            </w:r>
          </w:p>
        </w:tc>
        <w:tc>
          <w:tcPr>
            <w:tcW w:w="1620" w:type="dxa"/>
          </w:tcPr>
          <w:p w:rsidR="00C16357" w:rsidRDefault="00C16357">
            <w:r w:rsidRPr="007830CB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16, 17, 23, 24, 30, 31 de octubre y 6, 7, 13, 14 y 21 de noviembre de 2009.</w:t>
            </w:r>
          </w:p>
        </w:tc>
        <w:tc>
          <w:tcPr>
            <w:tcW w:w="1350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 de noviembre de 2009.</w:t>
            </w:r>
          </w:p>
        </w:tc>
        <w:tc>
          <w:tcPr>
            <w:tcW w:w="1600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</w:tr>
      <w:tr w:rsidR="00C16357" w:rsidRPr="006C5A6E" w:rsidTr="004B0581">
        <w:tc>
          <w:tcPr>
            <w:tcW w:w="2448" w:type="dxa"/>
          </w:tcPr>
          <w:p w:rsidR="00C16357" w:rsidRDefault="00C16357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Obra de Teatro “Viento Sur la muerte de Emiliano Zapata” (Teatro Constituyentes del 74)</w:t>
            </w:r>
          </w:p>
        </w:tc>
        <w:tc>
          <w:tcPr>
            <w:tcW w:w="1620" w:type="dxa"/>
          </w:tcPr>
          <w:p w:rsidR="00C16357" w:rsidRDefault="00C16357">
            <w:r w:rsidRPr="007830CB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285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noviembre de 2010.</w:t>
            </w:r>
          </w:p>
        </w:tc>
        <w:tc>
          <w:tcPr>
            <w:tcW w:w="1350" w:type="dxa"/>
          </w:tcPr>
          <w:p w:rsidR="00C16357" w:rsidRDefault="00C16357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de noviembre 2010.</w:t>
            </w:r>
          </w:p>
        </w:tc>
        <w:tc>
          <w:tcPr>
            <w:tcW w:w="1600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C16357" w:rsidRDefault="00C16357">
            <w:r w:rsidRPr="00832133"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CC64E0" w:rsidRPr="006C5A6E" w:rsidRDefault="00CC64E0" w:rsidP="00CC64E0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intercambio de experiencias y de conocimientos que permiten fortalecer a los órganos encargados de  administrar justicia, así como la difusión de los servicios que prestan la Casa de la Cultura Jurídica.</w:t>
      </w:r>
    </w:p>
    <w:p w:rsidR="00CC64E0" w:rsidRPr="006C5A6E" w:rsidRDefault="00CC64E0" w:rsidP="00A92C8B">
      <w:pPr>
        <w:ind w:right="-235"/>
        <w:rPr>
          <w:rFonts w:asciiTheme="minorHAnsi" w:hAnsiTheme="minorHAnsi" w:cstheme="minorHAnsi"/>
        </w:rPr>
      </w:pPr>
    </w:p>
    <w:sectPr w:rsidR="00CC64E0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269" w:rsidRDefault="00475269" w:rsidP="00E64D5D">
      <w:r>
        <w:separator/>
      </w:r>
    </w:p>
  </w:endnote>
  <w:endnote w:type="continuationSeparator" w:id="0">
    <w:p w:rsidR="00475269" w:rsidRDefault="0047526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1295D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2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1295D">
                      <w:rPr>
                        <w:noProof/>
                        <w:sz w:val="18"/>
                        <w:szCs w:val="18"/>
                        <w:lang w:val="es-ES"/>
                      </w:rPr>
                      <w:t>2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269" w:rsidRDefault="00475269" w:rsidP="00E64D5D">
      <w:r>
        <w:separator/>
      </w:r>
    </w:p>
  </w:footnote>
  <w:footnote w:type="continuationSeparator" w:id="0">
    <w:p w:rsidR="00475269" w:rsidRDefault="0047526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0C4A74"/>
    <w:rsid w:val="001063B0"/>
    <w:rsid w:val="00115C27"/>
    <w:rsid w:val="00160259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B4FE0"/>
    <w:rsid w:val="002D4FDF"/>
    <w:rsid w:val="002F0ECD"/>
    <w:rsid w:val="003110A5"/>
    <w:rsid w:val="003318FF"/>
    <w:rsid w:val="00360745"/>
    <w:rsid w:val="0036365F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249CB"/>
    <w:rsid w:val="00466519"/>
    <w:rsid w:val="00475269"/>
    <w:rsid w:val="0049266F"/>
    <w:rsid w:val="004948B8"/>
    <w:rsid w:val="004B0581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3616"/>
    <w:rsid w:val="007667B0"/>
    <w:rsid w:val="007830AD"/>
    <w:rsid w:val="00796E58"/>
    <w:rsid w:val="007A35A2"/>
    <w:rsid w:val="007A6D34"/>
    <w:rsid w:val="007B3FC6"/>
    <w:rsid w:val="00807B26"/>
    <w:rsid w:val="00824D31"/>
    <w:rsid w:val="00876282"/>
    <w:rsid w:val="0088351B"/>
    <w:rsid w:val="00892A0F"/>
    <w:rsid w:val="00893093"/>
    <w:rsid w:val="00893308"/>
    <w:rsid w:val="00894CB6"/>
    <w:rsid w:val="008E00B4"/>
    <w:rsid w:val="008F70B2"/>
    <w:rsid w:val="0091295D"/>
    <w:rsid w:val="00933749"/>
    <w:rsid w:val="00937B1E"/>
    <w:rsid w:val="00944CCD"/>
    <w:rsid w:val="00951128"/>
    <w:rsid w:val="00953BCD"/>
    <w:rsid w:val="00976DDD"/>
    <w:rsid w:val="0099503C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83F04"/>
    <w:rsid w:val="00BA4171"/>
    <w:rsid w:val="00BB18CC"/>
    <w:rsid w:val="00BB3509"/>
    <w:rsid w:val="00BB696E"/>
    <w:rsid w:val="00BD4A30"/>
    <w:rsid w:val="00BE45F5"/>
    <w:rsid w:val="00C02482"/>
    <w:rsid w:val="00C16357"/>
    <w:rsid w:val="00C32EE3"/>
    <w:rsid w:val="00C634CA"/>
    <w:rsid w:val="00C80953"/>
    <w:rsid w:val="00C83ED1"/>
    <w:rsid w:val="00CA321A"/>
    <w:rsid w:val="00CB13C6"/>
    <w:rsid w:val="00CB696A"/>
    <w:rsid w:val="00CC2875"/>
    <w:rsid w:val="00CC4441"/>
    <w:rsid w:val="00CC64E0"/>
    <w:rsid w:val="00CD0622"/>
    <w:rsid w:val="00CD4806"/>
    <w:rsid w:val="00CE26B8"/>
    <w:rsid w:val="00CE68B5"/>
    <w:rsid w:val="00CF557C"/>
    <w:rsid w:val="00D4289C"/>
    <w:rsid w:val="00D55E02"/>
    <w:rsid w:val="00D828F1"/>
    <w:rsid w:val="00D841D1"/>
    <w:rsid w:val="00DB49CB"/>
    <w:rsid w:val="00DC0817"/>
    <w:rsid w:val="00DE46B8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2378A-EB4A-460E-B2BF-0AC5AF8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2015-08-03T22:55:00Z</dcterms:created>
  <dcterms:modified xsi:type="dcterms:W3CDTF">2015-08-03T22:55:00Z</dcterms:modified>
</cp:coreProperties>
</file>