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B94C7B" w:rsidP="00AA19BA">
            <w:pPr>
              <w:jc w:val="left"/>
              <w:rPr>
                <w:rFonts w:asciiTheme="minorHAnsi" w:hAnsiTheme="minorHAnsi" w:cstheme="minorHAnsi"/>
              </w:rPr>
            </w:pPr>
            <w:r w:rsidRPr="00B94C7B">
              <w:rPr>
                <w:rFonts w:asciiTheme="minorHAnsi" w:hAnsiTheme="minorHAnsi" w:cstheme="minorHAnsi"/>
              </w:rPr>
              <w:t>Universidad Nuevo Santander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187843" w:rsidP="00EE46E4">
            <w:pPr>
              <w:rPr>
                <w:rFonts w:asciiTheme="minorHAnsi" w:hAnsiTheme="minorHAnsi" w:cstheme="minorHAnsi"/>
              </w:rPr>
            </w:pPr>
            <w:r w:rsidRPr="00187843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187843">
              <w:rPr>
                <w:rFonts w:asciiTheme="minorHAnsi" w:hAnsiTheme="minorHAnsi" w:cstheme="minorHAnsi"/>
                <w:noProof/>
              </w:rPr>
              <w:t>Matamoros, Tamaulipas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187843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Mtro. Roberto José Galindo Benavides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B94C7B" w:rsidP="00EE46E4">
            <w:pPr>
              <w:rPr>
                <w:rFonts w:asciiTheme="minorHAnsi" w:hAnsiTheme="minorHAnsi" w:cstheme="minorHAnsi"/>
              </w:rPr>
            </w:pPr>
            <w:r w:rsidRPr="00B94C7B">
              <w:rPr>
                <w:rFonts w:asciiTheme="minorHAnsi" w:hAnsiTheme="minorHAnsi" w:cstheme="minorHAnsi"/>
              </w:rPr>
              <w:t>21-oct-13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187843" w:rsidP="00EE46E4">
            <w:pPr>
              <w:rPr>
                <w:rFonts w:asciiTheme="minorHAnsi" w:hAnsiTheme="minorHAnsi" w:cstheme="minorHAnsi"/>
              </w:rPr>
            </w:pPr>
            <w:r w:rsidRPr="00187843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957277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482BDB">
              <w:rPr>
                <w:rFonts w:asciiTheme="minorHAnsi" w:hAnsiTheme="minorHAnsi" w:cstheme="minorHAnsi"/>
              </w:rPr>
              <w:t>ADMINISTRATIVO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8077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17-FEB-</w:t>
            </w:r>
            <w:r w:rsidRPr="00780779">
              <w:rPr>
                <w:rFonts w:asciiTheme="minorHAnsi" w:hAnsiTheme="minorHAnsi" w:cstheme="minorHAnsi"/>
              </w:rPr>
              <w:t>2014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8077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07-OCT-2015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8077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36605F" w:rsidRPr="00677434" w:rsidTr="0036605F">
        <w:trPr>
          <w:trHeight w:val="649"/>
        </w:trPr>
        <w:tc>
          <w:tcPr>
            <w:tcW w:w="2943" w:type="dxa"/>
            <w:shd w:val="clear" w:color="auto" w:fill="auto"/>
            <w:vAlign w:val="center"/>
          </w:tcPr>
          <w:p w:rsidR="0036605F" w:rsidRPr="00677434" w:rsidRDefault="0036605F" w:rsidP="0036605F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36605F" w:rsidRPr="00677434" w:rsidRDefault="0036605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en Derecho</w:t>
            </w:r>
          </w:p>
        </w:tc>
        <w:tc>
          <w:tcPr>
            <w:tcW w:w="387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6605F" w:rsidRPr="00677434" w:rsidRDefault="0036605F" w:rsidP="00AA19BA">
            <w:pPr>
              <w:jc w:val="left"/>
              <w:rPr>
                <w:rFonts w:asciiTheme="minorHAnsi" w:hAnsiTheme="minorHAnsi" w:cstheme="minorHAnsi"/>
              </w:rPr>
            </w:pPr>
            <w:r w:rsidRPr="0036605F">
              <w:rPr>
                <w:rFonts w:asciiTheme="minorHAnsi" w:hAnsiTheme="minorHAnsi" w:cstheme="minorHAnsi"/>
              </w:rPr>
              <w:t xml:space="preserve">Apoyo en validación, verificación e impresión de facturas electrónicas, renombrar archivos </w:t>
            </w:r>
            <w:proofErr w:type="spellStart"/>
            <w:r w:rsidRPr="0036605F">
              <w:rPr>
                <w:rFonts w:asciiTheme="minorHAnsi" w:hAnsiTheme="minorHAnsi" w:cstheme="minorHAnsi"/>
              </w:rPr>
              <w:t>xml</w:t>
            </w:r>
            <w:proofErr w:type="spellEnd"/>
            <w:r w:rsidRPr="0036605F">
              <w:rPr>
                <w:rFonts w:asciiTheme="minorHAnsi" w:hAnsiTheme="minorHAnsi" w:cstheme="minorHAnsi"/>
              </w:rPr>
              <w:t>, elaboración guías FedEx, archivo de documentación, copias para envío de comprobaciones, control de minutario, control de registro de usuarios, apoyo en levantamiento de inventario semestral de bienes muebles y equipo informático, entre otros.</w:t>
            </w:r>
          </w:p>
        </w:tc>
      </w:tr>
      <w:tr w:rsidR="0036605F" w:rsidRPr="00677434" w:rsidTr="0036605F">
        <w:trPr>
          <w:trHeight w:val="1065"/>
        </w:trPr>
        <w:tc>
          <w:tcPr>
            <w:tcW w:w="2943" w:type="dxa"/>
            <w:shd w:val="clear" w:color="auto" w:fill="auto"/>
            <w:vAlign w:val="center"/>
          </w:tcPr>
          <w:p w:rsidR="0036605F" w:rsidRPr="00677434" w:rsidRDefault="0036605F" w:rsidP="0036605F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36605F" w:rsidRPr="00677434" w:rsidRDefault="0036605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en Comercio Internacional y Administración Aduanera</w:t>
            </w:r>
          </w:p>
        </w:tc>
        <w:tc>
          <w:tcPr>
            <w:tcW w:w="387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6605F" w:rsidRPr="00677434" w:rsidRDefault="0036605F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36605F" w:rsidRPr="00677434" w:rsidTr="00E84CB8">
        <w:tc>
          <w:tcPr>
            <w:tcW w:w="2943" w:type="dxa"/>
            <w:shd w:val="clear" w:color="auto" w:fill="auto"/>
            <w:vAlign w:val="center"/>
          </w:tcPr>
          <w:p w:rsidR="0036605F" w:rsidRPr="00677434" w:rsidRDefault="0036605F" w:rsidP="0036605F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36605F" w:rsidRPr="00677434" w:rsidRDefault="0036605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en  Administración y Dirección de Empresas</w:t>
            </w:r>
          </w:p>
        </w:tc>
        <w:tc>
          <w:tcPr>
            <w:tcW w:w="387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6605F" w:rsidRPr="00677434" w:rsidRDefault="0036605F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780779" w:rsidRPr="00677434" w:rsidRDefault="0078077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$32,193.84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78077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$32,193.84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6605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Que la administración de los recursos financieros, materiales y humanos se lleven a cabo en tiempo y forma para beneficio de la SCJN.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6428CC" w:rsidRDefault="006428CC" w:rsidP="00D44A5D">
      <w:pPr>
        <w:rPr>
          <w:rFonts w:asciiTheme="minorHAnsi" w:hAnsiTheme="minorHAnsi" w:cstheme="minorHAnsi"/>
        </w:rPr>
      </w:pPr>
    </w:p>
    <w:p w:rsidR="006428CC" w:rsidRDefault="006428CC" w:rsidP="00D44A5D">
      <w:pPr>
        <w:rPr>
          <w:rFonts w:asciiTheme="minorHAnsi" w:hAnsiTheme="minorHAnsi" w:cstheme="minorHAnsi"/>
        </w:rPr>
      </w:pPr>
    </w:p>
    <w:p w:rsidR="006428CC" w:rsidRDefault="006428CC" w:rsidP="00D44A5D">
      <w:pPr>
        <w:rPr>
          <w:rFonts w:asciiTheme="minorHAnsi" w:hAnsiTheme="minorHAnsi" w:cstheme="minorHAnsi"/>
        </w:rPr>
      </w:pPr>
    </w:p>
    <w:p w:rsidR="006428CC" w:rsidRDefault="006428CC" w:rsidP="00D44A5D">
      <w:pPr>
        <w:rPr>
          <w:rFonts w:asciiTheme="minorHAnsi" w:hAnsiTheme="minorHAnsi" w:cstheme="minorHAnsi"/>
        </w:rPr>
      </w:pPr>
    </w:p>
    <w:p w:rsidR="006428CC" w:rsidRDefault="006428CC" w:rsidP="00D44A5D">
      <w:pPr>
        <w:rPr>
          <w:rFonts w:asciiTheme="minorHAnsi" w:hAnsiTheme="minorHAnsi" w:cstheme="minorHAnsi"/>
        </w:rPr>
      </w:pPr>
    </w:p>
    <w:p w:rsidR="006428CC" w:rsidRDefault="006428CC" w:rsidP="00D44A5D">
      <w:pPr>
        <w:rPr>
          <w:rFonts w:asciiTheme="minorHAnsi" w:hAnsiTheme="minorHAnsi" w:cstheme="minorHAnsi"/>
        </w:rPr>
      </w:pPr>
    </w:p>
    <w:p w:rsidR="006428CC" w:rsidRDefault="006428CC" w:rsidP="00D44A5D">
      <w:pPr>
        <w:rPr>
          <w:rFonts w:asciiTheme="minorHAnsi" w:hAnsiTheme="minorHAnsi" w:cstheme="minorHAnsi"/>
        </w:rPr>
      </w:pPr>
    </w:p>
    <w:p w:rsidR="006428CC" w:rsidRDefault="006428CC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6428CC" w:rsidRPr="00677434" w:rsidTr="00A12C21">
        <w:tc>
          <w:tcPr>
            <w:tcW w:w="4786" w:type="dxa"/>
            <w:gridSpan w:val="3"/>
            <w:shd w:val="clear" w:color="auto" w:fill="365F91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1455E8">
              <w:rPr>
                <w:rFonts w:asciiTheme="minorHAnsi" w:hAnsiTheme="minorHAnsi" w:cstheme="minorHAnsi"/>
              </w:rPr>
              <w:t>BIBLIOTECA</w:t>
            </w:r>
          </w:p>
        </w:tc>
      </w:tr>
      <w:tr w:rsidR="006428CC" w:rsidRPr="00677434" w:rsidTr="00A12C21">
        <w:tc>
          <w:tcPr>
            <w:tcW w:w="4786" w:type="dxa"/>
            <w:gridSpan w:val="3"/>
            <w:shd w:val="clear" w:color="auto" w:fill="95B3D7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19-FEB-2014</w:t>
            </w:r>
          </w:p>
        </w:tc>
      </w:tr>
      <w:tr w:rsidR="006428CC" w:rsidRPr="00677434" w:rsidTr="00A12C21">
        <w:tc>
          <w:tcPr>
            <w:tcW w:w="4786" w:type="dxa"/>
            <w:gridSpan w:val="3"/>
            <w:shd w:val="clear" w:color="auto" w:fill="95B3D7"/>
            <w:vAlign w:val="center"/>
          </w:tcPr>
          <w:p w:rsidR="006428CC" w:rsidRPr="00677434" w:rsidRDefault="006428CC" w:rsidP="00A12C21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22-SEP-2015</w:t>
            </w:r>
          </w:p>
        </w:tc>
      </w:tr>
      <w:tr w:rsidR="006428CC" w:rsidRPr="00677434" w:rsidTr="00A12C21">
        <w:tc>
          <w:tcPr>
            <w:tcW w:w="4786" w:type="dxa"/>
            <w:gridSpan w:val="3"/>
            <w:shd w:val="clear" w:color="auto" w:fill="95B3D7"/>
            <w:vAlign w:val="center"/>
          </w:tcPr>
          <w:p w:rsidR="006428CC" w:rsidRPr="00677434" w:rsidRDefault="006428CC" w:rsidP="00A12C21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90%</w:t>
            </w:r>
          </w:p>
        </w:tc>
      </w:tr>
      <w:tr w:rsidR="006428CC" w:rsidRPr="00677434" w:rsidTr="00A12C21">
        <w:tc>
          <w:tcPr>
            <w:tcW w:w="2943" w:type="dxa"/>
            <w:shd w:val="clear" w:color="auto" w:fill="95B3D7"/>
            <w:vAlign w:val="center"/>
          </w:tcPr>
          <w:p w:rsidR="006428CC" w:rsidRPr="00677434" w:rsidRDefault="006428CC" w:rsidP="00A12C21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6428CC" w:rsidRPr="00677434" w:rsidRDefault="006428CC" w:rsidP="00A12C21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6428CC" w:rsidRPr="00677434" w:rsidRDefault="006428CC" w:rsidP="00A12C21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6428CC" w:rsidRPr="00677434" w:rsidTr="00A12C21">
        <w:tc>
          <w:tcPr>
            <w:tcW w:w="2943" w:type="dxa"/>
            <w:shd w:val="clear" w:color="auto" w:fill="auto"/>
            <w:vAlign w:val="center"/>
          </w:tcPr>
          <w:p w:rsidR="006428CC" w:rsidRPr="00677434" w:rsidRDefault="006428CC" w:rsidP="00A12C21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en Derecho</w:t>
            </w:r>
          </w:p>
        </w:tc>
        <w:tc>
          <w:tcPr>
            <w:tcW w:w="387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inventario anual, control de archivo administrativo,  atención a usuarios, captura de información, entre otros.</w:t>
            </w:r>
          </w:p>
        </w:tc>
      </w:tr>
      <w:tr w:rsidR="006428CC" w:rsidRPr="00677434" w:rsidTr="00A12C21">
        <w:tc>
          <w:tcPr>
            <w:tcW w:w="2943" w:type="dxa"/>
            <w:shd w:val="clear" w:color="auto" w:fill="auto"/>
            <w:vAlign w:val="center"/>
          </w:tcPr>
          <w:p w:rsidR="006428CC" w:rsidRPr="00677434" w:rsidRDefault="006428CC" w:rsidP="00A12C21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en Comercio Internacional y Administración Aduanera</w:t>
            </w:r>
          </w:p>
        </w:tc>
        <w:tc>
          <w:tcPr>
            <w:tcW w:w="387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6428CC" w:rsidRPr="00677434" w:rsidTr="00A12C21">
        <w:tc>
          <w:tcPr>
            <w:tcW w:w="3369" w:type="dxa"/>
            <w:gridSpan w:val="2"/>
            <w:shd w:val="clear" w:color="auto" w:fill="95B3D7"/>
            <w:vAlign w:val="center"/>
          </w:tcPr>
          <w:p w:rsidR="006428CC" w:rsidRPr="00677434" w:rsidRDefault="006428CC" w:rsidP="00A12C21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$23,282.14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$23,282.14</w:t>
            </w:r>
          </w:p>
        </w:tc>
      </w:tr>
      <w:tr w:rsidR="006428CC" w:rsidRPr="00677434" w:rsidTr="00A12C21">
        <w:trPr>
          <w:trHeight w:val="1676"/>
        </w:trPr>
        <w:tc>
          <w:tcPr>
            <w:tcW w:w="4786" w:type="dxa"/>
            <w:gridSpan w:val="3"/>
            <w:shd w:val="clear" w:color="auto" w:fill="95B3D7"/>
            <w:vAlign w:val="center"/>
          </w:tcPr>
          <w:p w:rsidR="006428CC" w:rsidRPr="00677434" w:rsidRDefault="006428CC" w:rsidP="00A12C21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 levantamiento del inventario anual se realiza en tiempo y forma, además de las otras actividades que se llevan a cabo en Biblioteca, sin descuidar las otras funciones y actividades que desempeña el encargado de Biblioteca, ya que también es responsable del MAI, Compilación de Leyes y Archivo Judicial.</w:t>
            </w:r>
          </w:p>
        </w:tc>
      </w:tr>
    </w:tbl>
    <w:p w:rsidR="006428CC" w:rsidRDefault="006428CC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6428CC" w:rsidRPr="00677434" w:rsidTr="00A12C21">
        <w:tc>
          <w:tcPr>
            <w:tcW w:w="4786" w:type="dxa"/>
            <w:gridSpan w:val="3"/>
            <w:shd w:val="clear" w:color="auto" w:fill="365F91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4C4EEA">
              <w:rPr>
                <w:rFonts w:asciiTheme="minorHAnsi" w:hAnsiTheme="minorHAnsi" w:cstheme="minorHAnsi"/>
              </w:rPr>
              <w:t>EVENTOS</w:t>
            </w:r>
          </w:p>
        </w:tc>
      </w:tr>
      <w:tr w:rsidR="006428CC" w:rsidRPr="00677434" w:rsidTr="00A12C21">
        <w:tc>
          <w:tcPr>
            <w:tcW w:w="4786" w:type="dxa"/>
            <w:gridSpan w:val="3"/>
            <w:shd w:val="clear" w:color="auto" w:fill="95B3D7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19-FEB-2014</w:t>
            </w:r>
          </w:p>
        </w:tc>
      </w:tr>
      <w:tr w:rsidR="006428CC" w:rsidRPr="00677434" w:rsidTr="00A12C21">
        <w:tc>
          <w:tcPr>
            <w:tcW w:w="4786" w:type="dxa"/>
            <w:gridSpan w:val="3"/>
            <w:shd w:val="clear" w:color="auto" w:fill="95B3D7"/>
            <w:vAlign w:val="center"/>
          </w:tcPr>
          <w:p w:rsidR="006428CC" w:rsidRPr="00677434" w:rsidRDefault="006428CC" w:rsidP="00A12C21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23-ENE-2015</w:t>
            </w:r>
          </w:p>
        </w:tc>
      </w:tr>
      <w:tr w:rsidR="006428CC" w:rsidRPr="00677434" w:rsidTr="00A12C21">
        <w:tc>
          <w:tcPr>
            <w:tcW w:w="4786" w:type="dxa"/>
            <w:gridSpan w:val="3"/>
            <w:shd w:val="clear" w:color="auto" w:fill="95B3D7"/>
            <w:vAlign w:val="center"/>
          </w:tcPr>
          <w:p w:rsidR="006428CC" w:rsidRPr="00677434" w:rsidRDefault="006428CC" w:rsidP="00A12C21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6428CC" w:rsidRPr="00677434" w:rsidTr="00A12C21">
        <w:tc>
          <w:tcPr>
            <w:tcW w:w="2943" w:type="dxa"/>
            <w:shd w:val="clear" w:color="auto" w:fill="95B3D7"/>
            <w:vAlign w:val="center"/>
          </w:tcPr>
          <w:p w:rsidR="006428CC" w:rsidRPr="00677434" w:rsidRDefault="006428CC" w:rsidP="00A12C21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6428CC" w:rsidRPr="00677434" w:rsidRDefault="006428CC" w:rsidP="00A12C21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6428CC" w:rsidRPr="00677434" w:rsidRDefault="006428CC" w:rsidP="00A12C21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6428CC" w:rsidRPr="00677434" w:rsidTr="00A12C21">
        <w:tc>
          <w:tcPr>
            <w:tcW w:w="2943" w:type="dxa"/>
            <w:shd w:val="clear" w:color="auto" w:fill="auto"/>
            <w:vAlign w:val="center"/>
          </w:tcPr>
          <w:p w:rsidR="006428CC" w:rsidRPr="00677434" w:rsidRDefault="006428CC" w:rsidP="00A12C21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 realización de listas de asistencias, evaluaciones de eventos, reco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nocimientos a disertantes, formatos de invitación, porta nombres, captura de resultado de evaluaciones, actualización de bases de datos de usuarios, archivo, entre otros.</w:t>
            </w:r>
          </w:p>
        </w:tc>
      </w:tr>
      <w:tr w:rsidR="006428CC" w:rsidRPr="00677434" w:rsidTr="00A12C21">
        <w:tc>
          <w:tcPr>
            <w:tcW w:w="3369" w:type="dxa"/>
            <w:gridSpan w:val="2"/>
            <w:shd w:val="clear" w:color="auto" w:fill="95B3D7"/>
            <w:vAlign w:val="center"/>
          </w:tcPr>
          <w:p w:rsidR="006428CC" w:rsidRPr="00677434" w:rsidRDefault="006428CC" w:rsidP="00A12C21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$27,034.72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$27,034.72</w:t>
            </w:r>
          </w:p>
        </w:tc>
      </w:tr>
      <w:tr w:rsidR="006428CC" w:rsidRPr="00677434" w:rsidTr="00A12C21">
        <w:tc>
          <w:tcPr>
            <w:tcW w:w="4786" w:type="dxa"/>
            <w:gridSpan w:val="3"/>
            <w:shd w:val="clear" w:color="auto" w:fill="95B3D7"/>
            <w:vAlign w:val="center"/>
          </w:tcPr>
          <w:p w:rsidR="006428CC" w:rsidRPr="00677434" w:rsidRDefault="006428CC" w:rsidP="00A12C21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6428CC" w:rsidRPr="00677434" w:rsidRDefault="006428CC" w:rsidP="00A12C2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 aspecto administrativo previo y posterior al evento, así como el desarrollo del mismo, se lleve a cabo de la mejor manera posible, tanto para los usuarios externos como para el encargado del área, con el único fin de cuidar la imagen institucional de la SCJN.</w:t>
            </w:r>
          </w:p>
        </w:tc>
      </w:tr>
    </w:tbl>
    <w:p w:rsidR="006428CC" w:rsidRPr="00677434" w:rsidRDefault="006428CC" w:rsidP="00D44A5D">
      <w:pPr>
        <w:rPr>
          <w:rFonts w:asciiTheme="minorHAnsi" w:hAnsiTheme="minorHAnsi" w:cstheme="minorHAnsi"/>
        </w:rPr>
      </w:pPr>
    </w:p>
    <w:sectPr w:rsidR="006428CC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5B9" w:rsidRDefault="007465B9" w:rsidP="00E64D5D">
      <w:r>
        <w:separator/>
      </w:r>
    </w:p>
  </w:endnote>
  <w:endnote w:type="continuationSeparator" w:id="0">
    <w:p w:rsidR="007465B9" w:rsidRDefault="007465B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428C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428CC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5B9" w:rsidRDefault="007465B9" w:rsidP="00E64D5D">
      <w:r>
        <w:separator/>
      </w:r>
    </w:p>
  </w:footnote>
  <w:footnote w:type="continuationSeparator" w:id="0">
    <w:p w:rsidR="007465B9" w:rsidRDefault="007465B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87843"/>
    <w:rsid w:val="001B17D1"/>
    <w:rsid w:val="001C3104"/>
    <w:rsid w:val="00210DC8"/>
    <w:rsid w:val="002127A6"/>
    <w:rsid w:val="00225E7A"/>
    <w:rsid w:val="00270DDA"/>
    <w:rsid w:val="00291262"/>
    <w:rsid w:val="0029234C"/>
    <w:rsid w:val="002F0ECD"/>
    <w:rsid w:val="003110A5"/>
    <w:rsid w:val="003318FF"/>
    <w:rsid w:val="0036605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3518B"/>
    <w:rsid w:val="00572E31"/>
    <w:rsid w:val="005A466E"/>
    <w:rsid w:val="005B1205"/>
    <w:rsid w:val="006024AD"/>
    <w:rsid w:val="00615AF3"/>
    <w:rsid w:val="00625E2A"/>
    <w:rsid w:val="006428CC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102D0"/>
    <w:rsid w:val="007465B9"/>
    <w:rsid w:val="00750085"/>
    <w:rsid w:val="007667B0"/>
    <w:rsid w:val="00780779"/>
    <w:rsid w:val="007830AD"/>
    <w:rsid w:val="007A35A2"/>
    <w:rsid w:val="007A6D34"/>
    <w:rsid w:val="007B3FC6"/>
    <w:rsid w:val="007F499C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57277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94C7B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DC2A02"/>
    <w:rsid w:val="00E033AA"/>
    <w:rsid w:val="00E40797"/>
    <w:rsid w:val="00E5094F"/>
    <w:rsid w:val="00E54974"/>
    <w:rsid w:val="00E64D5D"/>
    <w:rsid w:val="00E660E3"/>
    <w:rsid w:val="00E84CB8"/>
    <w:rsid w:val="00E900D3"/>
    <w:rsid w:val="00ED357F"/>
    <w:rsid w:val="00EE46E4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2015-06-24T14:23:00Z</cp:lastPrinted>
  <dcterms:created xsi:type="dcterms:W3CDTF">2015-08-03T22:47:00Z</dcterms:created>
  <dcterms:modified xsi:type="dcterms:W3CDTF">2015-08-03T22:48:00Z</dcterms:modified>
</cp:coreProperties>
</file>