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9D36E5" w:rsidP="007B1218">
            <w:pPr>
              <w:jc w:val="left"/>
              <w:rPr>
                <w:rFonts w:asciiTheme="minorHAnsi" w:hAnsiTheme="minorHAnsi" w:cstheme="minorHAnsi"/>
              </w:rPr>
            </w:pPr>
            <w:r w:rsidRPr="009D36E5">
              <w:rPr>
                <w:rFonts w:asciiTheme="minorHAnsi" w:hAnsiTheme="minorHAnsi" w:cstheme="minorHAnsi"/>
              </w:rPr>
              <w:t>Universidad de Colima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9D36E5" w:rsidP="00537DCD">
            <w:pPr>
              <w:rPr>
                <w:rFonts w:asciiTheme="minorHAnsi" w:hAnsiTheme="minorHAnsi" w:cstheme="minorHAnsi"/>
              </w:rPr>
            </w:pPr>
            <w:r w:rsidRPr="009D36E5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1397C" w:rsidP="007B1218">
            <w:pPr>
              <w:jc w:val="left"/>
              <w:rPr>
                <w:rFonts w:asciiTheme="minorHAnsi" w:hAnsiTheme="minorHAnsi" w:cstheme="minorHAnsi"/>
              </w:rPr>
            </w:pPr>
            <w:r w:rsidRPr="00A1397C">
              <w:rPr>
                <w:rFonts w:asciiTheme="minorHAnsi" w:hAnsiTheme="minorHAnsi" w:cstheme="minorHAnsi"/>
              </w:rPr>
              <w:t>25-abr-05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1397C" w:rsidP="007B1218">
            <w:pPr>
              <w:jc w:val="left"/>
              <w:rPr>
                <w:rFonts w:asciiTheme="minorHAnsi" w:hAnsiTheme="minorHAnsi" w:cstheme="minorHAnsi"/>
              </w:rPr>
            </w:pPr>
            <w:r w:rsidRPr="00A1397C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055"/>
        <w:gridCol w:w="992"/>
        <w:gridCol w:w="1276"/>
        <w:gridCol w:w="1417"/>
        <w:gridCol w:w="1559"/>
      </w:tblGrid>
      <w:tr w:rsidR="005E03C0" w:rsidRPr="006C5A6E" w:rsidTr="0085494A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205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99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76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85494A">
        <w:tc>
          <w:tcPr>
            <w:tcW w:w="2448" w:type="dxa"/>
          </w:tcPr>
          <w:p w:rsidR="006832EF" w:rsidRPr="006C5A6E" w:rsidRDefault="00DD2BAE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Magistral: “Concursos Mercantiles”, impartida por el Lic. </w:t>
            </w:r>
            <w:r w:rsidR="00C0547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Víctor Ángel </w:t>
            </w:r>
            <w:proofErr w:type="spellStart"/>
            <w:r>
              <w:rPr>
                <w:rFonts w:asciiTheme="minorHAnsi" w:hAnsiTheme="minorHAnsi" w:cstheme="minorHAnsi"/>
              </w:rPr>
              <w:t>Bohon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Devars</w:t>
            </w:r>
            <w:proofErr w:type="spellEnd"/>
          </w:p>
        </w:tc>
        <w:tc>
          <w:tcPr>
            <w:tcW w:w="2055" w:type="dxa"/>
          </w:tcPr>
          <w:p w:rsidR="005E03C0" w:rsidRPr="006C5A6E" w:rsidRDefault="00DD2B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la Facultad de Derecho de la Universidad de Colima</w:t>
            </w:r>
          </w:p>
        </w:tc>
        <w:tc>
          <w:tcPr>
            <w:tcW w:w="992" w:type="dxa"/>
          </w:tcPr>
          <w:p w:rsidR="005E03C0" w:rsidRPr="006C5A6E" w:rsidRDefault="00DD2B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febrero de 2009</w:t>
            </w:r>
          </w:p>
        </w:tc>
        <w:tc>
          <w:tcPr>
            <w:tcW w:w="1276" w:type="dxa"/>
          </w:tcPr>
          <w:p w:rsidR="005E03C0" w:rsidRPr="006C5A6E" w:rsidRDefault="00DD2B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febrero de 2009</w:t>
            </w:r>
          </w:p>
        </w:tc>
        <w:tc>
          <w:tcPr>
            <w:tcW w:w="1417" w:type="dxa"/>
          </w:tcPr>
          <w:p w:rsidR="005E03C0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$8,589.68</w:t>
            </w:r>
          </w:p>
        </w:tc>
        <w:tc>
          <w:tcPr>
            <w:tcW w:w="1559" w:type="dxa"/>
          </w:tcPr>
          <w:p w:rsidR="005E03C0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$7,852.68</w:t>
            </w:r>
          </w:p>
        </w:tc>
      </w:tr>
      <w:tr w:rsidR="00DD2BAE" w:rsidRPr="006C5A6E" w:rsidTr="0085494A">
        <w:tc>
          <w:tcPr>
            <w:tcW w:w="2448" w:type="dxa"/>
          </w:tcPr>
          <w:p w:rsidR="00DD2BAE" w:rsidRPr="006C5A6E" w:rsidRDefault="00DD2BAE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“</w:t>
            </w:r>
            <w:r w:rsidR="00666A84">
              <w:rPr>
                <w:rFonts w:asciiTheme="minorHAnsi" w:hAnsiTheme="minorHAnsi" w:cstheme="minorHAnsi"/>
              </w:rPr>
              <w:t xml:space="preserve">El </w:t>
            </w:r>
            <w:r>
              <w:rPr>
                <w:rFonts w:asciiTheme="minorHAnsi" w:hAnsiTheme="minorHAnsi" w:cstheme="minorHAnsi"/>
              </w:rPr>
              <w:t xml:space="preserve">Secreto Financiero”, impartida por el Dr. Luis Manuel C. </w:t>
            </w:r>
            <w:proofErr w:type="spellStart"/>
            <w:r>
              <w:rPr>
                <w:rFonts w:asciiTheme="minorHAnsi" w:hAnsiTheme="minorHAnsi" w:cstheme="minorHAnsi"/>
              </w:rPr>
              <w:t>Méjan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Carrer</w:t>
            </w:r>
            <w:proofErr w:type="spellEnd"/>
          </w:p>
        </w:tc>
        <w:tc>
          <w:tcPr>
            <w:tcW w:w="2055" w:type="dxa"/>
          </w:tcPr>
          <w:p w:rsidR="00DD2BAE" w:rsidRPr="006C5A6E" w:rsidRDefault="00DD2B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la Facultad de Derecho de la Universidad de Colima</w:t>
            </w:r>
          </w:p>
        </w:tc>
        <w:tc>
          <w:tcPr>
            <w:tcW w:w="992" w:type="dxa"/>
          </w:tcPr>
          <w:p w:rsidR="00DD2BAE" w:rsidRPr="006C5A6E" w:rsidRDefault="00DD2B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marzo de 2009</w:t>
            </w:r>
          </w:p>
        </w:tc>
        <w:tc>
          <w:tcPr>
            <w:tcW w:w="1276" w:type="dxa"/>
          </w:tcPr>
          <w:p w:rsidR="00DD2BAE" w:rsidRPr="006C5A6E" w:rsidRDefault="00DD2BAE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marzo de 2009</w:t>
            </w:r>
          </w:p>
        </w:tc>
        <w:tc>
          <w:tcPr>
            <w:tcW w:w="1417" w:type="dxa"/>
          </w:tcPr>
          <w:p w:rsidR="00DD2BAE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$10,165.43</w:t>
            </w:r>
          </w:p>
        </w:tc>
        <w:tc>
          <w:tcPr>
            <w:tcW w:w="1559" w:type="dxa"/>
          </w:tcPr>
          <w:p w:rsidR="00DD2BAE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$9,058.83</w:t>
            </w:r>
          </w:p>
        </w:tc>
      </w:tr>
      <w:tr w:rsidR="00DD2BAE" w:rsidRPr="006C5A6E" w:rsidTr="0085494A">
        <w:tc>
          <w:tcPr>
            <w:tcW w:w="2448" w:type="dxa"/>
          </w:tcPr>
          <w:p w:rsidR="00DD2BAE" w:rsidRPr="006C5A6E" w:rsidRDefault="00DD2BAE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Magistral: “La Interpretación Constitucional y el Derecho Familiar”, impartida por la Sra. Ministra Olga María del </w:t>
            </w:r>
            <w:r>
              <w:rPr>
                <w:rFonts w:asciiTheme="minorHAnsi" w:hAnsiTheme="minorHAnsi" w:cstheme="minorHAnsi"/>
              </w:rPr>
              <w:lastRenderedPageBreak/>
              <w:t>Carmen Sánchez Cordero de García Villegas</w:t>
            </w:r>
          </w:p>
        </w:tc>
        <w:tc>
          <w:tcPr>
            <w:tcW w:w="2055" w:type="dxa"/>
          </w:tcPr>
          <w:p w:rsidR="00DD2BAE" w:rsidRPr="006C5A6E" w:rsidRDefault="00DD2BA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Suprema Corte de Justicia de la Nación y la Facultad de Derecho de la Universidad de Colima</w:t>
            </w:r>
          </w:p>
        </w:tc>
        <w:tc>
          <w:tcPr>
            <w:tcW w:w="992" w:type="dxa"/>
          </w:tcPr>
          <w:p w:rsidR="00DD2BAE" w:rsidRPr="006C5A6E" w:rsidRDefault="00C0547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abril de 2009</w:t>
            </w:r>
          </w:p>
        </w:tc>
        <w:tc>
          <w:tcPr>
            <w:tcW w:w="1276" w:type="dxa"/>
          </w:tcPr>
          <w:p w:rsidR="00DD2BAE" w:rsidRPr="006C5A6E" w:rsidRDefault="00C0547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de abril de 2009</w:t>
            </w:r>
          </w:p>
        </w:tc>
        <w:tc>
          <w:tcPr>
            <w:tcW w:w="1417" w:type="dxa"/>
          </w:tcPr>
          <w:p w:rsidR="00DD2BAE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$5,400.00</w:t>
            </w:r>
          </w:p>
        </w:tc>
        <w:tc>
          <w:tcPr>
            <w:tcW w:w="1559" w:type="dxa"/>
          </w:tcPr>
          <w:p w:rsidR="00DD2BAE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$4,373.41</w:t>
            </w:r>
          </w:p>
        </w:tc>
      </w:tr>
      <w:tr w:rsidR="00DD2BAE" w:rsidRPr="006C5A6E" w:rsidTr="0085494A">
        <w:tc>
          <w:tcPr>
            <w:tcW w:w="2448" w:type="dxa"/>
          </w:tcPr>
          <w:p w:rsidR="00DD2BAE" w:rsidRPr="006C5A6E" w:rsidRDefault="00C05473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Magistral: “Inducción a la Función Judicial”, impartida por el Magistrado José de Jesús Covarrubias Dueñas</w:t>
            </w:r>
          </w:p>
        </w:tc>
        <w:tc>
          <w:tcPr>
            <w:tcW w:w="2055" w:type="dxa"/>
          </w:tcPr>
          <w:p w:rsidR="00DD2BAE" w:rsidRPr="006C5A6E" w:rsidRDefault="00C0547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la Facultad de Derecho de la Universidad de Colima</w:t>
            </w:r>
          </w:p>
        </w:tc>
        <w:tc>
          <w:tcPr>
            <w:tcW w:w="992" w:type="dxa"/>
          </w:tcPr>
          <w:p w:rsidR="00DD2BAE" w:rsidRPr="006C5A6E" w:rsidRDefault="00C05473" w:rsidP="00C054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octubre de 2009</w:t>
            </w:r>
          </w:p>
        </w:tc>
        <w:tc>
          <w:tcPr>
            <w:tcW w:w="1276" w:type="dxa"/>
          </w:tcPr>
          <w:p w:rsidR="00DD2BAE" w:rsidRPr="006C5A6E" w:rsidRDefault="00666A84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de octubre de 2009</w:t>
            </w:r>
          </w:p>
        </w:tc>
        <w:tc>
          <w:tcPr>
            <w:tcW w:w="1417" w:type="dxa"/>
          </w:tcPr>
          <w:p w:rsidR="00DD2BAE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$8,740.00</w:t>
            </w:r>
          </w:p>
        </w:tc>
        <w:tc>
          <w:tcPr>
            <w:tcW w:w="1559" w:type="dxa"/>
          </w:tcPr>
          <w:p w:rsidR="00DD2BAE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$3,866.15</w:t>
            </w:r>
          </w:p>
        </w:tc>
      </w:tr>
      <w:tr w:rsidR="00C05473" w:rsidRPr="006C5A6E" w:rsidTr="0085494A">
        <w:tc>
          <w:tcPr>
            <w:tcW w:w="2448" w:type="dxa"/>
          </w:tcPr>
          <w:p w:rsidR="00C05473" w:rsidRPr="006C5A6E" w:rsidRDefault="00C05473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Presentación del Libro: “Introducción al Derecho Parlamentario Estatal, Estudios sobre los Congresos de los Estados y la Asamblea Legislativa del Distrito Federal. Expositores Dr. Héctor </w:t>
            </w:r>
            <w:proofErr w:type="spellStart"/>
            <w:r>
              <w:rPr>
                <w:rFonts w:asciiTheme="minorHAnsi" w:hAnsiTheme="minorHAnsi" w:cstheme="minorHAnsi"/>
              </w:rPr>
              <w:t>Fix</w:t>
            </w:r>
            <w:proofErr w:type="spellEnd"/>
            <w:r>
              <w:rPr>
                <w:rFonts w:asciiTheme="minorHAnsi" w:hAnsiTheme="minorHAnsi" w:cstheme="minorHAnsi"/>
              </w:rPr>
              <w:t xml:space="preserve"> Fierro y Mtro. Efrén Chávez Hernández</w:t>
            </w:r>
          </w:p>
        </w:tc>
        <w:tc>
          <w:tcPr>
            <w:tcW w:w="2055" w:type="dxa"/>
          </w:tcPr>
          <w:p w:rsidR="00C05473" w:rsidRPr="006C5A6E" w:rsidRDefault="00C05473" w:rsidP="0010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</w:t>
            </w:r>
            <w:r w:rsidR="00102913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Facultad de Derecho de la Universidad de Colima</w:t>
            </w:r>
            <w:r w:rsidR="00102913">
              <w:rPr>
                <w:rFonts w:asciiTheme="minorHAnsi" w:hAnsiTheme="minorHAnsi" w:cstheme="minorHAnsi"/>
              </w:rPr>
              <w:t xml:space="preserve"> y el Instituto de Estudios Parlamentarios y Técnicas Legislativas del Estado de Colima, A.C.</w:t>
            </w:r>
          </w:p>
        </w:tc>
        <w:tc>
          <w:tcPr>
            <w:tcW w:w="992" w:type="dxa"/>
          </w:tcPr>
          <w:p w:rsidR="00C05473" w:rsidRPr="006C5A6E" w:rsidRDefault="00C05473" w:rsidP="001029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septiembre de 201</w:t>
            </w:r>
            <w:r w:rsidR="00102913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76" w:type="dxa"/>
          </w:tcPr>
          <w:p w:rsidR="00C05473" w:rsidRPr="006C5A6E" w:rsidRDefault="0010291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de septiembre de 2010</w:t>
            </w:r>
          </w:p>
        </w:tc>
        <w:tc>
          <w:tcPr>
            <w:tcW w:w="1417" w:type="dxa"/>
          </w:tcPr>
          <w:p w:rsidR="00C05473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559" w:type="dxa"/>
          </w:tcPr>
          <w:p w:rsidR="00C05473" w:rsidRPr="006C5A6E" w:rsidRDefault="0010291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$0.00</w:t>
            </w:r>
          </w:p>
        </w:tc>
      </w:tr>
      <w:tr w:rsidR="00C05473" w:rsidRPr="006C5A6E" w:rsidTr="0085494A">
        <w:tc>
          <w:tcPr>
            <w:tcW w:w="2448" w:type="dxa"/>
          </w:tcPr>
          <w:p w:rsidR="00C05473" w:rsidRPr="006C5A6E" w:rsidRDefault="00C0547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Justicia, representada por los alumnos de la Faculta</w:t>
            </w:r>
            <w:r w:rsidR="00666A84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 de Derecho, sobre la Contradicción de Tesis 293/2011</w:t>
            </w:r>
          </w:p>
        </w:tc>
        <w:tc>
          <w:tcPr>
            <w:tcW w:w="2055" w:type="dxa"/>
          </w:tcPr>
          <w:p w:rsidR="00C05473" w:rsidRPr="006C5A6E" w:rsidRDefault="00C0547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la Facultad de Derecho de la Universidad de Colima</w:t>
            </w:r>
          </w:p>
        </w:tc>
        <w:tc>
          <w:tcPr>
            <w:tcW w:w="992" w:type="dxa"/>
          </w:tcPr>
          <w:p w:rsidR="00C05473" w:rsidRPr="006C5A6E" w:rsidRDefault="00C0547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mayo de 2014</w:t>
            </w:r>
          </w:p>
        </w:tc>
        <w:tc>
          <w:tcPr>
            <w:tcW w:w="1276" w:type="dxa"/>
          </w:tcPr>
          <w:p w:rsidR="00C05473" w:rsidRPr="006C5A6E" w:rsidRDefault="00C0547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mayo de 2014</w:t>
            </w:r>
          </w:p>
        </w:tc>
        <w:tc>
          <w:tcPr>
            <w:tcW w:w="1417" w:type="dxa"/>
          </w:tcPr>
          <w:p w:rsidR="00C05473" w:rsidRPr="006C5A6E" w:rsidRDefault="0010291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$2,420.00</w:t>
            </w:r>
          </w:p>
        </w:tc>
        <w:tc>
          <w:tcPr>
            <w:tcW w:w="1559" w:type="dxa"/>
          </w:tcPr>
          <w:p w:rsidR="00C05473" w:rsidRPr="006C5A6E" w:rsidRDefault="0010291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$2,420.00</w:t>
            </w:r>
          </w:p>
        </w:tc>
      </w:tr>
      <w:tr w:rsidR="00C05473" w:rsidRPr="006C5A6E" w:rsidTr="0085494A">
        <w:tc>
          <w:tcPr>
            <w:tcW w:w="2448" w:type="dxa"/>
          </w:tcPr>
          <w:p w:rsidR="00C05473" w:rsidRPr="006C5A6E" w:rsidRDefault="00C0547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Magistral: “Protección de Derechos Humanos y Control de Convencionalidad con particular referencia al caso de México”, impartida por el Dr. Víctor Bazán</w:t>
            </w:r>
          </w:p>
        </w:tc>
        <w:tc>
          <w:tcPr>
            <w:tcW w:w="2055" w:type="dxa"/>
          </w:tcPr>
          <w:p w:rsidR="00C05473" w:rsidRPr="006C5A6E" w:rsidRDefault="00C0547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la Facultad de Derecho de la Universidad de Colima</w:t>
            </w:r>
          </w:p>
        </w:tc>
        <w:tc>
          <w:tcPr>
            <w:tcW w:w="992" w:type="dxa"/>
          </w:tcPr>
          <w:p w:rsidR="00C05473" w:rsidRPr="006C5A6E" w:rsidRDefault="00666A84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1° de diciembre de 2014</w:t>
            </w:r>
          </w:p>
        </w:tc>
        <w:tc>
          <w:tcPr>
            <w:tcW w:w="1276" w:type="dxa"/>
          </w:tcPr>
          <w:p w:rsidR="00C05473" w:rsidRPr="006C5A6E" w:rsidRDefault="00666A84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1° de diciembre de 2014</w:t>
            </w:r>
          </w:p>
        </w:tc>
        <w:tc>
          <w:tcPr>
            <w:tcW w:w="1417" w:type="dxa"/>
          </w:tcPr>
          <w:p w:rsidR="00C05473" w:rsidRPr="006C5A6E" w:rsidRDefault="0010291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$11,279.00</w:t>
            </w:r>
          </w:p>
        </w:tc>
        <w:tc>
          <w:tcPr>
            <w:tcW w:w="1559" w:type="dxa"/>
          </w:tcPr>
          <w:p w:rsidR="00C05473" w:rsidRPr="006C5A6E" w:rsidRDefault="00102913" w:rsidP="00351D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$8,594.00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02913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Mantener la vinculación de la Suprema Corte de Justicia de la Nación a través de la Casa de la Cultura Jurídica con la Universidad de Colima</w:t>
      </w:r>
      <w:r w:rsidR="00937B0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para realizar eventos de forma conjunta que redunden en el mejoramiento de la cultura jurídica en la entidad.</w:t>
      </w:r>
      <w:bookmarkStart w:id="0" w:name="_GoBack"/>
      <w:bookmarkEnd w:id="0"/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81" w:rsidRDefault="00201081" w:rsidP="00E64D5D">
      <w:r>
        <w:separator/>
      </w:r>
    </w:p>
  </w:endnote>
  <w:endnote w:type="continuationSeparator" w:id="0">
    <w:p w:rsidR="00201081" w:rsidRDefault="0020108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5494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5494A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81" w:rsidRDefault="00201081" w:rsidP="00E64D5D">
      <w:r>
        <w:separator/>
      </w:r>
    </w:p>
  </w:footnote>
  <w:footnote w:type="continuationSeparator" w:id="0">
    <w:p w:rsidR="00201081" w:rsidRDefault="0020108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02913"/>
    <w:rsid w:val="00115C27"/>
    <w:rsid w:val="00153ED7"/>
    <w:rsid w:val="00161BD9"/>
    <w:rsid w:val="00195A93"/>
    <w:rsid w:val="001B17D1"/>
    <w:rsid w:val="001B20B2"/>
    <w:rsid w:val="001B78D5"/>
    <w:rsid w:val="001C3104"/>
    <w:rsid w:val="00200549"/>
    <w:rsid w:val="00201081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B26E1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66A84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0266F"/>
    <w:rsid w:val="0085494A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0BF"/>
    <w:rsid w:val="00937B03"/>
    <w:rsid w:val="00937B1E"/>
    <w:rsid w:val="00944CCD"/>
    <w:rsid w:val="00951128"/>
    <w:rsid w:val="00953BCD"/>
    <w:rsid w:val="00976DDD"/>
    <w:rsid w:val="009D3231"/>
    <w:rsid w:val="009D36E5"/>
    <w:rsid w:val="009F4F46"/>
    <w:rsid w:val="009F5C80"/>
    <w:rsid w:val="00A105BA"/>
    <w:rsid w:val="00A1397C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D49DF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05473"/>
    <w:rsid w:val="00C32EE3"/>
    <w:rsid w:val="00C42D98"/>
    <w:rsid w:val="00C80953"/>
    <w:rsid w:val="00C83ED1"/>
    <w:rsid w:val="00CA0E85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DD2BAE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D989C-D460-4D1A-8EF9-468BE2DD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2015-07-08T20:58:00Z</dcterms:created>
  <dcterms:modified xsi:type="dcterms:W3CDTF">2015-07-08T20:58:00Z</dcterms:modified>
</cp:coreProperties>
</file>