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71750C" w:rsidRDefault="0071750C" w:rsidP="00AC15FD">
            <w:pPr>
              <w:jc w:val="left"/>
              <w:rPr>
                <w:rFonts w:asciiTheme="minorHAnsi" w:hAnsiTheme="minorHAnsi" w:cstheme="minorHAnsi"/>
              </w:rPr>
            </w:pPr>
            <w:r w:rsidRPr="0071750C">
              <w:rPr>
                <w:rFonts w:asciiTheme="minorHAnsi" w:hAnsiTheme="minorHAnsi" w:cs="Arial"/>
                <w:color w:val="000000"/>
              </w:rPr>
              <w:t>Tribunal de lo Contencioso Administrativo del Estado de México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71750C" w:rsidRDefault="0071750C" w:rsidP="00537DCD">
            <w:pPr>
              <w:rPr>
                <w:rFonts w:asciiTheme="minorHAnsi" w:hAnsiTheme="minorHAnsi" w:cstheme="minorHAnsi"/>
              </w:rPr>
            </w:pPr>
            <w:r w:rsidRPr="0071750C">
              <w:rPr>
                <w:rFonts w:asciiTheme="minorHAnsi" w:hAnsiTheme="minorHAnsi" w:cs="Arial"/>
                <w:color w:val="000000"/>
              </w:rPr>
              <w:t>Establecer las bases para que ambas instituciones realicen conjuntamente diversas actividades encaminadas al fortalecimiento de la administración de justicia</w:t>
            </w:r>
            <w:r w:rsidR="00CA07B6" w:rsidRPr="0071750C">
              <w:rPr>
                <w:rFonts w:asciiTheme="minorHAnsi" w:hAnsiTheme="minorHAnsi" w:cs="Arial"/>
                <w:color w:val="000000"/>
              </w:rPr>
              <w:t>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71750C" w:rsidRDefault="0071750C" w:rsidP="007B1218">
            <w:pPr>
              <w:jc w:val="left"/>
              <w:rPr>
                <w:rFonts w:asciiTheme="minorHAnsi" w:hAnsiTheme="minorHAnsi" w:cstheme="minorHAnsi"/>
              </w:rPr>
            </w:pPr>
            <w:r w:rsidRPr="0071750C">
              <w:rPr>
                <w:rFonts w:asciiTheme="minorHAnsi" w:hAnsiTheme="minorHAnsi" w:cs="Arial"/>
              </w:rPr>
              <w:t>20-sep-07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71750C" w:rsidRDefault="0071750C" w:rsidP="007B1218">
            <w:pPr>
              <w:jc w:val="left"/>
              <w:rPr>
                <w:rFonts w:asciiTheme="minorHAnsi" w:hAnsiTheme="minorHAnsi" w:cstheme="minorHAnsi"/>
              </w:rPr>
            </w:pPr>
            <w:r w:rsidRPr="0071750C">
              <w:rPr>
                <w:rFonts w:asciiTheme="minorHAnsi" w:hAnsiTheme="minorHAnsi" w:cs="Arial"/>
                <w:color w:val="000000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6C1166" w:rsidRPr="006C5A6E" w:rsidTr="00A923C8">
        <w:tc>
          <w:tcPr>
            <w:tcW w:w="2448" w:type="dxa"/>
          </w:tcPr>
          <w:p w:rsidR="006C1166" w:rsidRPr="006C5A6E" w:rsidRDefault="006C1166" w:rsidP="00A923C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“</w:t>
            </w:r>
            <w:r w:rsidRPr="003C1C70">
              <w:rPr>
                <w:rFonts w:asciiTheme="minorHAnsi" w:hAnsiTheme="minorHAnsi" w:cstheme="minorHAnsi"/>
              </w:rPr>
              <w:t>El Procedimiento en el Juicio Contencioso Administrativo</w:t>
            </w:r>
            <w:r>
              <w:rPr>
                <w:rFonts w:asciiTheme="minorHAnsi" w:hAnsiTheme="minorHAnsi" w:cstheme="minorHAnsi"/>
              </w:rPr>
              <w:t>”</w:t>
            </w:r>
          </w:p>
        </w:tc>
        <w:tc>
          <w:tcPr>
            <w:tcW w:w="1620" w:type="dxa"/>
          </w:tcPr>
          <w:p w:rsidR="006C1166" w:rsidRPr="006C5A6E" w:rsidRDefault="006C1166" w:rsidP="00A923C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6C1166" w:rsidRPr="003C1C70" w:rsidRDefault="006C1166" w:rsidP="00A923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C1C70">
              <w:rPr>
                <w:rFonts w:asciiTheme="minorHAnsi" w:hAnsiTheme="minorHAnsi" w:cstheme="minorHAnsi"/>
                <w:sz w:val="20"/>
                <w:szCs w:val="20"/>
              </w:rPr>
              <w:t>12.03.2015</w:t>
            </w:r>
          </w:p>
        </w:tc>
        <w:tc>
          <w:tcPr>
            <w:tcW w:w="1350" w:type="dxa"/>
          </w:tcPr>
          <w:p w:rsidR="006C1166" w:rsidRPr="003C1C70" w:rsidRDefault="006C1166" w:rsidP="00A923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C1C70">
              <w:rPr>
                <w:rFonts w:asciiTheme="minorHAnsi" w:hAnsiTheme="minorHAnsi" w:cstheme="minorHAnsi"/>
                <w:sz w:val="20"/>
                <w:szCs w:val="20"/>
              </w:rPr>
              <w:t>12.03.2015</w:t>
            </w:r>
          </w:p>
        </w:tc>
        <w:tc>
          <w:tcPr>
            <w:tcW w:w="1600" w:type="dxa"/>
          </w:tcPr>
          <w:p w:rsidR="006C1166" w:rsidRPr="006C5A6E" w:rsidRDefault="006C1166" w:rsidP="00A923C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00.00</w:t>
            </w:r>
          </w:p>
        </w:tc>
        <w:tc>
          <w:tcPr>
            <w:tcW w:w="1559" w:type="dxa"/>
          </w:tcPr>
          <w:p w:rsidR="006C1166" w:rsidRPr="006C5A6E" w:rsidRDefault="006C1166" w:rsidP="00A923C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00.00</w:t>
            </w:r>
          </w:p>
        </w:tc>
      </w:tr>
    </w:tbl>
    <w:p w:rsidR="006C1166" w:rsidRPr="006C5A6E" w:rsidRDefault="006C1166" w:rsidP="006C1166">
      <w:pPr>
        <w:ind w:right="-235"/>
        <w:rPr>
          <w:rFonts w:asciiTheme="minorHAnsi" w:hAnsiTheme="minorHAnsi" w:cstheme="minorHAnsi"/>
        </w:rPr>
      </w:pPr>
    </w:p>
    <w:p w:rsidR="006C1166" w:rsidRDefault="006C1166" w:rsidP="006C1166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6C1166" w:rsidRDefault="006C1166" w:rsidP="006C1166">
      <w:pPr>
        <w:ind w:right="-235"/>
        <w:rPr>
          <w:rFonts w:asciiTheme="minorHAnsi" w:hAnsiTheme="minorHAnsi" w:cstheme="minorHAnsi"/>
        </w:rPr>
      </w:pPr>
    </w:p>
    <w:p w:rsidR="006C1166" w:rsidRPr="007A1BF9" w:rsidRDefault="006C1166" w:rsidP="006C1166">
      <w:pPr>
        <w:ind w:right="-235"/>
        <w:rPr>
          <w:rFonts w:asciiTheme="minorHAnsi" w:hAnsiTheme="minorHAnsi" w:cstheme="minorHAnsi"/>
          <w:b/>
        </w:rPr>
      </w:pPr>
      <w:r w:rsidRPr="007A1BF9">
        <w:rPr>
          <w:rFonts w:asciiTheme="minorHAnsi" w:hAnsiTheme="minorHAnsi" w:cstheme="minorHAnsi"/>
          <w:b/>
        </w:rPr>
        <w:t>Con la firma del Convenio Marco se ha solicita apoyo al tribunal de lo Contencioso Administrativo para la realización de eventos y nos apoyado sin la necesidad de contar con un Convenio Específico.</w:t>
      </w:r>
    </w:p>
    <w:p w:rsidR="006C1166" w:rsidRPr="006C5A6E" w:rsidRDefault="006C1166" w:rsidP="006C1166">
      <w:pPr>
        <w:ind w:right="-235"/>
        <w:rPr>
          <w:rFonts w:asciiTheme="minorHAnsi" w:hAnsiTheme="minorHAnsi" w:cstheme="minorHAnsi"/>
        </w:rPr>
      </w:pPr>
    </w:p>
    <w:p w:rsidR="00195A93" w:rsidRPr="006C5A6E" w:rsidRDefault="00195A93" w:rsidP="00A92C8B">
      <w:pPr>
        <w:ind w:right="-235"/>
        <w:rPr>
          <w:rFonts w:asciiTheme="minorHAnsi" w:hAnsiTheme="minorHAnsi" w:cstheme="minorHAnsi"/>
        </w:rPr>
      </w:pPr>
    </w:p>
    <w:sectPr w:rsidR="00195A93" w:rsidRPr="006C5A6E" w:rsidSect="00892A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800" w:rsidRDefault="008A0800" w:rsidP="00E64D5D">
      <w:r>
        <w:separator/>
      </w:r>
    </w:p>
  </w:endnote>
  <w:endnote w:type="continuationSeparator" w:id="0">
    <w:p w:rsidR="008A0800" w:rsidRDefault="008A0800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9F46A6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773773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9F46A6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773773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9F46A6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800" w:rsidRDefault="008A0800" w:rsidP="00E64D5D">
      <w:r>
        <w:separator/>
      </w:r>
    </w:p>
  </w:footnote>
  <w:footnote w:type="continuationSeparator" w:id="0">
    <w:p w:rsidR="008A0800" w:rsidRDefault="008A0800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64676"/>
    <w:rsid w:val="00087737"/>
    <w:rsid w:val="00095030"/>
    <w:rsid w:val="000A6B5F"/>
    <w:rsid w:val="000B4F42"/>
    <w:rsid w:val="000B6044"/>
    <w:rsid w:val="00101B58"/>
    <w:rsid w:val="00115C27"/>
    <w:rsid w:val="00143FAB"/>
    <w:rsid w:val="00161BD9"/>
    <w:rsid w:val="00170E97"/>
    <w:rsid w:val="00195A93"/>
    <w:rsid w:val="001A2071"/>
    <w:rsid w:val="001A290B"/>
    <w:rsid w:val="001A5040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513EB"/>
    <w:rsid w:val="00256410"/>
    <w:rsid w:val="00261959"/>
    <w:rsid w:val="00274964"/>
    <w:rsid w:val="00291262"/>
    <w:rsid w:val="0029234C"/>
    <w:rsid w:val="002F0ECD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C2D3F"/>
    <w:rsid w:val="003C3B38"/>
    <w:rsid w:val="003D28DC"/>
    <w:rsid w:val="003D4FC3"/>
    <w:rsid w:val="003E4936"/>
    <w:rsid w:val="00402CDB"/>
    <w:rsid w:val="00403D31"/>
    <w:rsid w:val="00405463"/>
    <w:rsid w:val="00466519"/>
    <w:rsid w:val="004948B8"/>
    <w:rsid w:val="004C6B2B"/>
    <w:rsid w:val="004E5772"/>
    <w:rsid w:val="00502AC5"/>
    <w:rsid w:val="005136B2"/>
    <w:rsid w:val="005241FC"/>
    <w:rsid w:val="005277AC"/>
    <w:rsid w:val="00537DCD"/>
    <w:rsid w:val="005502E2"/>
    <w:rsid w:val="00572E31"/>
    <w:rsid w:val="005A466E"/>
    <w:rsid w:val="005A65AF"/>
    <w:rsid w:val="005B1205"/>
    <w:rsid w:val="005C5FBC"/>
    <w:rsid w:val="005C66EF"/>
    <w:rsid w:val="005E03C0"/>
    <w:rsid w:val="006024AD"/>
    <w:rsid w:val="00625692"/>
    <w:rsid w:val="00625E2A"/>
    <w:rsid w:val="00651799"/>
    <w:rsid w:val="006545A1"/>
    <w:rsid w:val="00657E98"/>
    <w:rsid w:val="00677F9F"/>
    <w:rsid w:val="006810AF"/>
    <w:rsid w:val="0068143D"/>
    <w:rsid w:val="006832EF"/>
    <w:rsid w:val="006C1166"/>
    <w:rsid w:val="006C5A6E"/>
    <w:rsid w:val="006D1218"/>
    <w:rsid w:val="006E73EB"/>
    <w:rsid w:val="006F5234"/>
    <w:rsid w:val="00714DC9"/>
    <w:rsid w:val="0071750C"/>
    <w:rsid w:val="0072055E"/>
    <w:rsid w:val="007371DD"/>
    <w:rsid w:val="0074144C"/>
    <w:rsid w:val="00755AB4"/>
    <w:rsid w:val="007653D5"/>
    <w:rsid w:val="007667B0"/>
    <w:rsid w:val="00772F83"/>
    <w:rsid w:val="00773773"/>
    <w:rsid w:val="007830AD"/>
    <w:rsid w:val="00796E58"/>
    <w:rsid w:val="00797B30"/>
    <w:rsid w:val="007A35A2"/>
    <w:rsid w:val="007A6D34"/>
    <w:rsid w:val="007B3FC6"/>
    <w:rsid w:val="00807BA0"/>
    <w:rsid w:val="00815B1D"/>
    <w:rsid w:val="00876282"/>
    <w:rsid w:val="0088351B"/>
    <w:rsid w:val="00892A0F"/>
    <w:rsid w:val="00893093"/>
    <w:rsid w:val="00893308"/>
    <w:rsid w:val="00894CB6"/>
    <w:rsid w:val="008A0800"/>
    <w:rsid w:val="008E00B4"/>
    <w:rsid w:val="008F70B2"/>
    <w:rsid w:val="00933749"/>
    <w:rsid w:val="00937B1E"/>
    <w:rsid w:val="00944CCD"/>
    <w:rsid w:val="00951128"/>
    <w:rsid w:val="00953BCD"/>
    <w:rsid w:val="00956276"/>
    <w:rsid w:val="00976DDD"/>
    <w:rsid w:val="0099397D"/>
    <w:rsid w:val="009953F1"/>
    <w:rsid w:val="009C28BB"/>
    <w:rsid w:val="009D3231"/>
    <w:rsid w:val="009F46A6"/>
    <w:rsid w:val="009F4F46"/>
    <w:rsid w:val="009F5C80"/>
    <w:rsid w:val="00A105BA"/>
    <w:rsid w:val="00A1309D"/>
    <w:rsid w:val="00A27DE6"/>
    <w:rsid w:val="00A30592"/>
    <w:rsid w:val="00A309BC"/>
    <w:rsid w:val="00A347D6"/>
    <w:rsid w:val="00A43DB3"/>
    <w:rsid w:val="00A54D80"/>
    <w:rsid w:val="00A55367"/>
    <w:rsid w:val="00A8528F"/>
    <w:rsid w:val="00A908FA"/>
    <w:rsid w:val="00A92A04"/>
    <w:rsid w:val="00A92C8B"/>
    <w:rsid w:val="00A96112"/>
    <w:rsid w:val="00AA19BA"/>
    <w:rsid w:val="00AB0848"/>
    <w:rsid w:val="00AC1504"/>
    <w:rsid w:val="00AC15FD"/>
    <w:rsid w:val="00AE63A2"/>
    <w:rsid w:val="00AF01A0"/>
    <w:rsid w:val="00AF46B9"/>
    <w:rsid w:val="00B038D6"/>
    <w:rsid w:val="00B04176"/>
    <w:rsid w:val="00B05360"/>
    <w:rsid w:val="00B228A3"/>
    <w:rsid w:val="00B37EF3"/>
    <w:rsid w:val="00B50CC7"/>
    <w:rsid w:val="00B620C2"/>
    <w:rsid w:val="00B72A09"/>
    <w:rsid w:val="00B81016"/>
    <w:rsid w:val="00B81555"/>
    <w:rsid w:val="00B8588E"/>
    <w:rsid w:val="00BA4171"/>
    <w:rsid w:val="00BB18CC"/>
    <w:rsid w:val="00BB3509"/>
    <w:rsid w:val="00BB696E"/>
    <w:rsid w:val="00BC0A9B"/>
    <w:rsid w:val="00BD4A30"/>
    <w:rsid w:val="00BE45F5"/>
    <w:rsid w:val="00C02482"/>
    <w:rsid w:val="00C1185E"/>
    <w:rsid w:val="00C32EE3"/>
    <w:rsid w:val="00C80953"/>
    <w:rsid w:val="00C83ED1"/>
    <w:rsid w:val="00CA07B6"/>
    <w:rsid w:val="00CA1753"/>
    <w:rsid w:val="00CB13C6"/>
    <w:rsid w:val="00CB696A"/>
    <w:rsid w:val="00CC00E6"/>
    <w:rsid w:val="00CC2875"/>
    <w:rsid w:val="00CD0622"/>
    <w:rsid w:val="00CD4806"/>
    <w:rsid w:val="00CE26B8"/>
    <w:rsid w:val="00CE68B5"/>
    <w:rsid w:val="00CF557C"/>
    <w:rsid w:val="00D1670B"/>
    <w:rsid w:val="00D24628"/>
    <w:rsid w:val="00D4289C"/>
    <w:rsid w:val="00D506A5"/>
    <w:rsid w:val="00D55E02"/>
    <w:rsid w:val="00D828F1"/>
    <w:rsid w:val="00DB49CB"/>
    <w:rsid w:val="00DC0817"/>
    <w:rsid w:val="00E30C55"/>
    <w:rsid w:val="00E40797"/>
    <w:rsid w:val="00E5094F"/>
    <w:rsid w:val="00E53B24"/>
    <w:rsid w:val="00E54974"/>
    <w:rsid w:val="00E553CD"/>
    <w:rsid w:val="00E60E4E"/>
    <w:rsid w:val="00E64D5D"/>
    <w:rsid w:val="00E660E3"/>
    <w:rsid w:val="00E66397"/>
    <w:rsid w:val="00E84CB8"/>
    <w:rsid w:val="00EA0C35"/>
    <w:rsid w:val="00EC5982"/>
    <w:rsid w:val="00ED357F"/>
    <w:rsid w:val="00ED5DDB"/>
    <w:rsid w:val="00EE46E4"/>
    <w:rsid w:val="00EF1C1D"/>
    <w:rsid w:val="00F24E0C"/>
    <w:rsid w:val="00F302C5"/>
    <w:rsid w:val="00F46E02"/>
    <w:rsid w:val="00F968AB"/>
    <w:rsid w:val="00FB0D25"/>
    <w:rsid w:val="00FC2378"/>
    <w:rsid w:val="00FE3B4A"/>
    <w:rsid w:val="00FE6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4B8CB-6475-46E7-899D-0F62796A1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2013-07-08T22:59:00Z</cp:lastPrinted>
  <dcterms:created xsi:type="dcterms:W3CDTF">2015-07-08T21:52:00Z</dcterms:created>
  <dcterms:modified xsi:type="dcterms:W3CDTF">2015-07-08T21:52:00Z</dcterms:modified>
</cp:coreProperties>
</file>