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515B7E" w:rsidP="007B1218">
            <w:pPr>
              <w:jc w:val="left"/>
              <w:rPr>
                <w:rFonts w:asciiTheme="minorHAnsi" w:hAnsiTheme="minorHAnsi" w:cstheme="minorHAnsi"/>
              </w:rPr>
            </w:pPr>
            <w:r w:rsidRPr="00515B7E">
              <w:rPr>
                <w:rFonts w:asciiTheme="minorHAnsi" w:hAnsiTheme="minorHAnsi" w:cstheme="minorHAnsi"/>
              </w:rPr>
              <w:t>Poder Judicial del Estado de Quintana Roo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515B7E" w:rsidP="00537DCD">
            <w:pPr>
              <w:rPr>
                <w:rFonts w:asciiTheme="minorHAnsi" w:hAnsiTheme="minorHAnsi" w:cstheme="minorHAnsi"/>
              </w:rPr>
            </w:pPr>
            <w:r w:rsidRPr="00515B7E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566F3C" w:rsidP="007B1218">
            <w:pPr>
              <w:jc w:val="left"/>
              <w:rPr>
                <w:rFonts w:asciiTheme="minorHAnsi" w:hAnsiTheme="minorHAnsi" w:cstheme="minorHAnsi"/>
              </w:rPr>
            </w:pPr>
            <w:r w:rsidRPr="00566F3C">
              <w:rPr>
                <w:rFonts w:asciiTheme="minorHAnsi" w:hAnsiTheme="minorHAnsi" w:cstheme="minorHAnsi"/>
              </w:rPr>
              <w:t>18-mar-05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CA321A" w:rsidP="007B1218">
            <w:pPr>
              <w:jc w:val="left"/>
              <w:rPr>
                <w:rFonts w:asciiTheme="minorHAnsi" w:hAnsiTheme="minorHAnsi" w:cstheme="minorHAnsi"/>
              </w:rPr>
            </w:pPr>
            <w:r w:rsidRPr="00CA321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05135E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05135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05135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05135E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D6160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“Justicia Constitucional y Actualización Jurisprudencial”</w:t>
            </w:r>
          </w:p>
        </w:tc>
        <w:tc>
          <w:tcPr>
            <w:tcW w:w="1620" w:type="dxa"/>
          </w:tcPr>
          <w:p w:rsidR="005E03C0" w:rsidRPr="006C5A6E" w:rsidRDefault="0005135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170" w:type="dxa"/>
          </w:tcPr>
          <w:p w:rsidR="005E03C0" w:rsidRPr="006C5A6E" w:rsidRDefault="00D6160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de septiembre de 2009.</w:t>
            </w:r>
          </w:p>
        </w:tc>
        <w:tc>
          <w:tcPr>
            <w:tcW w:w="1350" w:type="dxa"/>
          </w:tcPr>
          <w:p w:rsidR="005E03C0" w:rsidRPr="006C5A6E" w:rsidRDefault="00D6160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noviembre de 2009.</w:t>
            </w:r>
          </w:p>
        </w:tc>
        <w:tc>
          <w:tcPr>
            <w:tcW w:w="1600" w:type="dxa"/>
          </w:tcPr>
          <w:p w:rsidR="005E03C0" w:rsidRPr="006C5A6E" w:rsidRDefault="0005135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5E03C0" w:rsidRPr="006C5A6E" w:rsidRDefault="0005135E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2A135B" w:rsidRPr="006C5A6E" w:rsidRDefault="002A135B" w:rsidP="002A135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intercambio de experiencias y de conocimientos que permiten fortalecer a los órganos encargados de  administrar justicia, así como la difusión de los servicios que prestan la Casa de la Cultura Jurídica.</w:t>
      </w:r>
    </w:p>
    <w:p w:rsidR="002A135B" w:rsidRPr="006C5A6E" w:rsidRDefault="002A135B" w:rsidP="00A92C8B">
      <w:pPr>
        <w:ind w:right="-235"/>
        <w:rPr>
          <w:rFonts w:asciiTheme="minorHAnsi" w:hAnsiTheme="minorHAnsi" w:cstheme="minorHAnsi"/>
        </w:rPr>
      </w:pPr>
    </w:p>
    <w:sectPr w:rsidR="002A135B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2F7" w:rsidRDefault="007252F7" w:rsidP="00E64D5D">
      <w:r>
        <w:separator/>
      </w:r>
    </w:p>
  </w:endnote>
  <w:endnote w:type="continuationSeparator" w:id="0">
    <w:p w:rsidR="007252F7" w:rsidRDefault="007252F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257F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257F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2F7" w:rsidRDefault="007252F7" w:rsidP="00E64D5D">
      <w:r>
        <w:separator/>
      </w:r>
    </w:p>
  </w:footnote>
  <w:footnote w:type="continuationSeparator" w:id="0">
    <w:p w:rsidR="007252F7" w:rsidRDefault="007252F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135E"/>
    <w:rsid w:val="00095030"/>
    <w:rsid w:val="000B4F42"/>
    <w:rsid w:val="000B6044"/>
    <w:rsid w:val="001058D5"/>
    <w:rsid w:val="001063B0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A135B"/>
    <w:rsid w:val="002D4FDF"/>
    <w:rsid w:val="002F0ECD"/>
    <w:rsid w:val="003110A5"/>
    <w:rsid w:val="003318FF"/>
    <w:rsid w:val="00360745"/>
    <w:rsid w:val="0036365F"/>
    <w:rsid w:val="0037291B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2344"/>
    <w:rsid w:val="00463AB7"/>
    <w:rsid w:val="00466519"/>
    <w:rsid w:val="004948B8"/>
    <w:rsid w:val="004C6B2B"/>
    <w:rsid w:val="00502AC5"/>
    <w:rsid w:val="005136B2"/>
    <w:rsid w:val="00515B7E"/>
    <w:rsid w:val="005241FC"/>
    <w:rsid w:val="005277AC"/>
    <w:rsid w:val="00537DCD"/>
    <w:rsid w:val="00566F3C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252F7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7E45CA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257FB"/>
    <w:rsid w:val="00C32EE3"/>
    <w:rsid w:val="00C53A0A"/>
    <w:rsid w:val="00C80953"/>
    <w:rsid w:val="00C83ED1"/>
    <w:rsid w:val="00CA321A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61607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143C8-D647-45EB-A707-8F942A30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2015-08-03T22:56:00Z</dcterms:created>
  <dcterms:modified xsi:type="dcterms:W3CDTF">2015-08-03T22:56:00Z</dcterms:modified>
</cp:coreProperties>
</file>