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EE3543" w:rsidP="007B1218">
            <w:pPr>
              <w:jc w:val="left"/>
              <w:rPr>
                <w:rFonts w:asciiTheme="minorHAnsi" w:hAnsiTheme="minorHAnsi" w:cstheme="minorHAnsi"/>
              </w:rPr>
            </w:pPr>
            <w:r w:rsidRPr="00EE3543">
              <w:rPr>
                <w:rFonts w:asciiTheme="minorHAnsi" w:hAnsiTheme="minorHAnsi" w:cstheme="minorHAnsi"/>
              </w:rPr>
              <w:t>Supremo Tribunal de Justicia del Estado de Chihuahua</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EE3543" w:rsidP="00537DCD">
            <w:pPr>
              <w:rPr>
                <w:rFonts w:asciiTheme="minorHAnsi" w:hAnsiTheme="minorHAnsi" w:cstheme="minorHAnsi"/>
              </w:rPr>
            </w:pPr>
            <w:r w:rsidRPr="00EE3543">
              <w:rPr>
                <w:rFonts w:asciiTheme="minorHAnsi" w:hAnsiTheme="minorHAnsi" w:cstheme="minorHAnsi"/>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E95074" w:rsidP="007B1218">
            <w:pPr>
              <w:jc w:val="left"/>
              <w:rPr>
                <w:rFonts w:asciiTheme="minorHAnsi" w:hAnsiTheme="minorHAnsi" w:cstheme="minorHAnsi"/>
              </w:rPr>
            </w:pPr>
            <w:r w:rsidRPr="00E95074">
              <w:rPr>
                <w:rFonts w:asciiTheme="minorHAnsi" w:hAnsiTheme="minorHAnsi" w:cstheme="minorHAnsi"/>
              </w:rPr>
              <w:t>04-abr-05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E95074" w:rsidP="007B1218">
            <w:pPr>
              <w:jc w:val="left"/>
              <w:rPr>
                <w:rFonts w:asciiTheme="minorHAnsi" w:hAnsiTheme="minorHAnsi" w:cstheme="minorHAnsi"/>
              </w:rPr>
            </w:pPr>
            <w:r w:rsidRPr="00E95074">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2030E6" w:rsidP="007B1218">
            <w:pPr>
              <w:jc w:val="center"/>
              <w:rPr>
                <w:rFonts w:asciiTheme="minorHAnsi" w:hAnsiTheme="minorHAnsi" w:cstheme="minorHAnsi"/>
              </w:rPr>
            </w:pPr>
            <w:r>
              <w:rPr>
                <w:rFonts w:asciiTheme="minorHAnsi" w:hAnsiTheme="minorHAnsi" w:cstheme="minorHAnsi"/>
              </w:rPr>
              <w:t>N/A</w:t>
            </w:r>
          </w:p>
        </w:tc>
        <w:tc>
          <w:tcPr>
            <w:tcW w:w="2835" w:type="dxa"/>
            <w:shd w:val="clear" w:color="auto" w:fill="auto"/>
            <w:vAlign w:val="center"/>
          </w:tcPr>
          <w:p w:rsidR="005E03C0" w:rsidRPr="006C5A6E" w:rsidRDefault="002030E6" w:rsidP="007B1218">
            <w:pPr>
              <w:jc w:val="center"/>
              <w:rPr>
                <w:rFonts w:asciiTheme="minorHAnsi" w:hAnsiTheme="minorHAnsi" w:cstheme="minorHAnsi"/>
              </w:rPr>
            </w:pPr>
            <w:r>
              <w:rPr>
                <w:rFonts w:asciiTheme="minorHAnsi" w:hAnsiTheme="minorHAnsi" w:cstheme="minorHAnsi"/>
              </w:rPr>
              <w:t>N/A</w:t>
            </w: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2030E6" w:rsidP="007B1218">
            <w:pPr>
              <w:jc w:val="center"/>
              <w:rPr>
                <w:rFonts w:asciiTheme="minorHAnsi" w:hAnsiTheme="minorHAnsi" w:cstheme="minorHAnsi"/>
              </w:rPr>
            </w:pPr>
            <w:r>
              <w:rPr>
                <w:rFonts w:asciiTheme="minorHAnsi" w:hAnsiTheme="minorHAnsi" w:cstheme="minorHAnsi"/>
              </w:rPr>
              <w:t>N/A</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4742AA" w:rsidRPr="006C5A6E" w:rsidTr="007B1218">
        <w:tc>
          <w:tcPr>
            <w:tcW w:w="2448" w:type="dxa"/>
          </w:tcPr>
          <w:p w:rsidR="004742AA" w:rsidRPr="006C5A6E" w:rsidRDefault="004742AA" w:rsidP="004742AA">
            <w:pPr>
              <w:rPr>
                <w:rFonts w:asciiTheme="minorHAnsi" w:hAnsiTheme="minorHAnsi" w:cstheme="minorHAnsi"/>
              </w:rPr>
            </w:pPr>
            <w:r>
              <w:rPr>
                <w:rFonts w:asciiTheme="minorHAnsi" w:hAnsiTheme="minorHAnsi" w:cstheme="minorHAnsi"/>
              </w:rPr>
              <w:t>Mesa Redonda sobre Juicios Orales</w:t>
            </w:r>
          </w:p>
        </w:tc>
        <w:tc>
          <w:tcPr>
            <w:tcW w:w="1620" w:type="dxa"/>
          </w:tcPr>
          <w:p w:rsidR="004742AA" w:rsidRPr="006C5A6E" w:rsidRDefault="004742AA" w:rsidP="004742AA">
            <w:pPr>
              <w:jc w:val="center"/>
              <w:rPr>
                <w:rFonts w:asciiTheme="minorHAnsi" w:hAnsiTheme="minorHAnsi" w:cstheme="minorHAnsi"/>
              </w:rPr>
            </w:pPr>
            <w:r>
              <w:rPr>
                <w:rFonts w:asciiTheme="minorHAnsi" w:hAnsiTheme="minorHAnsi" w:cstheme="minorHAnsi"/>
              </w:rPr>
              <w:t>STJE y UACH</w:t>
            </w:r>
          </w:p>
        </w:tc>
        <w:tc>
          <w:tcPr>
            <w:tcW w:w="1170" w:type="dxa"/>
          </w:tcPr>
          <w:p w:rsidR="004742AA" w:rsidRPr="006C5A6E" w:rsidRDefault="004742AA" w:rsidP="004742AA">
            <w:pPr>
              <w:jc w:val="center"/>
              <w:rPr>
                <w:rFonts w:asciiTheme="minorHAnsi" w:hAnsiTheme="minorHAnsi" w:cstheme="minorHAnsi"/>
              </w:rPr>
            </w:pPr>
            <w:r>
              <w:rPr>
                <w:rFonts w:asciiTheme="minorHAnsi" w:hAnsiTheme="minorHAnsi" w:cstheme="minorHAnsi"/>
              </w:rPr>
              <w:t>2007</w:t>
            </w:r>
          </w:p>
        </w:tc>
        <w:tc>
          <w:tcPr>
            <w:tcW w:w="1350" w:type="dxa"/>
          </w:tcPr>
          <w:p w:rsidR="004742AA" w:rsidRPr="006C5A6E" w:rsidRDefault="004742AA" w:rsidP="004742AA">
            <w:pPr>
              <w:jc w:val="center"/>
              <w:rPr>
                <w:rFonts w:asciiTheme="minorHAnsi" w:hAnsiTheme="minorHAnsi" w:cstheme="minorHAnsi"/>
              </w:rPr>
            </w:pPr>
            <w:r>
              <w:rPr>
                <w:rFonts w:asciiTheme="minorHAnsi" w:hAnsiTheme="minorHAnsi" w:cstheme="minorHAnsi"/>
              </w:rPr>
              <w:t>2007</w:t>
            </w:r>
          </w:p>
        </w:tc>
        <w:tc>
          <w:tcPr>
            <w:tcW w:w="1600" w:type="dxa"/>
          </w:tcPr>
          <w:p w:rsidR="004742AA" w:rsidRPr="006C5A6E" w:rsidRDefault="004742AA" w:rsidP="004742AA">
            <w:pPr>
              <w:rPr>
                <w:rFonts w:asciiTheme="minorHAnsi" w:hAnsiTheme="minorHAnsi" w:cstheme="minorHAnsi"/>
              </w:rPr>
            </w:pPr>
            <w:r>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6C5A6E"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t>Seminario “Situación Jurídica Penal de los Menores de Edad en México”</w:t>
            </w:r>
          </w:p>
        </w:tc>
        <w:tc>
          <w:tcPr>
            <w:tcW w:w="1620" w:type="dxa"/>
          </w:tcPr>
          <w:p w:rsidR="004742AA" w:rsidRDefault="004742AA" w:rsidP="004742AA">
            <w:pPr>
              <w:jc w:val="center"/>
              <w:rPr>
                <w:rFonts w:asciiTheme="minorHAnsi" w:hAnsiTheme="minorHAnsi" w:cstheme="minorHAnsi"/>
              </w:rPr>
            </w:pPr>
            <w:r>
              <w:rPr>
                <w:rFonts w:asciiTheme="minorHAnsi" w:hAnsiTheme="minorHAnsi" w:cstheme="minorHAnsi"/>
              </w:rPr>
              <w:t>STJE</w:t>
            </w:r>
          </w:p>
        </w:tc>
        <w:tc>
          <w:tcPr>
            <w:tcW w:w="1170" w:type="dxa"/>
          </w:tcPr>
          <w:p w:rsidR="004742AA" w:rsidRDefault="004742AA" w:rsidP="004742AA">
            <w:pPr>
              <w:jc w:val="center"/>
              <w:rPr>
                <w:rFonts w:asciiTheme="minorHAnsi" w:hAnsiTheme="minorHAnsi" w:cstheme="minorHAnsi"/>
              </w:rPr>
            </w:pPr>
            <w:r>
              <w:rPr>
                <w:rFonts w:asciiTheme="minorHAnsi" w:hAnsiTheme="minorHAnsi" w:cstheme="minorHAnsi"/>
              </w:rPr>
              <w:t>2008</w:t>
            </w:r>
          </w:p>
        </w:tc>
        <w:tc>
          <w:tcPr>
            <w:tcW w:w="1350" w:type="dxa"/>
          </w:tcPr>
          <w:p w:rsidR="004742AA" w:rsidRDefault="004742AA" w:rsidP="004742AA">
            <w:pPr>
              <w:jc w:val="center"/>
              <w:rPr>
                <w:rFonts w:asciiTheme="minorHAnsi" w:hAnsiTheme="minorHAnsi" w:cstheme="minorHAnsi"/>
              </w:rPr>
            </w:pPr>
            <w:r>
              <w:rPr>
                <w:rFonts w:asciiTheme="minorHAnsi" w:hAnsiTheme="minorHAnsi" w:cstheme="minorHAnsi"/>
              </w:rPr>
              <w:t>2008</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6C5A6E"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t>Presentación del libro “Ley de Amparo Comentada” de la Asociación Nacional de Magistrados de Circuito y Jueces de Distrito</w:t>
            </w:r>
          </w:p>
        </w:tc>
        <w:tc>
          <w:tcPr>
            <w:tcW w:w="1620" w:type="dxa"/>
          </w:tcPr>
          <w:p w:rsidR="004742AA" w:rsidRDefault="004742AA" w:rsidP="004742AA">
            <w:pPr>
              <w:jc w:val="center"/>
              <w:rPr>
                <w:rFonts w:asciiTheme="minorHAnsi" w:hAnsiTheme="minorHAnsi" w:cstheme="minorHAnsi"/>
              </w:rPr>
            </w:pPr>
            <w:r>
              <w:rPr>
                <w:rFonts w:asciiTheme="minorHAnsi" w:hAnsiTheme="minorHAnsi" w:cstheme="minorHAnsi"/>
              </w:rPr>
              <w:t>STJE</w:t>
            </w:r>
          </w:p>
        </w:tc>
        <w:tc>
          <w:tcPr>
            <w:tcW w:w="1170" w:type="dxa"/>
          </w:tcPr>
          <w:p w:rsidR="004742AA" w:rsidRDefault="004742AA" w:rsidP="004742AA">
            <w:pPr>
              <w:jc w:val="center"/>
              <w:rPr>
                <w:rFonts w:asciiTheme="minorHAnsi" w:hAnsiTheme="minorHAnsi" w:cstheme="minorHAnsi"/>
              </w:rPr>
            </w:pPr>
            <w:r>
              <w:rPr>
                <w:rFonts w:asciiTheme="minorHAnsi" w:hAnsiTheme="minorHAnsi" w:cstheme="minorHAnsi"/>
              </w:rPr>
              <w:t>2008</w:t>
            </w:r>
          </w:p>
        </w:tc>
        <w:tc>
          <w:tcPr>
            <w:tcW w:w="1350" w:type="dxa"/>
          </w:tcPr>
          <w:p w:rsidR="004742AA" w:rsidRDefault="004742AA" w:rsidP="004742AA">
            <w:pPr>
              <w:jc w:val="center"/>
              <w:rPr>
                <w:rFonts w:asciiTheme="minorHAnsi" w:hAnsiTheme="minorHAnsi" w:cstheme="minorHAnsi"/>
              </w:rPr>
            </w:pPr>
            <w:r>
              <w:rPr>
                <w:rFonts w:asciiTheme="minorHAnsi" w:hAnsiTheme="minorHAnsi" w:cstheme="minorHAnsi"/>
              </w:rPr>
              <w:t>2008</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6C5A6E" w:rsidTr="00145DC4">
        <w:trPr>
          <w:trHeight w:val="1531"/>
        </w:trPr>
        <w:tc>
          <w:tcPr>
            <w:tcW w:w="2448" w:type="dxa"/>
          </w:tcPr>
          <w:p w:rsidR="004742AA" w:rsidRDefault="004742AA" w:rsidP="004742AA">
            <w:pPr>
              <w:rPr>
                <w:rFonts w:asciiTheme="minorHAnsi" w:hAnsiTheme="minorHAnsi" w:cstheme="minorHAnsi"/>
              </w:rPr>
            </w:pPr>
            <w:r>
              <w:rPr>
                <w:rFonts w:asciiTheme="minorHAnsi" w:hAnsiTheme="minorHAnsi" w:cstheme="minorHAnsi"/>
              </w:rPr>
              <w:t>Presentación del Libro “Ley de Amparo Comentada, Herramientas del Juez y el Abogado”</w:t>
            </w:r>
          </w:p>
        </w:tc>
        <w:tc>
          <w:tcPr>
            <w:tcW w:w="1620" w:type="dxa"/>
          </w:tcPr>
          <w:p w:rsidR="004742AA" w:rsidRDefault="004742AA" w:rsidP="004742AA">
            <w:pPr>
              <w:jc w:val="center"/>
              <w:rPr>
                <w:rFonts w:asciiTheme="minorHAnsi" w:hAnsiTheme="minorHAnsi" w:cstheme="minorHAnsi"/>
              </w:rPr>
            </w:pPr>
            <w:r>
              <w:rPr>
                <w:rFonts w:asciiTheme="minorHAnsi" w:hAnsiTheme="minorHAnsi" w:cstheme="minorHAnsi"/>
              </w:rPr>
              <w:t>STJE</w:t>
            </w:r>
          </w:p>
        </w:tc>
        <w:tc>
          <w:tcPr>
            <w:tcW w:w="1170" w:type="dxa"/>
          </w:tcPr>
          <w:p w:rsidR="004742AA" w:rsidRDefault="004742AA" w:rsidP="004742AA">
            <w:pPr>
              <w:jc w:val="center"/>
              <w:rPr>
                <w:rFonts w:asciiTheme="minorHAnsi" w:hAnsiTheme="minorHAnsi" w:cstheme="minorHAnsi"/>
              </w:rPr>
            </w:pPr>
            <w:r>
              <w:rPr>
                <w:rFonts w:asciiTheme="minorHAnsi" w:hAnsiTheme="minorHAnsi" w:cstheme="minorHAnsi"/>
              </w:rPr>
              <w:t>2008</w:t>
            </w:r>
          </w:p>
        </w:tc>
        <w:tc>
          <w:tcPr>
            <w:tcW w:w="1350" w:type="dxa"/>
          </w:tcPr>
          <w:p w:rsidR="004742AA" w:rsidRDefault="004742AA" w:rsidP="004742AA">
            <w:pPr>
              <w:jc w:val="center"/>
              <w:rPr>
                <w:rFonts w:asciiTheme="minorHAnsi" w:hAnsiTheme="minorHAnsi" w:cstheme="minorHAnsi"/>
              </w:rPr>
            </w:pPr>
            <w:r>
              <w:rPr>
                <w:rFonts w:asciiTheme="minorHAnsi" w:hAnsiTheme="minorHAnsi" w:cstheme="minorHAnsi"/>
              </w:rPr>
              <w:t>2008</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6C5A6E"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lastRenderedPageBreak/>
              <w:t>Conferencia “Las Virtudes del Juzgador”</w:t>
            </w:r>
          </w:p>
        </w:tc>
        <w:tc>
          <w:tcPr>
            <w:tcW w:w="1620" w:type="dxa"/>
          </w:tcPr>
          <w:p w:rsidR="004742AA" w:rsidRDefault="004742AA" w:rsidP="004742AA">
            <w:pPr>
              <w:jc w:val="center"/>
              <w:rPr>
                <w:rFonts w:asciiTheme="minorHAnsi" w:hAnsiTheme="minorHAnsi" w:cstheme="minorHAnsi"/>
              </w:rPr>
            </w:pPr>
            <w:r>
              <w:rPr>
                <w:rFonts w:asciiTheme="minorHAnsi" w:hAnsiTheme="minorHAnsi" w:cstheme="minorHAnsi"/>
              </w:rPr>
              <w:t>STJE</w:t>
            </w:r>
          </w:p>
        </w:tc>
        <w:tc>
          <w:tcPr>
            <w:tcW w:w="1170" w:type="dxa"/>
          </w:tcPr>
          <w:p w:rsidR="004742AA" w:rsidRDefault="004742AA" w:rsidP="004742AA">
            <w:pPr>
              <w:jc w:val="center"/>
              <w:rPr>
                <w:rFonts w:asciiTheme="minorHAnsi" w:hAnsiTheme="minorHAnsi" w:cstheme="minorHAnsi"/>
              </w:rPr>
            </w:pPr>
            <w:r>
              <w:rPr>
                <w:rFonts w:asciiTheme="minorHAnsi" w:hAnsiTheme="minorHAnsi" w:cstheme="minorHAnsi"/>
              </w:rPr>
              <w:t>2009</w:t>
            </w:r>
          </w:p>
        </w:tc>
        <w:tc>
          <w:tcPr>
            <w:tcW w:w="1350" w:type="dxa"/>
          </w:tcPr>
          <w:p w:rsidR="004742AA" w:rsidRDefault="004742AA" w:rsidP="004742AA">
            <w:pPr>
              <w:jc w:val="center"/>
              <w:rPr>
                <w:rFonts w:asciiTheme="minorHAnsi" w:hAnsiTheme="minorHAnsi" w:cstheme="minorHAnsi"/>
              </w:rPr>
            </w:pPr>
            <w:r>
              <w:rPr>
                <w:rFonts w:asciiTheme="minorHAnsi" w:hAnsiTheme="minorHAnsi" w:cstheme="minorHAnsi"/>
              </w:rPr>
              <w:t>2009</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6C5A6E"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t>Diplomado “Reforma en Materia Penal”</w:t>
            </w:r>
          </w:p>
        </w:tc>
        <w:tc>
          <w:tcPr>
            <w:tcW w:w="1620" w:type="dxa"/>
          </w:tcPr>
          <w:p w:rsidR="004742AA" w:rsidRDefault="004742AA" w:rsidP="004742AA">
            <w:pPr>
              <w:jc w:val="center"/>
              <w:rPr>
                <w:rFonts w:asciiTheme="minorHAnsi" w:hAnsiTheme="minorHAnsi" w:cstheme="minorHAnsi"/>
              </w:rPr>
            </w:pPr>
            <w:r>
              <w:rPr>
                <w:rFonts w:asciiTheme="minorHAnsi" w:hAnsiTheme="minorHAnsi" w:cstheme="minorHAnsi"/>
              </w:rPr>
              <w:t>STJE</w:t>
            </w:r>
          </w:p>
        </w:tc>
        <w:tc>
          <w:tcPr>
            <w:tcW w:w="1170" w:type="dxa"/>
          </w:tcPr>
          <w:p w:rsidR="004742AA" w:rsidRDefault="004742AA" w:rsidP="004742AA">
            <w:pPr>
              <w:jc w:val="center"/>
              <w:rPr>
                <w:rFonts w:asciiTheme="minorHAnsi" w:hAnsiTheme="minorHAnsi" w:cstheme="minorHAnsi"/>
              </w:rPr>
            </w:pPr>
            <w:r>
              <w:rPr>
                <w:rFonts w:asciiTheme="minorHAnsi" w:hAnsiTheme="minorHAnsi" w:cstheme="minorHAnsi"/>
              </w:rPr>
              <w:t>2010</w:t>
            </w:r>
          </w:p>
        </w:tc>
        <w:tc>
          <w:tcPr>
            <w:tcW w:w="1350" w:type="dxa"/>
          </w:tcPr>
          <w:p w:rsidR="004742AA" w:rsidRDefault="004742AA" w:rsidP="004742AA">
            <w:pPr>
              <w:jc w:val="center"/>
              <w:rPr>
                <w:rFonts w:asciiTheme="minorHAnsi" w:hAnsiTheme="minorHAnsi" w:cstheme="minorHAnsi"/>
              </w:rPr>
            </w:pPr>
            <w:r>
              <w:rPr>
                <w:rFonts w:asciiTheme="minorHAnsi" w:hAnsiTheme="minorHAnsi" w:cstheme="minorHAnsi"/>
              </w:rPr>
              <w:t>2010</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6C5A6E"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t>Conferencia “La Fórmula Otero en el Juicio de Amparo”</w:t>
            </w:r>
          </w:p>
        </w:tc>
        <w:tc>
          <w:tcPr>
            <w:tcW w:w="1620" w:type="dxa"/>
          </w:tcPr>
          <w:p w:rsidR="004742AA" w:rsidRDefault="004742AA" w:rsidP="004742AA">
            <w:pPr>
              <w:jc w:val="center"/>
              <w:rPr>
                <w:rFonts w:asciiTheme="minorHAnsi" w:hAnsiTheme="minorHAnsi" w:cstheme="minorHAnsi"/>
              </w:rPr>
            </w:pPr>
            <w:r>
              <w:rPr>
                <w:rFonts w:asciiTheme="minorHAnsi" w:hAnsiTheme="minorHAnsi" w:cstheme="minorHAnsi"/>
              </w:rPr>
              <w:t>STJE, TEE, IEJ, ANJMF</w:t>
            </w:r>
          </w:p>
        </w:tc>
        <w:tc>
          <w:tcPr>
            <w:tcW w:w="1170" w:type="dxa"/>
          </w:tcPr>
          <w:p w:rsidR="004742AA" w:rsidRDefault="004742AA" w:rsidP="004742AA">
            <w:pPr>
              <w:jc w:val="center"/>
              <w:rPr>
                <w:rFonts w:asciiTheme="minorHAnsi" w:hAnsiTheme="minorHAnsi" w:cstheme="minorHAnsi"/>
              </w:rPr>
            </w:pPr>
            <w:r>
              <w:rPr>
                <w:rFonts w:asciiTheme="minorHAnsi" w:hAnsiTheme="minorHAnsi" w:cstheme="minorHAnsi"/>
              </w:rPr>
              <w:t>2014</w:t>
            </w:r>
          </w:p>
        </w:tc>
        <w:tc>
          <w:tcPr>
            <w:tcW w:w="1350" w:type="dxa"/>
          </w:tcPr>
          <w:p w:rsidR="004742AA" w:rsidRDefault="004742AA" w:rsidP="004742AA">
            <w:pPr>
              <w:jc w:val="center"/>
              <w:rPr>
                <w:rFonts w:asciiTheme="minorHAnsi" w:hAnsiTheme="minorHAnsi" w:cstheme="minorHAnsi"/>
              </w:rPr>
            </w:pPr>
            <w:r>
              <w:rPr>
                <w:rFonts w:asciiTheme="minorHAnsi" w:hAnsiTheme="minorHAnsi" w:cstheme="minorHAnsi"/>
              </w:rPr>
              <w:t>2014</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C03C00"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t>Ciclo de Conferencia en Honor al Día del Abogado</w:t>
            </w:r>
          </w:p>
        </w:tc>
        <w:tc>
          <w:tcPr>
            <w:tcW w:w="1620" w:type="dxa"/>
          </w:tcPr>
          <w:p w:rsidR="004742AA" w:rsidRPr="00C03C00" w:rsidRDefault="004742AA" w:rsidP="004742AA">
            <w:pPr>
              <w:jc w:val="center"/>
              <w:rPr>
                <w:rFonts w:asciiTheme="minorHAnsi" w:hAnsiTheme="minorHAnsi" w:cstheme="minorHAnsi"/>
                <w:lang w:val="en-US"/>
              </w:rPr>
            </w:pPr>
            <w:r w:rsidRPr="00C03C00">
              <w:rPr>
                <w:rFonts w:asciiTheme="minorHAnsi" w:hAnsiTheme="minorHAnsi" w:cstheme="minorHAnsi"/>
                <w:lang w:val="en-US"/>
              </w:rPr>
              <w:t>STJE, CACH, TEE, CEDH, CCAAM</w:t>
            </w:r>
          </w:p>
        </w:tc>
        <w:tc>
          <w:tcPr>
            <w:tcW w:w="1170" w:type="dxa"/>
          </w:tcPr>
          <w:p w:rsidR="004742AA" w:rsidRPr="00C03C00" w:rsidRDefault="004742AA" w:rsidP="004742AA">
            <w:pPr>
              <w:jc w:val="center"/>
              <w:rPr>
                <w:rFonts w:asciiTheme="minorHAnsi" w:hAnsiTheme="minorHAnsi" w:cstheme="minorHAnsi"/>
                <w:lang w:val="en-US"/>
              </w:rPr>
            </w:pPr>
            <w:r>
              <w:rPr>
                <w:rFonts w:asciiTheme="minorHAnsi" w:hAnsiTheme="minorHAnsi" w:cstheme="minorHAnsi"/>
                <w:lang w:val="en-US"/>
              </w:rPr>
              <w:t>07/07/14</w:t>
            </w:r>
          </w:p>
        </w:tc>
        <w:tc>
          <w:tcPr>
            <w:tcW w:w="1350" w:type="dxa"/>
          </w:tcPr>
          <w:p w:rsidR="004742AA" w:rsidRPr="00C03C00" w:rsidRDefault="004742AA" w:rsidP="004742AA">
            <w:pPr>
              <w:jc w:val="center"/>
              <w:rPr>
                <w:rFonts w:asciiTheme="minorHAnsi" w:hAnsiTheme="minorHAnsi" w:cstheme="minorHAnsi"/>
                <w:lang w:val="en-US"/>
              </w:rPr>
            </w:pPr>
            <w:r>
              <w:rPr>
                <w:rFonts w:asciiTheme="minorHAnsi" w:hAnsiTheme="minorHAnsi" w:cstheme="minorHAnsi"/>
                <w:lang w:val="en-US"/>
              </w:rPr>
              <w:t>11/07/14</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p>
        </w:tc>
      </w:tr>
      <w:tr w:rsidR="004742AA" w:rsidRPr="00C03C00" w:rsidTr="007B1218">
        <w:tc>
          <w:tcPr>
            <w:tcW w:w="2448" w:type="dxa"/>
          </w:tcPr>
          <w:p w:rsidR="004742AA" w:rsidRDefault="004742AA" w:rsidP="004742AA">
            <w:pPr>
              <w:rPr>
                <w:rFonts w:asciiTheme="minorHAnsi" w:hAnsiTheme="minorHAnsi" w:cstheme="minorHAnsi"/>
              </w:rPr>
            </w:pPr>
            <w:r>
              <w:rPr>
                <w:rFonts w:asciiTheme="minorHAnsi" w:hAnsiTheme="minorHAnsi" w:cstheme="minorHAnsi"/>
              </w:rPr>
              <w:t>Ciclo de Conferencia en Honor al Día del Abogado</w:t>
            </w:r>
          </w:p>
        </w:tc>
        <w:tc>
          <w:tcPr>
            <w:tcW w:w="1620" w:type="dxa"/>
          </w:tcPr>
          <w:p w:rsidR="004742AA" w:rsidRPr="00C03C00" w:rsidRDefault="004742AA" w:rsidP="004742AA">
            <w:pPr>
              <w:jc w:val="center"/>
              <w:rPr>
                <w:rFonts w:asciiTheme="minorHAnsi" w:hAnsiTheme="minorHAnsi" w:cstheme="minorHAnsi"/>
              </w:rPr>
            </w:pPr>
            <w:r>
              <w:rPr>
                <w:rFonts w:asciiTheme="minorHAnsi" w:hAnsiTheme="minorHAnsi" w:cstheme="minorHAnsi"/>
              </w:rPr>
              <w:t>STJE, TEE, FECCA</w:t>
            </w:r>
          </w:p>
        </w:tc>
        <w:tc>
          <w:tcPr>
            <w:tcW w:w="1170" w:type="dxa"/>
          </w:tcPr>
          <w:p w:rsidR="004742AA" w:rsidRPr="00C03C00" w:rsidRDefault="004742AA" w:rsidP="004742AA">
            <w:pPr>
              <w:jc w:val="center"/>
              <w:rPr>
                <w:rFonts w:asciiTheme="minorHAnsi" w:hAnsiTheme="minorHAnsi" w:cstheme="minorHAnsi"/>
              </w:rPr>
            </w:pPr>
            <w:r>
              <w:rPr>
                <w:rFonts w:asciiTheme="minorHAnsi" w:hAnsiTheme="minorHAnsi" w:cstheme="minorHAnsi"/>
              </w:rPr>
              <w:t>08/07/15</w:t>
            </w:r>
          </w:p>
        </w:tc>
        <w:tc>
          <w:tcPr>
            <w:tcW w:w="1350" w:type="dxa"/>
          </w:tcPr>
          <w:p w:rsidR="004742AA" w:rsidRPr="00C03C00" w:rsidRDefault="004742AA" w:rsidP="004742AA">
            <w:pPr>
              <w:jc w:val="center"/>
              <w:rPr>
                <w:rFonts w:asciiTheme="minorHAnsi" w:hAnsiTheme="minorHAnsi" w:cstheme="minorHAnsi"/>
              </w:rPr>
            </w:pPr>
            <w:r>
              <w:rPr>
                <w:rFonts w:asciiTheme="minorHAnsi" w:hAnsiTheme="minorHAnsi" w:cstheme="minorHAnsi"/>
              </w:rPr>
              <w:t>10/07/15</w:t>
            </w:r>
          </w:p>
        </w:tc>
        <w:tc>
          <w:tcPr>
            <w:tcW w:w="1600" w:type="dxa"/>
          </w:tcPr>
          <w:p w:rsidR="004742AA" w:rsidRDefault="004742AA" w:rsidP="004742AA">
            <w:r w:rsidRPr="007A5C15">
              <w:rPr>
                <w:rFonts w:asciiTheme="minorHAnsi" w:hAnsiTheme="minorHAnsi" w:cstheme="minorHAnsi"/>
              </w:rPr>
              <w:t>N/A</w:t>
            </w:r>
          </w:p>
        </w:tc>
        <w:tc>
          <w:tcPr>
            <w:tcW w:w="1559" w:type="dxa"/>
          </w:tcPr>
          <w:p w:rsidR="004742AA" w:rsidRDefault="004742AA" w:rsidP="004742AA">
            <w:r w:rsidRPr="00E954AC">
              <w:rPr>
                <w:rFonts w:asciiTheme="minorHAnsi" w:hAnsiTheme="minorHAnsi" w:cstheme="minorHAnsi"/>
              </w:rPr>
              <w:t>N/A</w:t>
            </w:r>
            <w:bookmarkStart w:id="0" w:name="_GoBack"/>
            <w:bookmarkEnd w:id="0"/>
          </w:p>
        </w:tc>
      </w:tr>
    </w:tbl>
    <w:p w:rsidR="00B038D6" w:rsidRPr="00C03C00"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Default="00195A93" w:rsidP="00A92C8B">
      <w:pPr>
        <w:ind w:right="-235"/>
        <w:rPr>
          <w:rFonts w:asciiTheme="minorHAnsi" w:hAnsiTheme="minorHAnsi" w:cstheme="minorHAnsi"/>
        </w:rPr>
      </w:pPr>
    </w:p>
    <w:p w:rsidR="001126DE" w:rsidRDefault="001126DE" w:rsidP="001126DE">
      <w:pPr>
        <w:ind w:right="-235"/>
        <w:rPr>
          <w:rFonts w:asciiTheme="minorHAnsi" w:hAnsiTheme="minorHAnsi" w:cstheme="minorHAnsi"/>
        </w:rPr>
      </w:pPr>
      <w:r>
        <w:rPr>
          <w:rFonts w:asciiTheme="minorHAnsi" w:hAnsiTheme="minorHAnsi" w:cstheme="minorHAnsi"/>
        </w:rPr>
        <w:t>Beneficio para ambas instituciones, ya que se cumplieron los objetivos planteados en el programa anual de trabajo, difundir la cultura jurídica atreves de las diversas capacitaciones para estudiantes de la carrera de derecho, así como de los abogados litigantes, funcionarios de los tres niveles interesados en adquirir conocimientos y ser mejor profesionistas.</w:t>
      </w:r>
    </w:p>
    <w:p w:rsidR="001126DE" w:rsidRPr="006C5A6E" w:rsidRDefault="001126DE" w:rsidP="00A92C8B">
      <w:pPr>
        <w:ind w:right="-235"/>
        <w:rPr>
          <w:rFonts w:asciiTheme="minorHAnsi" w:hAnsiTheme="minorHAnsi" w:cstheme="minorHAnsi"/>
        </w:rPr>
      </w:pPr>
    </w:p>
    <w:sectPr w:rsidR="001126DE"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77B" w:rsidRDefault="004B477B" w:rsidP="00E64D5D">
      <w:r>
        <w:separator/>
      </w:r>
    </w:p>
  </w:endnote>
  <w:endnote w:type="continuationSeparator" w:id="0">
    <w:p w:rsidR="004B477B" w:rsidRDefault="004B477B"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4742AA">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B41381"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4742AA">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FF989C"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77B" w:rsidRDefault="004B477B" w:rsidP="00E64D5D">
      <w:r>
        <w:separator/>
      </w:r>
    </w:p>
  </w:footnote>
  <w:footnote w:type="continuationSeparator" w:id="0">
    <w:p w:rsidR="004B477B" w:rsidRDefault="004B477B"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95030"/>
    <w:rsid w:val="000B4F42"/>
    <w:rsid w:val="000B6044"/>
    <w:rsid w:val="001126DE"/>
    <w:rsid w:val="00115C27"/>
    <w:rsid w:val="00145DC4"/>
    <w:rsid w:val="00161BD9"/>
    <w:rsid w:val="00195A93"/>
    <w:rsid w:val="001B17D1"/>
    <w:rsid w:val="001B20B2"/>
    <w:rsid w:val="001B78D5"/>
    <w:rsid w:val="001C3104"/>
    <w:rsid w:val="00200549"/>
    <w:rsid w:val="002030E6"/>
    <w:rsid w:val="00210DC8"/>
    <w:rsid w:val="0021708A"/>
    <w:rsid w:val="00225E7A"/>
    <w:rsid w:val="0023072E"/>
    <w:rsid w:val="00236EC1"/>
    <w:rsid w:val="00256410"/>
    <w:rsid w:val="00261959"/>
    <w:rsid w:val="00274964"/>
    <w:rsid w:val="00291262"/>
    <w:rsid w:val="0029234C"/>
    <w:rsid w:val="002F0ECD"/>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742AA"/>
    <w:rsid w:val="00492D75"/>
    <w:rsid w:val="004948B8"/>
    <w:rsid w:val="004B477B"/>
    <w:rsid w:val="004C6B2B"/>
    <w:rsid w:val="00502AC5"/>
    <w:rsid w:val="005136B2"/>
    <w:rsid w:val="005241FC"/>
    <w:rsid w:val="005277AC"/>
    <w:rsid w:val="00537DCD"/>
    <w:rsid w:val="00560D7A"/>
    <w:rsid w:val="00572E31"/>
    <w:rsid w:val="00575C20"/>
    <w:rsid w:val="005A466E"/>
    <w:rsid w:val="005B1205"/>
    <w:rsid w:val="005C5FBC"/>
    <w:rsid w:val="005E03C0"/>
    <w:rsid w:val="005F2B1D"/>
    <w:rsid w:val="006024AD"/>
    <w:rsid w:val="00625E2A"/>
    <w:rsid w:val="006545A1"/>
    <w:rsid w:val="00657E98"/>
    <w:rsid w:val="00677F9F"/>
    <w:rsid w:val="0068143D"/>
    <w:rsid w:val="006832EF"/>
    <w:rsid w:val="006C5A6E"/>
    <w:rsid w:val="006D1218"/>
    <w:rsid w:val="006E73EB"/>
    <w:rsid w:val="006F5234"/>
    <w:rsid w:val="00714DC9"/>
    <w:rsid w:val="007371DD"/>
    <w:rsid w:val="0074144C"/>
    <w:rsid w:val="00755AB4"/>
    <w:rsid w:val="007667B0"/>
    <w:rsid w:val="007830AD"/>
    <w:rsid w:val="00796E58"/>
    <w:rsid w:val="007A35A2"/>
    <w:rsid w:val="007A6D34"/>
    <w:rsid w:val="007B3FC6"/>
    <w:rsid w:val="007D7889"/>
    <w:rsid w:val="00876282"/>
    <w:rsid w:val="0088351B"/>
    <w:rsid w:val="00892A0F"/>
    <w:rsid w:val="00893093"/>
    <w:rsid w:val="00893308"/>
    <w:rsid w:val="00894CB6"/>
    <w:rsid w:val="008E00B4"/>
    <w:rsid w:val="008F70B2"/>
    <w:rsid w:val="00933749"/>
    <w:rsid w:val="00937B1E"/>
    <w:rsid w:val="00944CCD"/>
    <w:rsid w:val="00951128"/>
    <w:rsid w:val="00953BCD"/>
    <w:rsid w:val="00976DDD"/>
    <w:rsid w:val="009D3231"/>
    <w:rsid w:val="009F4F46"/>
    <w:rsid w:val="009F5C80"/>
    <w:rsid w:val="00A105BA"/>
    <w:rsid w:val="00A27DE6"/>
    <w:rsid w:val="00A309BC"/>
    <w:rsid w:val="00A43DB3"/>
    <w:rsid w:val="00A55367"/>
    <w:rsid w:val="00A8528F"/>
    <w:rsid w:val="00A908FA"/>
    <w:rsid w:val="00A92C8B"/>
    <w:rsid w:val="00A96112"/>
    <w:rsid w:val="00AA19BA"/>
    <w:rsid w:val="00AB0848"/>
    <w:rsid w:val="00AC1504"/>
    <w:rsid w:val="00AE63A2"/>
    <w:rsid w:val="00B038D6"/>
    <w:rsid w:val="00B05360"/>
    <w:rsid w:val="00B228A3"/>
    <w:rsid w:val="00B37EF3"/>
    <w:rsid w:val="00B50CC7"/>
    <w:rsid w:val="00B620C2"/>
    <w:rsid w:val="00B72A09"/>
    <w:rsid w:val="00B81016"/>
    <w:rsid w:val="00B81555"/>
    <w:rsid w:val="00BA4171"/>
    <w:rsid w:val="00BB18CC"/>
    <w:rsid w:val="00BB3509"/>
    <w:rsid w:val="00BB696E"/>
    <w:rsid w:val="00BD4A30"/>
    <w:rsid w:val="00BE45F5"/>
    <w:rsid w:val="00C02482"/>
    <w:rsid w:val="00C03C00"/>
    <w:rsid w:val="00C32EE3"/>
    <w:rsid w:val="00C80953"/>
    <w:rsid w:val="00C83ED1"/>
    <w:rsid w:val="00CB13C6"/>
    <w:rsid w:val="00CB696A"/>
    <w:rsid w:val="00CC2875"/>
    <w:rsid w:val="00CD0622"/>
    <w:rsid w:val="00CD4806"/>
    <w:rsid w:val="00CE26B8"/>
    <w:rsid w:val="00CE68B5"/>
    <w:rsid w:val="00CF4396"/>
    <w:rsid w:val="00CF557C"/>
    <w:rsid w:val="00D4289C"/>
    <w:rsid w:val="00D55E02"/>
    <w:rsid w:val="00D828F1"/>
    <w:rsid w:val="00DB49CB"/>
    <w:rsid w:val="00DC0817"/>
    <w:rsid w:val="00E40797"/>
    <w:rsid w:val="00E5094F"/>
    <w:rsid w:val="00E53B24"/>
    <w:rsid w:val="00E54974"/>
    <w:rsid w:val="00E60E4E"/>
    <w:rsid w:val="00E64D5D"/>
    <w:rsid w:val="00E660E3"/>
    <w:rsid w:val="00E66397"/>
    <w:rsid w:val="00E84CB8"/>
    <w:rsid w:val="00E95074"/>
    <w:rsid w:val="00ED357F"/>
    <w:rsid w:val="00EE3543"/>
    <w:rsid w:val="00EE46E4"/>
    <w:rsid w:val="00EF1C1D"/>
    <w:rsid w:val="00F15CBB"/>
    <w:rsid w:val="00F24E0C"/>
    <w:rsid w:val="00F46E02"/>
    <w:rsid w:val="00F74998"/>
    <w:rsid w:val="00F968AB"/>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486952-1B43-4C69-8BDD-CFCEDFE4F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13390802">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DE1C-452D-48A1-9DB1-997E873F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1952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3</cp:revision>
  <cp:lastPrinted>2013-07-08T22:59:00Z</cp:lastPrinted>
  <dcterms:created xsi:type="dcterms:W3CDTF">2015-08-03T21:27:00Z</dcterms:created>
  <dcterms:modified xsi:type="dcterms:W3CDTF">2019-05-17T17:14:00Z</dcterms:modified>
</cp:coreProperties>
</file>