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CA07B6" w:rsidRDefault="00CA07B6" w:rsidP="00AC15FD">
            <w:pPr>
              <w:jc w:val="left"/>
              <w:rPr>
                <w:rFonts w:asciiTheme="minorHAnsi" w:hAnsiTheme="minorHAnsi" w:cstheme="minorHAnsi"/>
              </w:rPr>
            </w:pPr>
            <w:r w:rsidRPr="00CA07B6">
              <w:rPr>
                <w:rFonts w:asciiTheme="minorHAnsi" w:hAnsiTheme="minorHAnsi" w:cs="Arial"/>
              </w:rPr>
              <w:t>Universidad Autónoma del Estado de México</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CA07B6" w:rsidRDefault="00CA07B6" w:rsidP="00537DCD">
            <w:pPr>
              <w:rPr>
                <w:rFonts w:asciiTheme="minorHAnsi" w:hAnsiTheme="minorHAnsi" w:cstheme="minorHAnsi"/>
              </w:rPr>
            </w:pPr>
            <w:r w:rsidRPr="00CA07B6">
              <w:rPr>
                <w:rFonts w:asciiTheme="minorHAnsi" w:hAnsiTheme="minorHAnsi" w:cs="Arial"/>
                <w:color w:val="000000"/>
              </w:rPr>
              <w:t>Establecer las bases para que ambas instituciones realicen conjuntamente acciones de investigación y difusión.</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5C66EF" w:rsidRDefault="005C66EF" w:rsidP="007B1218">
            <w:pPr>
              <w:jc w:val="left"/>
              <w:rPr>
                <w:rFonts w:asciiTheme="minorHAnsi" w:hAnsiTheme="minorHAnsi" w:cstheme="minorHAnsi"/>
              </w:rPr>
            </w:pPr>
            <w:r w:rsidRPr="005C66EF">
              <w:rPr>
                <w:rFonts w:asciiTheme="minorHAnsi" w:hAnsiTheme="minorHAnsi" w:cs="Arial"/>
                <w:color w:val="000000"/>
              </w:rPr>
              <w:t>11-nov-05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CA07B6" w:rsidRDefault="00CA07B6" w:rsidP="007B1218">
            <w:pPr>
              <w:jc w:val="left"/>
              <w:rPr>
                <w:rFonts w:asciiTheme="minorHAnsi" w:hAnsiTheme="minorHAnsi" w:cstheme="minorHAnsi"/>
              </w:rPr>
            </w:pPr>
            <w:r w:rsidRPr="00CA07B6">
              <w:rPr>
                <w:rFonts w:asciiTheme="minorHAnsi" w:hAnsiTheme="minorHAnsi" w:cs="Arial"/>
                <w:color w:val="000000"/>
              </w:rPr>
              <w:t>11-nov-08</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4111"/>
        <w:gridCol w:w="2409"/>
      </w:tblGrid>
      <w:tr w:rsidR="005E03C0" w:rsidRPr="006C5A6E" w:rsidTr="006935AD">
        <w:tc>
          <w:tcPr>
            <w:tcW w:w="3227"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6520" w:type="dxa"/>
            <w:gridSpan w:val="2"/>
            <w:tcBorders>
              <w:right w:val="single" w:sz="4" w:space="0" w:color="auto"/>
            </w:tcBorders>
            <w:vAlign w:val="center"/>
          </w:tcPr>
          <w:p w:rsidR="005E03C0" w:rsidRPr="006C5A6E" w:rsidRDefault="00B3629E" w:rsidP="007B1218">
            <w:pPr>
              <w:jc w:val="left"/>
              <w:rPr>
                <w:rFonts w:asciiTheme="minorHAnsi" w:hAnsiTheme="minorHAnsi" w:cstheme="minorHAnsi"/>
              </w:rPr>
            </w:pPr>
            <w:r>
              <w:rPr>
                <w:rFonts w:asciiTheme="minorHAnsi" w:hAnsiTheme="minorHAnsi" w:cstheme="minorHAnsi"/>
              </w:rPr>
              <w:t>2</w:t>
            </w:r>
          </w:p>
        </w:tc>
      </w:tr>
      <w:tr w:rsidR="005E03C0" w:rsidRPr="006C5A6E" w:rsidTr="006935AD">
        <w:tc>
          <w:tcPr>
            <w:tcW w:w="3227"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4111"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6935AD">
        <w:tc>
          <w:tcPr>
            <w:tcW w:w="3227" w:type="dxa"/>
            <w:shd w:val="clear" w:color="auto" w:fill="auto"/>
            <w:vAlign w:val="center"/>
          </w:tcPr>
          <w:p w:rsidR="005E03C0" w:rsidRPr="006C5A6E" w:rsidRDefault="000B4E5E" w:rsidP="00822F26">
            <w:pPr>
              <w:rPr>
                <w:rFonts w:asciiTheme="minorHAnsi" w:hAnsiTheme="minorHAnsi" w:cstheme="minorHAnsi"/>
              </w:rPr>
            </w:pPr>
            <w:r>
              <w:rPr>
                <w:rFonts w:asciiTheme="minorHAnsi" w:hAnsiTheme="minorHAnsi" w:cstheme="minorHAnsi"/>
              </w:rPr>
              <w:t>Convenio específico de Colaboración que establece las bases para la continuación y conclusión del proyecto la Suprema Corte de Justicia de la Nación y las garantías individuales en la segunda mitad del siglo XIX</w:t>
            </w:r>
          </w:p>
        </w:tc>
        <w:tc>
          <w:tcPr>
            <w:tcW w:w="4111" w:type="dxa"/>
            <w:shd w:val="clear" w:color="auto" w:fill="auto"/>
            <w:vAlign w:val="center"/>
          </w:tcPr>
          <w:p w:rsidR="005E03C0" w:rsidRPr="006C5A6E" w:rsidRDefault="000B4E5E" w:rsidP="00822F26">
            <w:pPr>
              <w:rPr>
                <w:rFonts w:asciiTheme="minorHAnsi" w:hAnsiTheme="minorHAnsi" w:cstheme="minorHAnsi"/>
              </w:rPr>
            </w:pPr>
            <w:r>
              <w:rPr>
                <w:rFonts w:asciiTheme="minorHAnsi" w:hAnsiTheme="minorHAnsi" w:cstheme="minorHAnsi"/>
              </w:rPr>
              <w:t>Establecer las bases para la continuación y conclusión del proyecto la Suprema Corte de Justicia de la Nación y las garantías individuales en la segunda mitad del siglo XIX, consistente en la elaboración de un catálogo de los expedientes judiciales que conforman el acervo documental de la Casa de la Cultura Jurídica de la Suprema Corte de Justicia de la Nación en Toluca, México, con el propósito de difundir la información jurídica histórica del mencionado archivo.</w:t>
            </w: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0B4E5E" w:rsidP="007B1218">
            <w:pPr>
              <w:jc w:val="center"/>
              <w:rPr>
                <w:rFonts w:asciiTheme="minorHAnsi" w:hAnsiTheme="minorHAnsi" w:cstheme="minorHAnsi"/>
              </w:rPr>
            </w:pPr>
            <w:r>
              <w:rPr>
                <w:rFonts w:asciiTheme="minorHAnsi" w:hAnsiTheme="minorHAnsi" w:cstheme="minorHAnsi"/>
              </w:rPr>
              <w:t>21 de noviembre de 2006</w:t>
            </w:r>
          </w:p>
        </w:tc>
      </w:tr>
      <w:tr w:rsidR="000B4E5E" w:rsidRPr="006C5A6E" w:rsidTr="006935AD">
        <w:tc>
          <w:tcPr>
            <w:tcW w:w="3227" w:type="dxa"/>
            <w:shd w:val="clear" w:color="auto" w:fill="auto"/>
            <w:vAlign w:val="center"/>
          </w:tcPr>
          <w:p w:rsidR="000B4E5E" w:rsidRPr="006C5A6E" w:rsidRDefault="00DF233A" w:rsidP="00DF233A">
            <w:pPr>
              <w:rPr>
                <w:rFonts w:asciiTheme="minorHAnsi" w:hAnsiTheme="minorHAnsi" w:cstheme="minorHAnsi"/>
              </w:rPr>
            </w:pPr>
            <w:r>
              <w:rPr>
                <w:rFonts w:asciiTheme="minorHAnsi" w:hAnsiTheme="minorHAnsi" w:cstheme="minorHAnsi"/>
              </w:rPr>
              <w:t>Convenio específico de Colaboración que establece  las bases para la realización del “Primer Congreso Internacional de seguridad Pública”</w:t>
            </w:r>
          </w:p>
        </w:tc>
        <w:tc>
          <w:tcPr>
            <w:tcW w:w="4111" w:type="dxa"/>
            <w:shd w:val="clear" w:color="auto" w:fill="auto"/>
            <w:vAlign w:val="center"/>
          </w:tcPr>
          <w:p w:rsidR="000B4E5E" w:rsidRPr="006C5A6E" w:rsidRDefault="00822F26" w:rsidP="00822F26">
            <w:pPr>
              <w:rPr>
                <w:rFonts w:asciiTheme="minorHAnsi" w:hAnsiTheme="minorHAnsi" w:cstheme="minorHAnsi"/>
              </w:rPr>
            </w:pPr>
            <w:r>
              <w:rPr>
                <w:rFonts w:asciiTheme="minorHAnsi" w:hAnsiTheme="minorHAnsi" w:cstheme="minorHAnsi"/>
              </w:rPr>
              <w:t>Establecer las bases para la realización del “Primer Congreso Internacional de seguridad Pública”, que tiene como fin tratar la necesidad de conocer la situación actual de la seguridad pública en distintos países, para propiciar el intercambio de experiencias y la generación de propuestas tendentes a coadyuvar al fortalecimiento del sistema Nacional de seguridad Pública en México; además de incorporar las propuestas que se generen en sus mesas de trabajo, para contribuir a la solución de las demandas en materia de seguridad Pública.</w:t>
            </w:r>
          </w:p>
        </w:tc>
        <w:tc>
          <w:tcPr>
            <w:tcW w:w="2409" w:type="dxa"/>
            <w:tcBorders>
              <w:top w:val="single" w:sz="4" w:space="0" w:color="auto"/>
              <w:bottom w:val="single" w:sz="4" w:space="0" w:color="auto"/>
              <w:right w:val="single" w:sz="4" w:space="0" w:color="auto"/>
            </w:tcBorders>
            <w:shd w:val="clear" w:color="auto" w:fill="auto"/>
            <w:vAlign w:val="center"/>
          </w:tcPr>
          <w:p w:rsidR="000B4E5E" w:rsidRPr="006C5A6E" w:rsidRDefault="00DF233A" w:rsidP="007B1218">
            <w:pPr>
              <w:jc w:val="center"/>
              <w:rPr>
                <w:rFonts w:asciiTheme="minorHAnsi" w:hAnsiTheme="minorHAnsi" w:cstheme="minorHAnsi"/>
              </w:rPr>
            </w:pPr>
            <w:r>
              <w:rPr>
                <w:rFonts w:asciiTheme="minorHAnsi" w:hAnsiTheme="minorHAnsi" w:cstheme="minorHAnsi"/>
              </w:rPr>
              <w:t>20 de febrero de 2007</w:t>
            </w:r>
          </w:p>
        </w:tc>
      </w:tr>
    </w:tbl>
    <w:p w:rsidR="005E03C0" w:rsidRPr="006C5A6E" w:rsidRDefault="005E03C0" w:rsidP="00A92C8B">
      <w:pPr>
        <w:ind w:right="-235"/>
        <w:rPr>
          <w:rFonts w:asciiTheme="minorHAnsi" w:hAnsiTheme="minorHAnsi" w:cstheme="minorHAnsi"/>
        </w:rPr>
      </w:pPr>
    </w:p>
    <w:p w:rsidR="005E03C0" w:rsidRPr="006C5A6E" w:rsidRDefault="005E03C0" w:rsidP="006935AD">
      <w:pPr>
        <w:numPr>
          <w:ilvl w:val="0"/>
          <w:numId w:val="2"/>
        </w:numPr>
        <w:ind w:left="0" w:right="-235" w:firstLine="0"/>
        <w:jc w:val="center"/>
        <w:rPr>
          <w:rFonts w:asciiTheme="minorHAnsi" w:hAnsiTheme="minorHAnsi" w:cstheme="minorHAnsi"/>
          <w:b/>
        </w:rPr>
      </w:pPr>
      <w:bookmarkStart w:id="0" w:name="_GoBack"/>
      <w:bookmarkEnd w:id="0"/>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5E03C0" w:rsidRPr="006C5A6E" w:rsidTr="007B1218">
        <w:tc>
          <w:tcPr>
            <w:tcW w:w="2448" w:type="dxa"/>
          </w:tcPr>
          <w:p w:rsidR="006832EF" w:rsidRPr="006C5A6E" w:rsidRDefault="006832EF" w:rsidP="00161BD9">
            <w:pPr>
              <w:rPr>
                <w:rFonts w:asciiTheme="minorHAnsi" w:hAnsiTheme="minorHAnsi" w:cstheme="minorHAnsi"/>
              </w:rPr>
            </w:pPr>
          </w:p>
        </w:tc>
        <w:tc>
          <w:tcPr>
            <w:tcW w:w="1620" w:type="dxa"/>
          </w:tcPr>
          <w:p w:rsidR="005E03C0" w:rsidRPr="006C5A6E" w:rsidRDefault="005E03C0" w:rsidP="007B1218">
            <w:pPr>
              <w:rPr>
                <w:rFonts w:asciiTheme="minorHAnsi" w:hAnsiTheme="minorHAnsi" w:cstheme="minorHAnsi"/>
              </w:rPr>
            </w:pPr>
          </w:p>
        </w:tc>
        <w:tc>
          <w:tcPr>
            <w:tcW w:w="1170" w:type="dxa"/>
          </w:tcPr>
          <w:p w:rsidR="005E03C0" w:rsidRPr="006C5A6E" w:rsidRDefault="005E03C0" w:rsidP="007B1218">
            <w:pPr>
              <w:rPr>
                <w:rFonts w:asciiTheme="minorHAnsi" w:hAnsiTheme="minorHAnsi" w:cstheme="minorHAnsi"/>
              </w:rPr>
            </w:pPr>
          </w:p>
        </w:tc>
        <w:tc>
          <w:tcPr>
            <w:tcW w:w="1350" w:type="dxa"/>
          </w:tcPr>
          <w:p w:rsidR="005E03C0" w:rsidRPr="006C5A6E" w:rsidRDefault="005E03C0" w:rsidP="007B1218">
            <w:pPr>
              <w:rPr>
                <w:rFonts w:asciiTheme="minorHAnsi" w:hAnsiTheme="minorHAnsi" w:cstheme="minorHAnsi"/>
              </w:rPr>
            </w:pPr>
          </w:p>
        </w:tc>
        <w:tc>
          <w:tcPr>
            <w:tcW w:w="1600" w:type="dxa"/>
          </w:tcPr>
          <w:p w:rsidR="005E03C0" w:rsidRPr="006C5A6E" w:rsidRDefault="005E03C0" w:rsidP="007B1218">
            <w:pPr>
              <w:rPr>
                <w:rFonts w:asciiTheme="minorHAnsi" w:hAnsiTheme="minorHAnsi" w:cstheme="minorHAnsi"/>
              </w:rPr>
            </w:pPr>
          </w:p>
        </w:tc>
        <w:tc>
          <w:tcPr>
            <w:tcW w:w="1559" w:type="dxa"/>
          </w:tcPr>
          <w:p w:rsidR="005E03C0" w:rsidRPr="006C5A6E" w:rsidRDefault="005E03C0" w:rsidP="007B1218">
            <w:pPr>
              <w:rPr>
                <w:rFonts w:asciiTheme="minorHAnsi" w:hAnsiTheme="minorHAnsi" w:cstheme="minorHAnsi"/>
              </w:rPr>
            </w:pPr>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195A93" w:rsidRPr="00D21B19" w:rsidRDefault="00195A93" w:rsidP="00A92C8B">
      <w:pPr>
        <w:ind w:right="-235"/>
        <w:rPr>
          <w:rFonts w:asciiTheme="minorHAnsi" w:hAnsiTheme="minorHAnsi" w:cstheme="minorHAnsi"/>
          <w:color w:val="FF0000"/>
        </w:rPr>
      </w:pPr>
    </w:p>
    <w:sectPr w:rsidR="00195A93" w:rsidRPr="00D21B19" w:rsidSect="00892A0F">
      <w:headerReference w:type="even" r:id="rId9"/>
      <w:headerReference w:type="default" r:id="rId10"/>
      <w:footerReference w:type="even" r:id="rId11"/>
      <w:footerReference w:type="default" r:id="rId12"/>
      <w:headerReference w:type="first" r:id="rId13"/>
      <w:footerReference w:type="first" r:id="rId14"/>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3A3" w:rsidRDefault="009D03A3" w:rsidP="00E64D5D">
      <w:r>
        <w:separator/>
      </w:r>
    </w:p>
  </w:endnote>
  <w:endnote w:type="continuationSeparator" w:id="0">
    <w:p w:rsidR="009D03A3" w:rsidRDefault="009D03A3"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964" w:rsidRDefault="00020DC4">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1A290B">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6935AD">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1A290B">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6935AD">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3A3" w:rsidRDefault="009D03A3" w:rsidP="00E64D5D">
      <w:r>
        <w:separator/>
      </w:r>
    </w:p>
  </w:footnote>
  <w:footnote w:type="continuationSeparator" w:id="0">
    <w:p w:rsidR="009D03A3" w:rsidRDefault="009D03A3"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0DC4"/>
    <w:rsid w:val="00023435"/>
    <w:rsid w:val="0003558F"/>
    <w:rsid w:val="00045E40"/>
    <w:rsid w:val="00064676"/>
    <w:rsid w:val="00095030"/>
    <w:rsid w:val="000A6B5F"/>
    <w:rsid w:val="000B4E5E"/>
    <w:rsid w:val="000B4F42"/>
    <w:rsid w:val="000B6044"/>
    <w:rsid w:val="00101B58"/>
    <w:rsid w:val="00115C27"/>
    <w:rsid w:val="00143FAB"/>
    <w:rsid w:val="00161BD9"/>
    <w:rsid w:val="00170E97"/>
    <w:rsid w:val="00195A93"/>
    <w:rsid w:val="001A2071"/>
    <w:rsid w:val="001A290B"/>
    <w:rsid w:val="001A5040"/>
    <w:rsid w:val="001B17D1"/>
    <w:rsid w:val="001B20B2"/>
    <w:rsid w:val="001B78D5"/>
    <w:rsid w:val="001C3104"/>
    <w:rsid w:val="00200549"/>
    <w:rsid w:val="00210DC8"/>
    <w:rsid w:val="0021708A"/>
    <w:rsid w:val="00225E7A"/>
    <w:rsid w:val="0023072E"/>
    <w:rsid w:val="00236EC1"/>
    <w:rsid w:val="002513EB"/>
    <w:rsid w:val="00256410"/>
    <w:rsid w:val="00261959"/>
    <w:rsid w:val="00274964"/>
    <w:rsid w:val="00291262"/>
    <w:rsid w:val="0029234C"/>
    <w:rsid w:val="002F0ECD"/>
    <w:rsid w:val="003110A5"/>
    <w:rsid w:val="003318FF"/>
    <w:rsid w:val="00360745"/>
    <w:rsid w:val="00374CA7"/>
    <w:rsid w:val="00377A6A"/>
    <w:rsid w:val="00390248"/>
    <w:rsid w:val="00390EB8"/>
    <w:rsid w:val="00396B84"/>
    <w:rsid w:val="003A6DCF"/>
    <w:rsid w:val="003C2D3F"/>
    <w:rsid w:val="003C3B38"/>
    <w:rsid w:val="003D28DC"/>
    <w:rsid w:val="003D4FC3"/>
    <w:rsid w:val="003E4936"/>
    <w:rsid w:val="00402CDB"/>
    <w:rsid w:val="00403D31"/>
    <w:rsid w:val="00405463"/>
    <w:rsid w:val="00466519"/>
    <w:rsid w:val="004948B8"/>
    <w:rsid w:val="004C6B2B"/>
    <w:rsid w:val="004E5772"/>
    <w:rsid w:val="00502AC5"/>
    <w:rsid w:val="005136B2"/>
    <w:rsid w:val="005241FC"/>
    <w:rsid w:val="005277AC"/>
    <w:rsid w:val="00537DCD"/>
    <w:rsid w:val="005502E2"/>
    <w:rsid w:val="00572E31"/>
    <w:rsid w:val="005A466E"/>
    <w:rsid w:val="005A65AF"/>
    <w:rsid w:val="005B1205"/>
    <w:rsid w:val="005C5FBC"/>
    <w:rsid w:val="005C66EF"/>
    <w:rsid w:val="005E03C0"/>
    <w:rsid w:val="006024AD"/>
    <w:rsid w:val="00625692"/>
    <w:rsid w:val="00625E2A"/>
    <w:rsid w:val="00651799"/>
    <w:rsid w:val="006545A1"/>
    <w:rsid w:val="00657E98"/>
    <w:rsid w:val="00677F9F"/>
    <w:rsid w:val="006810AF"/>
    <w:rsid w:val="0068143D"/>
    <w:rsid w:val="006832EF"/>
    <w:rsid w:val="006935AD"/>
    <w:rsid w:val="006C5A6E"/>
    <w:rsid w:val="006D1218"/>
    <w:rsid w:val="006E73EB"/>
    <w:rsid w:val="006F5234"/>
    <w:rsid w:val="00714DC9"/>
    <w:rsid w:val="0072055E"/>
    <w:rsid w:val="007371DD"/>
    <w:rsid w:val="0074144C"/>
    <w:rsid w:val="00755AB4"/>
    <w:rsid w:val="007653D5"/>
    <w:rsid w:val="007667B0"/>
    <w:rsid w:val="00772F83"/>
    <w:rsid w:val="007830AD"/>
    <w:rsid w:val="00796E58"/>
    <w:rsid w:val="00797B30"/>
    <w:rsid w:val="007A35A2"/>
    <w:rsid w:val="007A6D34"/>
    <w:rsid w:val="007B3FC6"/>
    <w:rsid w:val="00807BA0"/>
    <w:rsid w:val="00815B1D"/>
    <w:rsid w:val="00822F26"/>
    <w:rsid w:val="00876282"/>
    <w:rsid w:val="0088351B"/>
    <w:rsid w:val="00892A0F"/>
    <w:rsid w:val="00893093"/>
    <w:rsid w:val="00893308"/>
    <w:rsid w:val="00894CB6"/>
    <w:rsid w:val="008E00B4"/>
    <w:rsid w:val="008F70B2"/>
    <w:rsid w:val="00933749"/>
    <w:rsid w:val="00937B1E"/>
    <w:rsid w:val="00944CCD"/>
    <w:rsid w:val="00951128"/>
    <w:rsid w:val="00953BCD"/>
    <w:rsid w:val="00956276"/>
    <w:rsid w:val="00976DDD"/>
    <w:rsid w:val="0099397D"/>
    <w:rsid w:val="009953F1"/>
    <w:rsid w:val="009C28BB"/>
    <w:rsid w:val="009D03A3"/>
    <w:rsid w:val="009D3231"/>
    <w:rsid w:val="009F4F46"/>
    <w:rsid w:val="009F5C80"/>
    <w:rsid w:val="00A105BA"/>
    <w:rsid w:val="00A27DE6"/>
    <w:rsid w:val="00A30592"/>
    <w:rsid w:val="00A309BC"/>
    <w:rsid w:val="00A347D6"/>
    <w:rsid w:val="00A43DB3"/>
    <w:rsid w:val="00A54D80"/>
    <w:rsid w:val="00A55367"/>
    <w:rsid w:val="00A8528F"/>
    <w:rsid w:val="00A908FA"/>
    <w:rsid w:val="00A92A04"/>
    <w:rsid w:val="00A92C8B"/>
    <w:rsid w:val="00A96112"/>
    <w:rsid w:val="00AA19BA"/>
    <w:rsid w:val="00AB0848"/>
    <w:rsid w:val="00AC1504"/>
    <w:rsid w:val="00AC15FD"/>
    <w:rsid w:val="00AE63A2"/>
    <w:rsid w:val="00AF01A0"/>
    <w:rsid w:val="00AF46B9"/>
    <w:rsid w:val="00B038D6"/>
    <w:rsid w:val="00B04176"/>
    <w:rsid w:val="00B05360"/>
    <w:rsid w:val="00B228A3"/>
    <w:rsid w:val="00B3629E"/>
    <w:rsid w:val="00B37EF3"/>
    <w:rsid w:val="00B50CC7"/>
    <w:rsid w:val="00B54FE0"/>
    <w:rsid w:val="00B620C2"/>
    <w:rsid w:val="00B72A09"/>
    <w:rsid w:val="00B81016"/>
    <w:rsid w:val="00B81555"/>
    <w:rsid w:val="00B8588E"/>
    <w:rsid w:val="00BA4171"/>
    <w:rsid w:val="00BB18CC"/>
    <w:rsid w:val="00BB3509"/>
    <w:rsid w:val="00BB696E"/>
    <w:rsid w:val="00BC0A9B"/>
    <w:rsid w:val="00BD4A30"/>
    <w:rsid w:val="00BE45F5"/>
    <w:rsid w:val="00C02482"/>
    <w:rsid w:val="00C1185E"/>
    <w:rsid w:val="00C32EE3"/>
    <w:rsid w:val="00C80953"/>
    <w:rsid w:val="00C83ED1"/>
    <w:rsid w:val="00CA07B6"/>
    <w:rsid w:val="00CA1753"/>
    <w:rsid w:val="00CB13C6"/>
    <w:rsid w:val="00CB696A"/>
    <w:rsid w:val="00CC00E6"/>
    <w:rsid w:val="00CC2875"/>
    <w:rsid w:val="00CD0622"/>
    <w:rsid w:val="00CD4806"/>
    <w:rsid w:val="00CE26B8"/>
    <w:rsid w:val="00CE68B5"/>
    <w:rsid w:val="00CF557C"/>
    <w:rsid w:val="00D1670B"/>
    <w:rsid w:val="00D21B19"/>
    <w:rsid w:val="00D24628"/>
    <w:rsid w:val="00D4289C"/>
    <w:rsid w:val="00D506A5"/>
    <w:rsid w:val="00D55E02"/>
    <w:rsid w:val="00D828F1"/>
    <w:rsid w:val="00D97AC0"/>
    <w:rsid w:val="00DB49CB"/>
    <w:rsid w:val="00DC0817"/>
    <w:rsid w:val="00DF233A"/>
    <w:rsid w:val="00E30C55"/>
    <w:rsid w:val="00E40797"/>
    <w:rsid w:val="00E5094F"/>
    <w:rsid w:val="00E53B24"/>
    <w:rsid w:val="00E54974"/>
    <w:rsid w:val="00E553CD"/>
    <w:rsid w:val="00E60E4E"/>
    <w:rsid w:val="00E64D5D"/>
    <w:rsid w:val="00E660E3"/>
    <w:rsid w:val="00E66397"/>
    <w:rsid w:val="00E84CB8"/>
    <w:rsid w:val="00EA0C35"/>
    <w:rsid w:val="00EC5982"/>
    <w:rsid w:val="00ED357F"/>
    <w:rsid w:val="00ED5DDB"/>
    <w:rsid w:val="00EE46E4"/>
    <w:rsid w:val="00EF1C1D"/>
    <w:rsid w:val="00F24E0C"/>
    <w:rsid w:val="00F302C5"/>
    <w:rsid w:val="00F46E02"/>
    <w:rsid w:val="00F519E1"/>
    <w:rsid w:val="00F968AB"/>
    <w:rsid w:val="00FB0D25"/>
    <w:rsid w:val="00FC2378"/>
    <w:rsid w:val="00FE3B4A"/>
    <w:rsid w:val="00FE6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2ED0F-13AC-4795-A33B-DC122CFC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2074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2013-07-08T22:59:00Z</cp:lastPrinted>
  <dcterms:created xsi:type="dcterms:W3CDTF">2015-07-08T21:59:00Z</dcterms:created>
  <dcterms:modified xsi:type="dcterms:W3CDTF">2015-07-08T21:59:00Z</dcterms:modified>
</cp:coreProperties>
</file>