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5C66EF" w:rsidRDefault="005C66EF" w:rsidP="00AC15FD">
            <w:pPr>
              <w:jc w:val="left"/>
              <w:rPr>
                <w:rFonts w:asciiTheme="minorHAnsi" w:hAnsiTheme="minorHAnsi" w:cstheme="minorHAnsi"/>
              </w:rPr>
            </w:pPr>
            <w:r w:rsidRPr="005C66EF">
              <w:rPr>
                <w:rFonts w:asciiTheme="minorHAnsi" w:hAnsiTheme="minorHAnsi" w:cs="Arial"/>
                <w:color w:val="000000"/>
              </w:rPr>
              <w:t>Poder Judicial del Estado de México</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5C66EF" w:rsidRDefault="005C66EF" w:rsidP="00537DCD">
            <w:pPr>
              <w:rPr>
                <w:rFonts w:asciiTheme="minorHAnsi" w:hAnsiTheme="minorHAnsi" w:cstheme="minorHAnsi"/>
              </w:rPr>
            </w:pPr>
            <w:r w:rsidRPr="005C66EF">
              <w:rPr>
                <w:rFonts w:asciiTheme="minorHAnsi" w:hAnsiTheme="minorHAnsi" w:cs="Arial"/>
                <w:color w:val="000000"/>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5C66EF" w:rsidRDefault="005C66EF" w:rsidP="007B1218">
            <w:pPr>
              <w:jc w:val="left"/>
              <w:rPr>
                <w:rFonts w:asciiTheme="minorHAnsi" w:hAnsiTheme="minorHAnsi" w:cstheme="minorHAnsi"/>
              </w:rPr>
            </w:pPr>
            <w:r w:rsidRPr="005C66EF">
              <w:rPr>
                <w:rFonts w:asciiTheme="minorHAnsi" w:hAnsiTheme="minorHAnsi" w:cs="Arial"/>
                <w:color w:val="000000"/>
              </w:rPr>
              <w:t>11-nov-05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AC15FD" w:rsidRDefault="00AC15FD" w:rsidP="007B1218">
            <w:pPr>
              <w:jc w:val="left"/>
              <w:rPr>
                <w:rFonts w:asciiTheme="minorHAnsi" w:hAnsiTheme="minorHAnsi" w:cstheme="minorHAnsi"/>
              </w:rPr>
            </w:pPr>
            <w:r w:rsidRPr="00AC15FD">
              <w:rPr>
                <w:rFonts w:asciiTheme="minorHAnsi" w:hAnsiTheme="minorHAnsi" w:cs="Arial"/>
                <w:color w:val="000000"/>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418"/>
        <w:gridCol w:w="1276"/>
        <w:gridCol w:w="1275"/>
        <w:gridCol w:w="1418"/>
        <w:gridCol w:w="1417"/>
      </w:tblGrid>
      <w:tr w:rsidR="005E03C0" w:rsidRPr="006C5A6E" w:rsidTr="008C52E5">
        <w:tc>
          <w:tcPr>
            <w:tcW w:w="2943"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41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276"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275"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41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417"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FB24F3" w:rsidRPr="006C5A6E" w:rsidTr="008C52E5">
        <w:tc>
          <w:tcPr>
            <w:tcW w:w="2943" w:type="dxa"/>
          </w:tcPr>
          <w:p w:rsidR="00FB24F3" w:rsidRPr="006C5A6E" w:rsidRDefault="00FB24F3" w:rsidP="00A923C8">
            <w:pPr>
              <w:rPr>
                <w:rFonts w:asciiTheme="minorHAnsi" w:hAnsiTheme="minorHAnsi" w:cstheme="minorHAnsi"/>
              </w:rPr>
            </w:pPr>
            <w:r>
              <w:rPr>
                <w:rFonts w:asciiTheme="minorHAnsi" w:hAnsiTheme="minorHAnsi" w:cstheme="minorHAnsi"/>
              </w:rPr>
              <w:t xml:space="preserve">Seminario de </w:t>
            </w:r>
            <w:r w:rsidRPr="008E7433">
              <w:rPr>
                <w:rFonts w:asciiTheme="minorHAnsi" w:hAnsiTheme="minorHAnsi" w:cstheme="minorHAnsi"/>
              </w:rPr>
              <w:t>Divorcio Incausado</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12.06.2013</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14.06.2013</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FE3DCD">
              <w:rPr>
                <w:rFonts w:asciiTheme="minorHAnsi" w:hAnsiTheme="minorHAnsi" w:cstheme="minorHAnsi"/>
              </w:rPr>
              <w:t>El Principio Pro Persona</w:t>
            </w:r>
            <w:r>
              <w:rPr>
                <w:rFonts w:asciiTheme="minorHAnsi" w:hAnsiTheme="minorHAnsi" w:cstheme="minorHAnsi"/>
              </w:rPr>
              <w:t>”</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24.09.2013</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24.09.2013</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Pr>
          <w:p w:rsidR="00FB24F3" w:rsidRPr="00FE3DCD" w:rsidRDefault="00FB24F3" w:rsidP="00A923C8">
            <w:pPr>
              <w:rPr>
                <w:rFonts w:asciiTheme="minorHAnsi" w:hAnsiTheme="minorHAnsi" w:cstheme="minorHAnsi"/>
              </w:rPr>
            </w:pPr>
            <w:r>
              <w:rPr>
                <w:rFonts w:asciiTheme="minorHAnsi" w:hAnsiTheme="minorHAnsi" w:cstheme="minorHAnsi"/>
              </w:rPr>
              <w:t>Conferencia “</w:t>
            </w:r>
            <w:r w:rsidRPr="00FE3DCD">
              <w:rPr>
                <w:rFonts w:asciiTheme="minorHAnsi" w:hAnsiTheme="minorHAnsi" w:cstheme="minorHAnsi"/>
              </w:rPr>
              <w:t xml:space="preserve">El Principio </w:t>
            </w:r>
            <w:r>
              <w:rPr>
                <w:rFonts w:asciiTheme="minorHAnsi" w:hAnsiTheme="minorHAnsi" w:cstheme="minorHAnsi"/>
              </w:rPr>
              <w:t>d</w:t>
            </w:r>
            <w:r w:rsidRPr="00FE3DCD">
              <w:rPr>
                <w:rFonts w:asciiTheme="minorHAnsi" w:hAnsiTheme="minorHAnsi" w:cstheme="minorHAnsi"/>
              </w:rPr>
              <w:t xml:space="preserve">el Interés Superior </w:t>
            </w:r>
            <w:r>
              <w:rPr>
                <w:rFonts w:asciiTheme="minorHAnsi" w:hAnsiTheme="minorHAnsi" w:cstheme="minorHAnsi"/>
              </w:rPr>
              <w:t>d</w:t>
            </w:r>
            <w:r w:rsidRPr="00FE3DCD">
              <w:rPr>
                <w:rFonts w:asciiTheme="minorHAnsi" w:hAnsiTheme="minorHAnsi" w:cstheme="minorHAnsi"/>
              </w:rPr>
              <w:t xml:space="preserve">el Niño </w:t>
            </w:r>
            <w:r>
              <w:rPr>
                <w:rFonts w:asciiTheme="minorHAnsi" w:hAnsiTheme="minorHAnsi" w:cstheme="minorHAnsi"/>
              </w:rPr>
              <w:t>y l</w:t>
            </w:r>
            <w:r w:rsidRPr="00FE3DCD">
              <w:rPr>
                <w:rFonts w:asciiTheme="minorHAnsi" w:hAnsiTheme="minorHAnsi" w:cstheme="minorHAnsi"/>
              </w:rPr>
              <w:t xml:space="preserve">a Corte Interamericana </w:t>
            </w:r>
          </w:p>
          <w:p w:rsidR="00FB24F3" w:rsidRPr="006C5A6E" w:rsidRDefault="00FB24F3" w:rsidP="00A923C8">
            <w:pPr>
              <w:rPr>
                <w:rFonts w:asciiTheme="minorHAnsi" w:hAnsiTheme="minorHAnsi" w:cstheme="minorHAnsi"/>
              </w:rPr>
            </w:pPr>
            <w:r>
              <w:rPr>
                <w:rFonts w:asciiTheme="minorHAnsi" w:hAnsiTheme="minorHAnsi" w:cstheme="minorHAnsi"/>
              </w:rPr>
              <w:t>de l</w:t>
            </w:r>
            <w:r w:rsidRPr="00FE3DCD">
              <w:rPr>
                <w:rFonts w:asciiTheme="minorHAnsi" w:hAnsiTheme="minorHAnsi" w:cstheme="minorHAnsi"/>
              </w:rPr>
              <w:t>os Derechos Humanos</w:t>
            </w:r>
            <w:r>
              <w:rPr>
                <w:rFonts w:asciiTheme="minorHAnsi" w:hAnsiTheme="minorHAnsi" w:cstheme="minorHAnsi"/>
              </w:rPr>
              <w:t>”</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26.09.2013</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26.09.2013</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Pr>
          <w:p w:rsidR="00FB24F3" w:rsidRPr="006C5A6E" w:rsidRDefault="00FB24F3" w:rsidP="00FB24F3">
            <w:pPr>
              <w:rPr>
                <w:rFonts w:asciiTheme="minorHAnsi" w:hAnsiTheme="minorHAnsi" w:cstheme="minorHAnsi"/>
              </w:rPr>
            </w:pPr>
            <w:r>
              <w:rPr>
                <w:rFonts w:asciiTheme="minorHAnsi" w:hAnsiTheme="minorHAnsi" w:cstheme="minorHAnsi"/>
              </w:rPr>
              <w:t>Ciclo de Conferencias en Temas de Materia Familiar</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07.10.2013</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15.10.2013</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Pr>
          <w:p w:rsidR="00FB24F3" w:rsidRPr="006C5A6E" w:rsidRDefault="00FB24F3" w:rsidP="00A923C8">
            <w:pPr>
              <w:rPr>
                <w:rFonts w:asciiTheme="minorHAnsi" w:hAnsiTheme="minorHAnsi" w:cstheme="minorHAnsi"/>
              </w:rPr>
            </w:pPr>
            <w:r>
              <w:rPr>
                <w:rFonts w:asciiTheme="minorHAnsi" w:hAnsiTheme="minorHAnsi" w:cstheme="minorHAnsi"/>
              </w:rPr>
              <w:t>Conferencia “Juicios Hipotecarios”</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21.10.2013</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21.10.2013</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Pr>
          <w:p w:rsidR="00FB24F3" w:rsidRPr="008E7433" w:rsidRDefault="00FB24F3" w:rsidP="00A923C8">
            <w:pPr>
              <w:rPr>
                <w:rFonts w:asciiTheme="minorHAnsi" w:hAnsiTheme="minorHAnsi" w:cstheme="minorHAnsi"/>
              </w:rPr>
            </w:pPr>
            <w:r>
              <w:rPr>
                <w:rFonts w:asciiTheme="minorHAnsi" w:hAnsiTheme="minorHAnsi" w:cstheme="minorHAnsi"/>
              </w:rPr>
              <w:t>Conferencia “Implicaciones del Código N</w:t>
            </w:r>
            <w:r w:rsidRPr="008E7433">
              <w:rPr>
                <w:rFonts w:asciiTheme="minorHAnsi" w:hAnsiTheme="minorHAnsi" w:cstheme="minorHAnsi"/>
              </w:rPr>
              <w:t>acional</w:t>
            </w:r>
          </w:p>
          <w:p w:rsidR="00FB24F3" w:rsidRPr="006C5A6E" w:rsidRDefault="00FB24F3" w:rsidP="00A923C8">
            <w:pPr>
              <w:rPr>
                <w:rFonts w:asciiTheme="minorHAnsi" w:hAnsiTheme="minorHAnsi" w:cstheme="minorHAnsi"/>
              </w:rPr>
            </w:pPr>
            <w:r w:rsidRPr="008E7433">
              <w:rPr>
                <w:rFonts w:asciiTheme="minorHAnsi" w:hAnsiTheme="minorHAnsi" w:cstheme="minorHAnsi"/>
              </w:rPr>
              <w:t xml:space="preserve"> de Procedimientos Penales</w:t>
            </w:r>
            <w:r>
              <w:rPr>
                <w:rFonts w:asciiTheme="minorHAnsi" w:hAnsiTheme="minorHAnsi" w:cstheme="minorHAnsi"/>
              </w:rPr>
              <w:t xml:space="preserve"> “</w:t>
            </w:r>
          </w:p>
        </w:tc>
        <w:tc>
          <w:tcPr>
            <w:tcW w:w="1418" w:type="dxa"/>
          </w:tcPr>
          <w:p w:rsidR="00FB24F3" w:rsidRPr="006C5A6E" w:rsidRDefault="00FB24F3" w:rsidP="00A923C8">
            <w:pPr>
              <w:rPr>
                <w:rFonts w:asciiTheme="minorHAnsi" w:hAnsiTheme="minorHAnsi" w:cstheme="minorHAnsi"/>
              </w:rPr>
            </w:pPr>
          </w:p>
        </w:tc>
        <w:tc>
          <w:tcPr>
            <w:tcW w:w="1276" w:type="dxa"/>
          </w:tcPr>
          <w:p w:rsidR="00FB24F3" w:rsidRPr="006C5A6E" w:rsidRDefault="00FB24F3" w:rsidP="00A923C8">
            <w:pPr>
              <w:rPr>
                <w:rFonts w:asciiTheme="minorHAnsi" w:hAnsiTheme="minorHAnsi" w:cstheme="minorHAnsi"/>
              </w:rPr>
            </w:pPr>
            <w:r>
              <w:rPr>
                <w:rFonts w:asciiTheme="minorHAnsi" w:hAnsiTheme="minorHAnsi" w:cstheme="minorHAnsi"/>
              </w:rPr>
              <w:t>09.04.2014</w:t>
            </w:r>
          </w:p>
        </w:tc>
        <w:tc>
          <w:tcPr>
            <w:tcW w:w="1275" w:type="dxa"/>
          </w:tcPr>
          <w:p w:rsidR="00FB24F3" w:rsidRPr="006C5A6E" w:rsidRDefault="00FB24F3" w:rsidP="00A923C8">
            <w:pPr>
              <w:rPr>
                <w:rFonts w:asciiTheme="minorHAnsi" w:hAnsiTheme="minorHAnsi" w:cstheme="minorHAnsi"/>
              </w:rPr>
            </w:pPr>
            <w:r>
              <w:rPr>
                <w:rFonts w:asciiTheme="minorHAnsi" w:hAnsiTheme="minorHAnsi" w:cstheme="minorHAnsi"/>
              </w:rPr>
              <w:t>09.04.2015</w:t>
            </w:r>
          </w:p>
        </w:tc>
        <w:tc>
          <w:tcPr>
            <w:tcW w:w="1418"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 xml:space="preserve">Conferencia </w:t>
            </w:r>
            <w:r w:rsidRPr="008E7433">
              <w:rPr>
                <w:rFonts w:asciiTheme="minorHAnsi" w:hAnsiTheme="minorHAnsi" w:cstheme="minorHAnsi"/>
              </w:rPr>
              <w:t>"Nuevo Sistema Penal Acusatorio y Control de Convencionalidad"</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15.05.2014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15.05.2014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8C52E5">
            <w:pPr>
              <w:rPr>
                <w:rFonts w:asciiTheme="minorHAnsi" w:hAnsiTheme="minorHAnsi" w:cstheme="minorHAnsi"/>
              </w:rPr>
            </w:pPr>
            <w:r w:rsidRPr="00FB24F3">
              <w:rPr>
                <w:rFonts w:asciiTheme="minorHAnsi" w:hAnsiTheme="minorHAnsi" w:cstheme="minorHAnsi"/>
              </w:rPr>
              <w:lastRenderedPageBreak/>
              <w:t>Conferencia “Pensión Alimenticia”</w:t>
            </w:r>
            <w:bookmarkStart w:id="0" w:name="_GoBack"/>
            <w:bookmarkEnd w:id="0"/>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11.06.2014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11.06.2014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La Prueba Científica en el Proceso Judicial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09.07.2014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09.07.2014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Juicio Ejecutivo Mercantil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07.08.2014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07.08.2014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Juicio Ordinario Mercantil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13.08.2014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13.08.2014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Juicio Oral Mercantil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14.08.2014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14.08.2014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Consignación y Reducción de Pensión Alimenticia</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22.08.2014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22.08.2014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Acreditación del Concubinato</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28.08.2014</w:t>
            </w:r>
          </w:p>
          <w:p w:rsidR="00FB24F3" w:rsidRPr="006C5A6E" w:rsidRDefault="00FB24F3" w:rsidP="00A923C8">
            <w:pPr>
              <w:rPr>
                <w:rFonts w:asciiTheme="minorHAnsi" w:hAnsiTheme="minorHAnsi" w:cstheme="minorHAnsi"/>
              </w:rPr>
            </w:pPr>
          </w:p>
        </w:tc>
        <w:tc>
          <w:tcPr>
            <w:tcW w:w="1275" w:type="dxa"/>
            <w:tcBorders>
              <w:top w:val="single" w:sz="4" w:space="0" w:color="000000"/>
              <w:left w:val="single" w:sz="4" w:space="0" w:color="000000"/>
              <w:bottom w:val="single" w:sz="4" w:space="0" w:color="000000"/>
              <w:right w:val="single" w:sz="4" w:space="0" w:color="000000"/>
            </w:tcBorders>
          </w:tcPr>
          <w:p w:rsidR="00FB24F3" w:rsidRDefault="00FB24F3" w:rsidP="00A923C8">
            <w:pPr>
              <w:rPr>
                <w:rFonts w:asciiTheme="minorHAnsi" w:hAnsiTheme="minorHAnsi" w:cstheme="minorHAnsi"/>
              </w:rPr>
            </w:pPr>
            <w:r>
              <w:rPr>
                <w:rFonts w:asciiTheme="minorHAnsi" w:hAnsiTheme="minorHAnsi" w:cstheme="minorHAnsi"/>
              </w:rPr>
              <w:t>28.08.2014</w:t>
            </w:r>
          </w:p>
          <w:p w:rsidR="00FB24F3" w:rsidRPr="006C5A6E" w:rsidRDefault="00FB24F3" w:rsidP="00A923C8">
            <w:pPr>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Acerca del principio de exclusión de la prueba ilicita obtenida en el proceso penal acusatorio mexicano</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FB24F3">
            <w:pPr>
              <w:rPr>
                <w:rFonts w:asciiTheme="minorHAnsi" w:hAnsiTheme="minorHAnsi" w:cstheme="minorHAnsi"/>
              </w:rPr>
            </w:pPr>
            <w:r>
              <w:rPr>
                <w:rFonts w:asciiTheme="minorHAnsi" w:hAnsiTheme="minorHAnsi" w:cstheme="minorHAnsi"/>
              </w:rPr>
              <w:t>05.09.2014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05.09.2014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Mediación Familiar</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FB24F3">
            <w:pPr>
              <w:rPr>
                <w:rFonts w:asciiTheme="minorHAnsi" w:hAnsiTheme="minorHAnsi" w:cstheme="minorHAnsi"/>
              </w:rPr>
            </w:pPr>
            <w:r>
              <w:rPr>
                <w:rFonts w:asciiTheme="minorHAnsi" w:hAnsiTheme="minorHAnsi" w:cstheme="minorHAnsi"/>
              </w:rPr>
              <w:t>19.09.2014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19.09.2014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Mediación Penal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24.09.2014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24.09.2014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E7433">
              <w:rPr>
                <w:rFonts w:asciiTheme="minorHAnsi" w:hAnsiTheme="minorHAnsi" w:cstheme="minorHAnsi"/>
              </w:rPr>
              <w:t>Usucapión</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28.10.2014</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28.10.2014</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B7F89">
              <w:rPr>
                <w:rFonts w:asciiTheme="minorHAnsi" w:hAnsiTheme="minorHAnsi" w:cstheme="minorHAnsi"/>
              </w:rPr>
              <w:t>Divorcio Incausado</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FB24F3" w:rsidRDefault="00FB24F3" w:rsidP="00FB24F3">
            <w:pPr>
              <w:rPr>
                <w:rFonts w:asciiTheme="minorHAnsi" w:hAnsiTheme="minorHAnsi" w:cstheme="minorHAnsi"/>
              </w:rPr>
            </w:pPr>
            <w:r w:rsidRPr="00FB24F3">
              <w:rPr>
                <w:rFonts w:asciiTheme="minorHAnsi" w:hAnsiTheme="minorHAnsi" w:cstheme="minorHAnsi"/>
              </w:rPr>
              <w:t>18</w:t>
            </w:r>
            <w:r>
              <w:rPr>
                <w:rFonts w:asciiTheme="minorHAnsi" w:hAnsiTheme="minorHAnsi" w:cstheme="minorHAnsi"/>
              </w:rPr>
              <w:t>.</w:t>
            </w:r>
            <w:r w:rsidRPr="00FB24F3">
              <w:rPr>
                <w:rFonts w:asciiTheme="minorHAnsi" w:hAnsiTheme="minorHAnsi" w:cstheme="minorHAnsi"/>
              </w:rPr>
              <w:t>03</w:t>
            </w:r>
            <w:r>
              <w:rPr>
                <w:rFonts w:asciiTheme="minorHAnsi" w:hAnsiTheme="minorHAnsi" w:cstheme="minorHAnsi"/>
              </w:rPr>
              <w:t>.</w:t>
            </w:r>
            <w:r w:rsidRPr="00FB24F3">
              <w:rPr>
                <w:rFonts w:asciiTheme="minorHAnsi" w:hAnsiTheme="minorHAnsi" w:cstheme="minorHAnsi"/>
              </w:rPr>
              <w:t>2015</w:t>
            </w:r>
          </w:p>
        </w:tc>
        <w:tc>
          <w:tcPr>
            <w:tcW w:w="1275" w:type="dxa"/>
            <w:tcBorders>
              <w:top w:val="single" w:sz="4" w:space="0" w:color="000000"/>
              <w:left w:val="single" w:sz="4" w:space="0" w:color="000000"/>
              <w:bottom w:val="single" w:sz="4" w:space="0" w:color="000000"/>
              <w:right w:val="single" w:sz="4" w:space="0" w:color="000000"/>
            </w:tcBorders>
          </w:tcPr>
          <w:p w:rsidR="00FB24F3" w:rsidRPr="00FB24F3" w:rsidRDefault="00FB24F3" w:rsidP="00A923C8">
            <w:pPr>
              <w:rPr>
                <w:rFonts w:asciiTheme="minorHAnsi" w:hAnsiTheme="minorHAnsi" w:cstheme="minorHAnsi"/>
              </w:rPr>
            </w:pPr>
            <w:r w:rsidRPr="00FB24F3">
              <w:rPr>
                <w:rFonts w:asciiTheme="minorHAnsi" w:hAnsiTheme="minorHAnsi" w:cstheme="minorHAnsi"/>
              </w:rPr>
              <w:t>18</w:t>
            </w:r>
            <w:r>
              <w:rPr>
                <w:rFonts w:asciiTheme="minorHAnsi" w:hAnsiTheme="minorHAnsi" w:cstheme="minorHAnsi"/>
              </w:rPr>
              <w:t>.</w:t>
            </w:r>
            <w:r w:rsidRPr="00FB24F3">
              <w:rPr>
                <w:rFonts w:asciiTheme="minorHAnsi" w:hAnsiTheme="minorHAnsi" w:cstheme="minorHAnsi"/>
              </w:rPr>
              <w:t>03</w:t>
            </w:r>
            <w:r>
              <w:rPr>
                <w:rFonts w:asciiTheme="minorHAnsi" w:hAnsiTheme="minorHAnsi" w:cstheme="minorHAnsi"/>
              </w:rPr>
              <w:t>.</w:t>
            </w:r>
            <w:r w:rsidRPr="00FB24F3">
              <w:rPr>
                <w:rFonts w:asciiTheme="minorHAnsi" w:hAnsiTheme="minorHAnsi" w:cstheme="minorHAnsi"/>
              </w:rPr>
              <w:t>2015</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r w:rsidR="00FB24F3" w:rsidRPr="006C5A6E" w:rsidTr="008C52E5">
        <w:tc>
          <w:tcPr>
            <w:tcW w:w="2943"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Conferencia “</w:t>
            </w:r>
            <w:r w:rsidRPr="008B7F89">
              <w:rPr>
                <w:rFonts w:asciiTheme="minorHAnsi" w:hAnsiTheme="minorHAnsi" w:cstheme="minorHAnsi"/>
              </w:rPr>
              <w:t>Aspectos Fundamentales en los Juicios Orales en Materia Mercantil</w:t>
            </w:r>
            <w:r>
              <w:rPr>
                <w:rFonts w:asciiTheme="minorHAnsi" w:hAnsiTheme="minorHAnsi" w:cstheme="minorHAnsi"/>
              </w:rPr>
              <w:t>”</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31.03.2015</w:t>
            </w:r>
          </w:p>
        </w:tc>
        <w:tc>
          <w:tcPr>
            <w:tcW w:w="1275"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31.03.2015</w:t>
            </w:r>
          </w:p>
        </w:tc>
        <w:tc>
          <w:tcPr>
            <w:tcW w:w="1418"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rsidR="00FB24F3" w:rsidRPr="006C5A6E" w:rsidRDefault="00FB24F3" w:rsidP="00A923C8">
            <w:pPr>
              <w:rPr>
                <w:rFonts w:asciiTheme="minorHAnsi" w:hAnsiTheme="minorHAnsi" w:cstheme="minorHAnsi"/>
              </w:rPr>
            </w:pPr>
            <w:r>
              <w:rPr>
                <w:rFonts w:asciiTheme="minorHAnsi" w:hAnsiTheme="minorHAnsi" w:cstheme="minorHAnsi"/>
              </w:rPr>
              <w:t>0.00</w:t>
            </w:r>
          </w:p>
        </w:tc>
      </w:tr>
    </w:tbl>
    <w:p w:rsidR="00B038D6" w:rsidRPr="006C5A6E" w:rsidRDefault="00B038D6" w:rsidP="00A92C8B">
      <w:pPr>
        <w:ind w:right="-235"/>
        <w:rPr>
          <w:rFonts w:asciiTheme="minorHAnsi" w:hAnsiTheme="minorHAnsi" w:cstheme="minorHAnsi"/>
        </w:rPr>
      </w:pPr>
    </w:p>
    <w:p w:rsidR="00195A93"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FB24F3" w:rsidRPr="006C5A6E" w:rsidRDefault="00FB24F3" w:rsidP="00FB24F3">
      <w:pPr>
        <w:ind w:right="-235"/>
        <w:rPr>
          <w:rFonts w:asciiTheme="minorHAnsi" w:hAnsiTheme="minorHAnsi" w:cstheme="minorHAnsi"/>
        </w:rPr>
      </w:pPr>
      <w:r>
        <w:rPr>
          <w:rFonts w:asciiTheme="minorHAnsi" w:hAnsiTheme="minorHAnsi" w:cstheme="minorHAnsi"/>
        </w:rPr>
        <w:t>Actualmente el Poder Judicial del Estado de México, apoya a la Casa de la Cultura Jurídica con diferentes disertantes en los eventos que organiza en los diversos temas, que se relacionan con la jurisdicción del Tribunal como son temas en materia familiar, Mercantil, Mediación o Juicios Orales en materia Familiar, Mercantil y Penal.</w:t>
      </w:r>
    </w:p>
    <w:p w:rsidR="00FB24F3" w:rsidRPr="006C5A6E" w:rsidRDefault="00FB24F3" w:rsidP="00FB24F3">
      <w:pPr>
        <w:ind w:right="-235"/>
        <w:rPr>
          <w:rFonts w:asciiTheme="minorHAnsi" w:hAnsiTheme="minorHAnsi" w:cstheme="minorHAnsi"/>
        </w:rPr>
      </w:pPr>
    </w:p>
    <w:p w:rsidR="00FB24F3" w:rsidRPr="006C5A6E" w:rsidRDefault="00FB24F3" w:rsidP="00A92C8B">
      <w:pPr>
        <w:ind w:right="-235"/>
        <w:rPr>
          <w:rFonts w:asciiTheme="minorHAnsi" w:hAnsiTheme="minorHAnsi" w:cstheme="minorHAnsi"/>
        </w:rPr>
      </w:pPr>
    </w:p>
    <w:sectPr w:rsidR="00FB24F3" w:rsidRPr="006C5A6E" w:rsidSect="00892A0F">
      <w:headerReference w:type="even" r:id="rId9"/>
      <w:headerReference w:type="default" r:id="rId10"/>
      <w:footerReference w:type="even" r:id="rId11"/>
      <w:footerReference w:type="default" r:id="rId12"/>
      <w:headerReference w:type="first" r:id="rId13"/>
      <w:footerReference w:type="first" r:id="rId14"/>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AA7" w:rsidRDefault="00FF4AA7" w:rsidP="00E64D5D">
      <w:r>
        <w:separator/>
      </w:r>
    </w:p>
  </w:endnote>
  <w:endnote w:type="continuationSeparator" w:id="0">
    <w:p w:rsidR="00FF4AA7" w:rsidRDefault="00FF4AA7"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8C52E5">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C1185E">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8C52E5">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C1185E">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8C52E5">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AA7" w:rsidRDefault="00FF4AA7" w:rsidP="00E64D5D">
      <w:r>
        <w:separator/>
      </w:r>
    </w:p>
  </w:footnote>
  <w:footnote w:type="continuationSeparator" w:id="0">
    <w:p w:rsidR="00FF4AA7" w:rsidRDefault="00FF4AA7"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64676"/>
    <w:rsid w:val="00095030"/>
    <w:rsid w:val="000A6B5F"/>
    <w:rsid w:val="000B4F42"/>
    <w:rsid w:val="000B6044"/>
    <w:rsid w:val="00101B58"/>
    <w:rsid w:val="00115C27"/>
    <w:rsid w:val="00143FAB"/>
    <w:rsid w:val="00161BD9"/>
    <w:rsid w:val="00170E97"/>
    <w:rsid w:val="00195A93"/>
    <w:rsid w:val="001A2071"/>
    <w:rsid w:val="001A5040"/>
    <w:rsid w:val="001B17D1"/>
    <w:rsid w:val="001B20B2"/>
    <w:rsid w:val="001B78D5"/>
    <w:rsid w:val="001C3104"/>
    <w:rsid w:val="00200549"/>
    <w:rsid w:val="00210DC8"/>
    <w:rsid w:val="0021708A"/>
    <w:rsid w:val="00225E7A"/>
    <w:rsid w:val="0023072E"/>
    <w:rsid w:val="00236EC1"/>
    <w:rsid w:val="002513EB"/>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2D3F"/>
    <w:rsid w:val="003C3B38"/>
    <w:rsid w:val="003D28DC"/>
    <w:rsid w:val="003D4FC3"/>
    <w:rsid w:val="003E4936"/>
    <w:rsid w:val="00402CDB"/>
    <w:rsid w:val="00403D31"/>
    <w:rsid w:val="00405463"/>
    <w:rsid w:val="00466519"/>
    <w:rsid w:val="004948B8"/>
    <w:rsid w:val="004C6B2B"/>
    <w:rsid w:val="004E5772"/>
    <w:rsid w:val="00502AC5"/>
    <w:rsid w:val="005136B2"/>
    <w:rsid w:val="005241FC"/>
    <w:rsid w:val="005277AC"/>
    <w:rsid w:val="00537DCD"/>
    <w:rsid w:val="005502E2"/>
    <w:rsid w:val="00572E31"/>
    <w:rsid w:val="005A466E"/>
    <w:rsid w:val="005A65AF"/>
    <w:rsid w:val="005B1205"/>
    <w:rsid w:val="005C5FBC"/>
    <w:rsid w:val="005C66EF"/>
    <w:rsid w:val="005E03C0"/>
    <w:rsid w:val="006024AD"/>
    <w:rsid w:val="00625E2A"/>
    <w:rsid w:val="006545A1"/>
    <w:rsid w:val="00657E98"/>
    <w:rsid w:val="00677F9F"/>
    <w:rsid w:val="006810AF"/>
    <w:rsid w:val="0068143D"/>
    <w:rsid w:val="006832EF"/>
    <w:rsid w:val="006C5A6E"/>
    <w:rsid w:val="006D1218"/>
    <w:rsid w:val="006E73EB"/>
    <w:rsid w:val="006F5234"/>
    <w:rsid w:val="00714DC9"/>
    <w:rsid w:val="0072055E"/>
    <w:rsid w:val="007371DD"/>
    <w:rsid w:val="0074144C"/>
    <w:rsid w:val="00755AB4"/>
    <w:rsid w:val="007653D5"/>
    <w:rsid w:val="007667B0"/>
    <w:rsid w:val="00772F83"/>
    <w:rsid w:val="007830AD"/>
    <w:rsid w:val="00796E58"/>
    <w:rsid w:val="00797B30"/>
    <w:rsid w:val="007A35A2"/>
    <w:rsid w:val="007A6D34"/>
    <w:rsid w:val="007B3FC6"/>
    <w:rsid w:val="00807BA0"/>
    <w:rsid w:val="00815B1D"/>
    <w:rsid w:val="00876282"/>
    <w:rsid w:val="0088351B"/>
    <w:rsid w:val="00892A0F"/>
    <w:rsid w:val="00893093"/>
    <w:rsid w:val="00893308"/>
    <w:rsid w:val="00894CB6"/>
    <w:rsid w:val="008C52E5"/>
    <w:rsid w:val="008E00B4"/>
    <w:rsid w:val="008F70B2"/>
    <w:rsid w:val="00933749"/>
    <w:rsid w:val="00937B1E"/>
    <w:rsid w:val="00944CCD"/>
    <w:rsid w:val="00951128"/>
    <w:rsid w:val="00953BCD"/>
    <w:rsid w:val="00956276"/>
    <w:rsid w:val="00976DDD"/>
    <w:rsid w:val="0099397D"/>
    <w:rsid w:val="009953F1"/>
    <w:rsid w:val="009D3231"/>
    <w:rsid w:val="009F4F46"/>
    <w:rsid w:val="009F5C80"/>
    <w:rsid w:val="00A105BA"/>
    <w:rsid w:val="00A27DE6"/>
    <w:rsid w:val="00A309BC"/>
    <w:rsid w:val="00A347D6"/>
    <w:rsid w:val="00A43DB3"/>
    <w:rsid w:val="00A54D80"/>
    <w:rsid w:val="00A55367"/>
    <w:rsid w:val="00A8528F"/>
    <w:rsid w:val="00A908FA"/>
    <w:rsid w:val="00A92A04"/>
    <w:rsid w:val="00A92C8B"/>
    <w:rsid w:val="00A96112"/>
    <w:rsid w:val="00AA19BA"/>
    <w:rsid w:val="00AB0848"/>
    <w:rsid w:val="00AC1504"/>
    <w:rsid w:val="00AC15FD"/>
    <w:rsid w:val="00AD7801"/>
    <w:rsid w:val="00AE63A2"/>
    <w:rsid w:val="00AF01A0"/>
    <w:rsid w:val="00AF46B9"/>
    <w:rsid w:val="00B038D6"/>
    <w:rsid w:val="00B04176"/>
    <w:rsid w:val="00B05360"/>
    <w:rsid w:val="00B228A3"/>
    <w:rsid w:val="00B37EF3"/>
    <w:rsid w:val="00B50CC7"/>
    <w:rsid w:val="00B620C2"/>
    <w:rsid w:val="00B72A09"/>
    <w:rsid w:val="00B81016"/>
    <w:rsid w:val="00B81555"/>
    <w:rsid w:val="00B8588E"/>
    <w:rsid w:val="00BA4171"/>
    <w:rsid w:val="00BB18CC"/>
    <w:rsid w:val="00BB3509"/>
    <w:rsid w:val="00BB696E"/>
    <w:rsid w:val="00BC0A9B"/>
    <w:rsid w:val="00BD4A30"/>
    <w:rsid w:val="00BE45F5"/>
    <w:rsid w:val="00C02482"/>
    <w:rsid w:val="00C1185E"/>
    <w:rsid w:val="00C32EE3"/>
    <w:rsid w:val="00C80953"/>
    <w:rsid w:val="00C83ED1"/>
    <w:rsid w:val="00CA1753"/>
    <w:rsid w:val="00CB13C6"/>
    <w:rsid w:val="00CB696A"/>
    <w:rsid w:val="00CC00E6"/>
    <w:rsid w:val="00CC2875"/>
    <w:rsid w:val="00CD0622"/>
    <w:rsid w:val="00CD4806"/>
    <w:rsid w:val="00CE26B8"/>
    <w:rsid w:val="00CE68B5"/>
    <w:rsid w:val="00CF557C"/>
    <w:rsid w:val="00D1670B"/>
    <w:rsid w:val="00D24628"/>
    <w:rsid w:val="00D4289C"/>
    <w:rsid w:val="00D506A5"/>
    <w:rsid w:val="00D55E02"/>
    <w:rsid w:val="00D828F1"/>
    <w:rsid w:val="00DB49CB"/>
    <w:rsid w:val="00DC0817"/>
    <w:rsid w:val="00E30C55"/>
    <w:rsid w:val="00E40797"/>
    <w:rsid w:val="00E5094F"/>
    <w:rsid w:val="00E53B24"/>
    <w:rsid w:val="00E54974"/>
    <w:rsid w:val="00E553CD"/>
    <w:rsid w:val="00E60E4E"/>
    <w:rsid w:val="00E64D5D"/>
    <w:rsid w:val="00E660E3"/>
    <w:rsid w:val="00E66397"/>
    <w:rsid w:val="00E84CB8"/>
    <w:rsid w:val="00EA0C35"/>
    <w:rsid w:val="00EC5982"/>
    <w:rsid w:val="00ED357F"/>
    <w:rsid w:val="00ED5DDB"/>
    <w:rsid w:val="00EE46E4"/>
    <w:rsid w:val="00EF1C1D"/>
    <w:rsid w:val="00F24E0C"/>
    <w:rsid w:val="00F302C5"/>
    <w:rsid w:val="00F46E02"/>
    <w:rsid w:val="00F968AB"/>
    <w:rsid w:val="00FB0D25"/>
    <w:rsid w:val="00FB24F3"/>
    <w:rsid w:val="00FC2378"/>
    <w:rsid w:val="00FE3B4A"/>
    <w:rsid w:val="00FE67BD"/>
    <w:rsid w:val="00FF4A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92A1D-AE84-483D-895A-4ED14A65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2690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2013-07-08T22:59:00Z</cp:lastPrinted>
  <dcterms:created xsi:type="dcterms:W3CDTF">2015-07-08T21:54:00Z</dcterms:created>
  <dcterms:modified xsi:type="dcterms:W3CDTF">2015-07-08T21:54:00Z</dcterms:modified>
</cp:coreProperties>
</file>