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574F1" w:rsidRDefault="00451649">
      <w:pPr>
        <w:spacing w:after="0" w:line="240" w:lineRule="auto"/>
        <w:jc w:val="center"/>
        <w:rPr>
          <w:rFonts w:ascii="Arial" w:eastAsia="Arial" w:hAnsi="Arial" w:cs="Arial"/>
          <w:b/>
          <w:sz w:val="20"/>
          <w:szCs w:val="20"/>
        </w:rPr>
      </w:pPr>
      <w:r>
        <w:rPr>
          <w:rFonts w:ascii="Arial" w:eastAsia="Arial" w:hAnsi="Arial" w:cs="Arial"/>
          <w:b/>
          <w:sz w:val="20"/>
          <w:szCs w:val="20"/>
        </w:rPr>
        <w:t>FORMALIDADES ESENCIALES DEL PROCEDIMIENTO</w:t>
      </w:r>
    </w:p>
    <w:p w14:paraId="0000000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digital: 2022343</w:t>
      </w:r>
    </w:p>
    <w:p w14:paraId="0000000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0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0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Materias(s): Constitucional, Penal</w:t>
      </w:r>
    </w:p>
    <w:p w14:paraId="0000000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II.2o.P. J/14 P (10a.)</w:t>
      </w:r>
    </w:p>
    <w:p w14:paraId="0000000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80,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2020, Tomo III, página 1895</w:t>
      </w:r>
    </w:p>
    <w:p w14:paraId="0000000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Tipo: Jurisprudencia</w:t>
      </w:r>
    </w:p>
    <w:p w14:paraId="0000000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AUTO DE VINCULACIÓN A PROCESO. LA OMISIÓN DE HACERLO CONSTAR POR ESCRITO, DESPUÉS DE SU EMISIÓN ORAL, CONSTITUYE UNA VIOLACIÓN A</w:t>
      </w:r>
      <w:r>
        <w:rPr>
          <w:rFonts w:ascii="Arial" w:eastAsia="Arial" w:hAnsi="Arial" w:cs="Arial"/>
          <w:sz w:val="20"/>
          <w:szCs w:val="20"/>
        </w:rPr>
        <w:t xml:space="preserve"> LAS FORMALIDADES ESENCIALES DEL PROCEDIMIENTO [INAPLICABILIDAD DE LA JURISPRUDENCIA 1a./J. 34/2017 (10a.)].</w:t>
      </w:r>
    </w:p>
    <w:p w14:paraId="0000000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El artículo 67, párrafo segundo, fracción IV, y penúltimo párrafo, del Código Nacional de Procedimientos Penales, establece taxativamente que deben</w:t>
      </w:r>
      <w:r>
        <w:rPr>
          <w:rFonts w:ascii="Arial" w:eastAsia="Arial" w:hAnsi="Arial" w:cs="Arial"/>
          <w:sz w:val="20"/>
          <w:szCs w:val="20"/>
        </w:rPr>
        <w:t xml:space="preserve"> constar por escrito, después de su emisión oral, entre otras resoluciones, la de vinculación a proceso; empero, con la expresa restricción atinente a que la versión escrita no deberá exceder el alcance de la emitida oralmente, y habrá de dictarse inmediat</w:t>
      </w:r>
      <w:r>
        <w:rPr>
          <w:rFonts w:ascii="Arial" w:eastAsia="Arial" w:hAnsi="Arial" w:cs="Arial"/>
          <w:sz w:val="20"/>
          <w:szCs w:val="20"/>
        </w:rPr>
        <w:t>amente a su emisión en forma oral, sin exceder de veinticuatro horas, salvo disposición que establezca otro plazo; de manera que no se justifica prescindir de la versión escrita del auto de vinculación a proceso. Por tanto, si el Juez de Control, después d</w:t>
      </w:r>
      <w:r>
        <w:rPr>
          <w:rFonts w:ascii="Arial" w:eastAsia="Arial" w:hAnsi="Arial" w:cs="Arial"/>
          <w:sz w:val="20"/>
          <w:szCs w:val="20"/>
        </w:rPr>
        <w:t>e emitir oralmente su decisión de vincular a proceso, omite dictar su resolución por escrito, resulta inconcuso que el acto reclamado infringió las formalidades esenciales del procedimiento. Sin que sea obstáculo para entenderlo así, la jurisprudencia 1a./</w:t>
      </w:r>
      <w:r>
        <w:rPr>
          <w:rFonts w:ascii="Arial" w:eastAsia="Arial" w:hAnsi="Arial" w:cs="Arial"/>
          <w:sz w:val="20"/>
          <w:szCs w:val="20"/>
        </w:rPr>
        <w:t>J. 34/2017 (10a.), emitida por la Primera Sala de la Suprema Corte de Justicia de la Nación, de título y subtítulo: "AUTO DE VINCULACIÓN A PROCESO. LA VIDEOGRABACIÓN DE LA AUDIENCIA EN LA QUE EL JUEZ DE CONTROL LO EMITIÓ, CONSTITUYE EL REGISTRO QUE EXIGE E</w:t>
      </w:r>
      <w:r>
        <w:rPr>
          <w:rFonts w:ascii="Arial" w:eastAsia="Arial" w:hAnsi="Arial" w:cs="Arial"/>
          <w:sz w:val="20"/>
          <w:szCs w:val="20"/>
        </w:rPr>
        <w:t>L ARTÍCULO 16 DE LA CONSTITUCIÓN POLÍTICA DE LOS ESTADOS UNIDOS MEXICANOS PARA QUE EL IMPUTADO CONOZCA LA FUNDAMENTACIÓN Y MOTIVACIÓN DEL ACTO DE MOLESTIA (LEGISLACIONES DE LOS ESTADOS DE MÉXICO, NUEVO LEÓN Y ZACATECAS).", la cual se estima inaplicable, ya</w:t>
      </w:r>
      <w:r>
        <w:rPr>
          <w:rFonts w:ascii="Arial" w:eastAsia="Arial" w:hAnsi="Arial" w:cs="Arial"/>
          <w:sz w:val="20"/>
          <w:szCs w:val="20"/>
        </w:rPr>
        <w:t xml:space="preserve"> que dicho criterio derivó de la interpretación y análisis de las legislaciones procesales penales de los Estados de México, Nuevo León y Zacatecas, no así del Código Nacional de Procedimientos Penales, que constituye una normativa distinta y posterior que</w:t>
      </w:r>
      <w:r>
        <w:rPr>
          <w:rFonts w:ascii="Arial" w:eastAsia="Arial" w:hAnsi="Arial" w:cs="Arial"/>
          <w:sz w:val="20"/>
          <w:szCs w:val="20"/>
        </w:rPr>
        <w:t xml:space="preserve"> exige la emisión de la versión escrita, en los términos y con las restricciones destacadas. Por ende, no es motivo para dejar de cumplir con la obligación que la actual codificación establece como deber adicional a la celebración de la audiencia, pues dic</w:t>
      </w:r>
      <w:r>
        <w:rPr>
          <w:rFonts w:ascii="Arial" w:eastAsia="Arial" w:hAnsi="Arial" w:cs="Arial"/>
          <w:sz w:val="20"/>
          <w:szCs w:val="20"/>
        </w:rPr>
        <w:t>ha obligación paralela, como parte integral del sistema de registro, no fue tema de análisis en la ejecutoria que dio origen a la citada jurisprudencia.</w:t>
      </w:r>
    </w:p>
    <w:p w14:paraId="0000000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SEGUNDO TRIBUNAL COLEGIADO EN MATERIA PENAL DEL SEGUNDO CIRCUITO.</w:t>
      </w:r>
    </w:p>
    <w:p w14:paraId="0000000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en revisión 106/2019. 11 de ju</w:t>
      </w:r>
      <w:r>
        <w:rPr>
          <w:rFonts w:ascii="Arial" w:eastAsia="Arial" w:hAnsi="Arial" w:cs="Arial"/>
          <w:sz w:val="20"/>
          <w:szCs w:val="20"/>
        </w:rPr>
        <w:t>lio de 2019. Unanimidad de votos. Ponente: José Nieves Luna Castro. Secretario: José de Jesús Junior Álvarez Alvarado.</w:t>
      </w:r>
    </w:p>
    <w:p w14:paraId="0000000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en revisión 187/2019. 22 de noviembre de 2019. Unanimidad de votos. Ponente: Susana Díaz González, secretaria de tribunal autoriza</w:t>
      </w:r>
      <w:r>
        <w:rPr>
          <w:rFonts w:ascii="Arial" w:eastAsia="Arial" w:hAnsi="Arial" w:cs="Arial"/>
          <w:sz w:val="20"/>
          <w:szCs w:val="20"/>
        </w:rPr>
        <w:t>da por la Comisión de Carrera Judicial del Consejo de la Judicatura Federal para desempeñar las funciones de Magistrada, en términos del artículo 81, fracción XXII, de la Ley Orgánica del Poder Judicial de la Federación. Secretario: Margarito Hernández Mar</w:t>
      </w:r>
      <w:r>
        <w:rPr>
          <w:rFonts w:ascii="Arial" w:eastAsia="Arial" w:hAnsi="Arial" w:cs="Arial"/>
          <w:sz w:val="20"/>
          <w:szCs w:val="20"/>
        </w:rPr>
        <w:t xml:space="preserve">tínez. </w:t>
      </w:r>
    </w:p>
    <w:p w14:paraId="0000000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Amparo en revisión 250/2019. 9 de enero de 2020. Unanimidad de votos. Ponente: José Nieves Luna Castro. Secretario: José de Jesús Junior Álvarez Alvarado. </w:t>
      </w:r>
    </w:p>
    <w:p w14:paraId="0000000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en revisión 295/2019. 5 de marzo de 2020. Unanimidad de votos. Ponente: José Nieves L</w:t>
      </w:r>
      <w:r>
        <w:rPr>
          <w:rFonts w:ascii="Arial" w:eastAsia="Arial" w:hAnsi="Arial" w:cs="Arial"/>
          <w:sz w:val="20"/>
          <w:szCs w:val="20"/>
        </w:rPr>
        <w:t>una Castro. Secretario: Silvestre Prisciliano Jardón Orihuela.</w:t>
      </w:r>
    </w:p>
    <w:p w14:paraId="0000001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en revisión 351/2019. 11 de junio de 2020. Unanimidad de votos. Ponente: Juan Gabriel Sánchez Iriarte. Secretaria: Gigliola Taide Bernal Rosales.</w:t>
      </w:r>
    </w:p>
    <w:p w14:paraId="0000001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Nota: La tesis de jurisprudencia 1a./J. </w:t>
      </w:r>
      <w:r>
        <w:rPr>
          <w:rFonts w:ascii="Arial" w:eastAsia="Arial" w:hAnsi="Arial" w:cs="Arial"/>
          <w:sz w:val="20"/>
          <w:szCs w:val="20"/>
        </w:rPr>
        <w:t>34/2017 (10a.) citada, aparece publicada en el Semanario Judicial de la Federación del viernes 29 de septiembre de 2017 a las 10:38 horas y en la Gaceta del Semanario Judicial de la Federación, Décima Época, Libro 46, Tomo I, septiembre de 2017, página 125</w:t>
      </w:r>
      <w:r>
        <w:rPr>
          <w:rFonts w:ascii="Arial" w:eastAsia="Arial" w:hAnsi="Arial" w:cs="Arial"/>
          <w:sz w:val="20"/>
          <w:szCs w:val="20"/>
        </w:rPr>
        <w:t>, con número de registro digital: 2015127.</w:t>
      </w:r>
    </w:p>
    <w:p w14:paraId="0000001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Esta tesis es objeto de la denuncia relativa a la contradicción de tesis 2/2020, pendiente de resolverse por el Pleno en Materia Penal del Segundo Circuito.</w:t>
      </w:r>
    </w:p>
    <w:p w14:paraId="0000001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Esta tesis es objeto de la denuncia relativa a la contra</w:t>
      </w:r>
      <w:r>
        <w:rPr>
          <w:rFonts w:ascii="Arial" w:eastAsia="Arial" w:hAnsi="Arial" w:cs="Arial"/>
          <w:sz w:val="20"/>
          <w:szCs w:val="20"/>
        </w:rPr>
        <w:t xml:space="preserve">dicción de tesis 83/2021, pendiente de resolverse por la Primera Sala.   </w:t>
      </w:r>
    </w:p>
    <w:p w14:paraId="0000001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Esta tesis se publicó el viernes 06 de noviembre de 2020 a las 10:17 horas en el Semanario Judicial de la Federación y, por ende, se considera de aplicación obligatoria a partir del </w:t>
      </w:r>
      <w:r>
        <w:rPr>
          <w:rFonts w:ascii="Arial" w:eastAsia="Arial" w:hAnsi="Arial" w:cs="Arial"/>
          <w:sz w:val="20"/>
          <w:szCs w:val="20"/>
        </w:rPr>
        <w:t>lunes 09 de noviembre de 2020, para los efectos previstos en el punto séptimo del Acuerdo General Plenario 16/2019.</w:t>
      </w:r>
    </w:p>
    <w:p w14:paraId="00000015" w14:textId="77777777" w:rsidR="006574F1" w:rsidRDefault="006574F1">
      <w:pPr>
        <w:spacing w:after="0" w:line="240" w:lineRule="auto"/>
        <w:jc w:val="both"/>
        <w:rPr>
          <w:rFonts w:ascii="Arial" w:eastAsia="Arial" w:hAnsi="Arial" w:cs="Arial"/>
          <w:sz w:val="20"/>
          <w:szCs w:val="20"/>
        </w:rPr>
      </w:pPr>
    </w:p>
    <w:p w14:paraId="0000001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digital: 2004855</w:t>
      </w:r>
    </w:p>
    <w:p w14:paraId="0000001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1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1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1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XVIII.4o.8 P (10a.)</w:t>
      </w:r>
    </w:p>
    <w:p w14:paraId="0000001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S</w:t>
      </w:r>
      <w:r>
        <w:rPr>
          <w:rFonts w:ascii="Arial" w:eastAsia="Arial" w:hAnsi="Arial" w:cs="Arial"/>
          <w:sz w:val="20"/>
          <w:szCs w:val="20"/>
        </w:rPr>
        <w:t xml:space="preserve">emanario Judicial de la Federación y su Gaceta. Libro XXVI,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2013, Tomo 2, página 1289</w:t>
      </w:r>
    </w:p>
    <w:p w14:paraId="0000001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1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AUDIENCIA DE VINCULACIÓN A PROCESO. LA EVENTUAL INFRACCIÓN DEL MINISTERIO PÚBLICO AL PRINCIPIO DE ORALIDAD EN ÉSTA NO VULNERA DIRECTA E INMEDIATAMENTE DERECHOS FUNDAMENTALES </w:t>
      </w:r>
      <w:r>
        <w:rPr>
          <w:rFonts w:ascii="Arial" w:eastAsia="Arial" w:hAnsi="Arial" w:cs="Arial"/>
          <w:sz w:val="20"/>
          <w:szCs w:val="20"/>
        </w:rPr>
        <w:lastRenderedPageBreak/>
        <w:t>SUSTANTIVOS, NO OBSTANTE, DICHA VIOLACIÓN PROCESAL DEBE REPARARSE POR EL JUEZ A FI</w:t>
      </w:r>
      <w:r>
        <w:rPr>
          <w:rFonts w:ascii="Arial" w:eastAsia="Arial" w:hAnsi="Arial" w:cs="Arial"/>
          <w:sz w:val="20"/>
          <w:szCs w:val="20"/>
        </w:rPr>
        <w:t>N DE CUMPLIR CON LAS FORMALIDADES ESENCIALES DEL PROCEDIMIENTO (NUEVO SISTEMA DE JUSTICIA PENAL EN EL ESTADO DE MORELOS).</w:t>
      </w:r>
    </w:p>
    <w:p w14:paraId="0000001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Los artículos 20, párrafo primero, de la Constitución Política de los Estados Unidos Mexicanos, como eje toral del nuevo proceso penal</w:t>
      </w:r>
      <w:r>
        <w:rPr>
          <w:rFonts w:ascii="Arial" w:eastAsia="Arial" w:hAnsi="Arial" w:cs="Arial"/>
          <w:sz w:val="20"/>
          <w:szCs w:val="20"/>
        </w:rPr>
        <w:t xml:space="preserve"> mexicano, y 3 del Código de Procedimientos Penales del Estado de Morelos, establecen que el sistema penal de corte acusatorio y oral, se regirá por los principios de publicidad, contradicción, concentración, continuidad e inmediación, de los cuales se adv</w:t>
      </w:r>
      <w:r>
        <w:rPr>
          <w:rFonts w:ascii="Arial" w:eastAsia="Arial" w:hAnsi="Arial" w:cs="Arial"/>
          <w:sz w:val="20"/>
          <w:szCs w:val="20"/>
        </w:rPr>
        <w:t>ierte que su observancia se desarrolla bajo una oralidad, esto es, un instrumento de expresión verbal en el que se basan dichos principios. Así, en el nuevo sistema penal acusatorio, la oralidad constituye un instrumento de relevancia primordial, pues marc</w:t>
      </w:r>
      <w:r>
        <w:rPr>
          <w:rFonts w:ascii="Arial" w:eastAsia="Arial" w:hAnsi="Arial" w:cs="Arial"/>
          <w:sz w:val="20"/>
          <w:szCs w:val="20"/>
        </w:rPr>
        <w:t>a una estructura general del procedimiento, que estrictamente se refiere a una norma de comunicación -referencia verbal-, lo que debe entenderse como la obligación de que las partes estén presentes en las audiencias, para que se comuniquen de forma hablada</w:t>
      </w:r>
      <w:r>
        <w:rPr>
          <w:rFonts w:ascii="Arial" w:eastAsia="Arial" w:hAnsi="Arial" w:cs="Arial"/>
          <w:sz w:val="20"/>
          <w:szCs w:val="20"/>
        </w:rPr>
        <w:t xml:space="preserve"> (no escrita), de manera tal que el juzgador escuche directamente todos los argumentos que en ese momento se le expongan para sostener la imputación o la defensa, así como recibir los datos que se ofrezcan. Ahora bien, la eventual infracción del Ministerio</w:t>
      </w:r>
      <w:r>
        <w:rPr>
          <w:rFonts w:ascii="Arial" w:eastAsia="Arial" w:hAnsi="Arial" w:cs="Arial"/>
          <w:sz w:val="20"/>
          <w:szCs w:val="20"/>
        </w:rPr>
        <w:t xml:space="preserve"> Público al principio de oralidad en la audiencia de vinculación a proceso, como norma de comunicación del sistema penal acusatorio, no vulnera directa e inmediatamente derechos fundamentales sustantivos, pero sí adjetivos o procesales, los que junto con e</w:t>
      </w:r>
      <w:r>
        <w:rPr>
          <w:rFonts w:ascii="Arial" w:eastAsia="Arial" w:hAnsi="Arial" w:cs="Arial"/>
          <w:sz w:val="20"/>
          <w:szCs w:val="20"/>
        </w:rPr>
        <w:t>l cumplimiento de los principios rectores de publicidad, contradicción, concentración, continuidad e inmediación, constituyen la forma en que debe regirse dicho sistema, cuyo incumplimiento debe repararse por el Juez para otorgar al imputado un debido proc</w:t>
      </w:r>
      <w:r>
        <w:rPr>
          <w:rFonts w:ascii="Arial" w:eastAsia="Arial" w:hAnsi="Arial" w:cs="Arial"/>
          <w:sz w:val="20"/>
          <w:szCs w:val="20"/>
        </w:rPr>
        <w:t>eso y la oportunidad de defensa previamente al acto privativo, ya que el respeto a éste impone a las autoridades, entre otras obligaciones, la de que en el juicio que se siga, se cumplan las formalidades esenciales del procedimiento. Lo anterior, porque au</w:t>
      </w:r>
      <w:r>
        <w:rPr>
          <w:rFonts w:ascii="Arial" w:eastAsia="Arial" w:hAnsi="Arial" w:cs="Arial"/>
          <w:sz w:val="20"/>
          <w:szCs w:val="20"/>
        </w:rPr>
        <w:t>n cuando la oralidad tiene una previsión constitucional, ello no cambia su naturaleza procesal, cuya nota distintiva consiste en regular una determinada fase jurisdiccional, cuya infracción es reparable por la autoridad de instancia.</w:t>
      </w:r>
    </w:p>
    <w:p w14:paraId="0000001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CUARTO TRIBUNAL COLEGI</w:t>
      </w:r>
      <w:r>
        <w:rPr>
          <w:rFonts w:ascii="Arial" w:eastAsia="Arial" w:hAnsi="Arial" w:cs="Arial"/>
          <w:sz w:val="20"/>
          <w:szCs w:val="20"/>
        </w:rPr>
        <w:t>ADO DEL DÉCIMO OCTAVO CIRCUITO.</w:t>
      </w:r>
    </w:p>
    <w:p w14:paraId="0000002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en revisión 43/2013. 5 de abril de 2013. Unanimidad de votos. Ponente: Carlos Hernández García. Secretaria: Lorena Domínguez Ávalos.</w:t>
      </w:r>
    </w:p>
    <w:p w14:paraId="0000002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Nota: Por ejecutoria de fecha 8 de julio de 2020, la Primera Sala declaró inexistent</w:t>
      </w:r>
      <w:r>
        <w:rPr>
          <w:rFonts w:ascii="Arial" w:eastAsia="Arial" w:hAnsi="Arial" w:cs="Arial"/>
          <w:sz w:val="20"/>
          <w:szCs w:val="20"/>
        </w:rPr>
        <w:t xml:space="preserve">e la contradicción de tesis 298/2017 en que participó el presente criterio                                                                                                                                                                                      </w:t>
      </w:r>
      <w:r>
        <w:rPr>
          <w:rFonts w:ascii="Arial" w:eastAsia="Arial" w:hAnsi="Arial" w:cs="Arial"/>
          <w:sz w:val="20"/>
          <w:szCs w:val="20"/>
        </w:rPr>
        <w:t xml:space="preserve">                                                                                                                                                                                                                                                                </w:t>
      </w:r>
      <w:r>
        <w:rPr>
          <w:rFonts w:ascii="Arial" w:eastAsia="Arial" w:hAnsi="Arial" w:cs="Arial"/>
          <w:sz w:val="20"/>
          <w:szCs w:val="20"/>
        </w:rPr>
        <w:t xml:space="preserve">                                       </w:t>
      </w:r>
    </w:p>
    <w:p w14:paraId="00000022" w14:textId="77777777" w:rsidR="006574F1" w:rsidRDefault="006574F1">
      <w:pPr>
        <w:spacing w:after="0" w:line="240" w:lineRule="auto"/>
        <w:jc w:val="both"/>
        <w:rPr>
          <w:rFonts w:ascii="Arial" w:eastAsia="Arial" w:hAnsi="Arial" w:cs="Arial"/>
          <w:sz w:val="20"/>
          <w:szCs w:val="20"/>
        </w:rPr>
      </w:pPr>
    </w:p>
    <w:p w14:paraId="0000002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digital: 2006728</w:t>
      </w:r>
    </w:p>
    <w:p w14:paraId="0000002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2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2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2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XVIII.4o.9 P (10a.)</w:t>
      </w:r>
    </w:p>
    <w:p w14:paraId="0000002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7, </w:t>
      </w:r>
      <w:proofErr w:type="gramStart"/>
      <w:r>
        <w:rPr>
          <w:rFonts w:ascii="Arial" w:eastAsia="Arial" w:hAnsi="Arial" w:cs="Arial"/>
          <w:sz w:val="20"/>
          <w:szCs w:val="20"/>
        </w:rPr>
        <w:t>Junio</w:t>
      </w:r>
      <w:proofErr w:type="gramEnd"/>
      <w:r>
        <w:rPr>
          <w:rFonts w:ascii="Arial" w:eastAsia="Arial" w:hAnsi="Arial" w:cs="Arial"/>
          <w:sz w:val="20"/>
          <w:szCs w:val="20"/>
        </w:rPr>
        <w:t xml:space="preserve"> de 2014, Tomo </w:t>
      </w:r>
      <w:r>
        <w:rPr>
          <w:rFonts w:ascii="Arial" w:eastAsia="Arial" w:hAnsi="Arial" w:cs="Arial"/>
          <w:sz w:val="20"/>
          <w:szCs w:val="20"/>
        </w:rPr>
        <w:t>II, página 1932</w:t>
      </w:r>
    </w:p>
    <w:p w14:paraId="0000002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2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TEORÍA DEL CASO EN LOS JUICIOS ORALES DE CORTE ACUSATORIO. LA OMISIÓN DE LA DEFENSA DEL INCULPADO DE FORMULARLA PREVIAMENTE AL INICIO DE ÉSTOS, OBLIGA AL JUEZ A SU PREVENCIÓN PARA SANEAR ESTE DEFECTO, DE LO CONTRARIO, SE INFRINGEN LAS FORMALIDADES ESENCIAL</w:t>
      </w:r>
      <w:r>
        <w:rPr>
          <w:rFonts w:ascii="Arial" w:eastAsia="Arial" w:hAnsi="Arial" w:cs="Arial"/>
          <w:sz w:val="20"/>
          <w:szCs w:val="20"/>
        </w:rPr>
        <w:t>ES DEL PROCEDIMIENTO QUE OBLIGA A REPONERLO POR TRASCENDER AL RESULTADO DEL FALLO (LEGISLACIÓN DEL ESTADO DE MORELOS).</w:t>
      </w:r>
    </w:p>
    <w:p w14:paraId="0000002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La Primera Sala de la Suprema Corte de Justicia de la Nación, en la tesis 1a. CCXLVIII/2011 (9a.) derivada de la contradicción 412/2010, </w:t>
      </w:r>
      <w:r>
        <w:rPr>
          <w:rFonts w:ascii="Arial" w:eastAsia="Arial" w:hAnsi="Arial" w:cs="Arial"/>
          <w:sz w:val="20"/>
          <w:szCs w:val="20"/>
        </w:rPr>
        <w:t>de rubro: "SISTEMA PROCESAL PENAL ACUSATORIO. TEORÍA DEL CASO.", destacó la trascendencia de la teoría del caso en la observación al derecho de igualdad procesal que rige en los juicios orales, previsto en el artículo 20, apartado A, fracción V, de la Cons</w:t>
      </w:r>
      <w:r>
        <w:rPr>
          <w:rFonts w:ascii="Arial" w:eastAsia="Arial" w:hAnsi="Arial" w:cs="Arial"/>
          <w:sz w:val="20"/>
          <w:szCs w:val="20"/>
        </w:rPr>
        <w:t>titución Federal, aduciendo que, mediante su formulación, las partes pueden escuchar los argumentos de su contraria para apoyarlas o debatirlas y observar desde el inicio la forma en como formularán sus planteamientos en presencia del juzgador. Asimismo, l</w:t>
      </w:r>
      <w:r>
        <w:rPr>
          <w:rFonts w:ascii="Arial" w:eastAsia="Arial" w:hAnsi="Arial" w:cs="Arial"/>
          <w:sz w:val="20"/>
          <w:szCs w:val="20"/>
        </w:rPr>
        <w:t>a definió como la idea central o conjunto de hechos sobre los que versará la participación de cada parte, a efecto de explicarlos y determinar su relevancia, dotándolos de consistencia argumentativa para establecer la hipótesis procesal que pretende demost</w:t>
      </w:r>
      <w:r>
        <w:rPr>
          <w:rFonts w:ascii="Arial" w:eastAsia="Arial" w:hAnsi="Arial" w:cs="Arial"/>
          <w:sz w:val="20"/>
          <w:szCs w:val="20"/>
        </w:rPr>
        <w:t>rarse y que sustentará la decisión del Juez. De ahí que dicha teoría se basa en la capacidad argumentativa de las partes para sostener sus pretensiones dentro del juicio; por lo que su construcción permitirá al litigante afrontar con solvencia el debate or</w:t>
      </w:r>
      <w:r>
        <w:rPr>
          <w:rFonts w:ascii="Arial" w:eastAsia="Arial" w:hAnsi="Arial" w:cs="Arial"/>
          <w:sz w:val="20"/>
          <w:szCs w:val="20"/>
        </w:rPr>
        <w:t xml:space="preserve">al. Así, una preparación adecuada coadyuvará a conocer las fortalezas, oportunidades, debilidades y amenazas del caso y facilitará la organización de los medios de prueba para su presentación en el juicio. Por ello, debido a la trascendencia de su diseño, </w:t>
      </w:r>
      <w:r>
        <w:rPr>
          <w:rFonts w:ascii="Arial" w:eastAsia="Arial" w:hAnsi="Arial" w:cs="Arial"/>
          <w:sz w:val="20"/>
          <w:szCs w:val="20"/>
        </w:rPr>
        <w:t>debe considerarse una formalidad del procedimiento, la cual, si no se advierte satisfecha previo al juicio oral, el Juez, en términos del artículo 24 del Código de Procedimientos Penales del Estado de Morelos, debe llamar la atención del imputado y su defe</w:t>
      </w:r>
      <w:r>
        <w:rPr>
          <w:rFonts w:ascii="Arial" w:eastAsia="Arial" w:hAnsi="Arial" w:cs="Arial"/>
          <w:sz w:val="20"/>
          <w:szCs w:val="20"/>
        </w:rPr>
        <w:t>nsa para que estén en aptitud de sanear esta infracción procesal. Lo anterior, porque permitir el inicio de juicios sin la teoría del caso, llevaría al absurdo de sustanciar procedimientos sin objetivos precisos, que pudieran derivar en la emisión de actos</w:t>
      </w:r>
      <w:r>
        <w:rPr>
          <w:rFonts w:ascii="Arial" w:eastAsia="Arial" w:hAnsi="Arial" w:cs="Arial"/>
          <w:sz w:val="20"/>
          <w:szCs w:val="20"/>
        </w:rPr>
        <w:t xml:space="preserve"> de autoridad ociosos, incongruentes o dilatorios, en tanto que no se conoce lo que se pretende probar durante el juicio, ni las pruebas que servirán de sustento para ello. En tal virtud, si el juzgador al inicio de la etapa de apertura a dicho juicio, adv</w:t>
      </w:r>
      <w:r>
        <w:rPr>
          <w:rFonts w:ascii="Arial" w:eastAsia="Arial" w:hAnsi="Arial" w:cs="Arial"/>
          <w:sz w:val="20"/>
          <w:szCs w:val="20"/>
        </w:rPr>
        <w:t>ierte que el abogado del inculpado omite exponer los argumentos en que fincará su defensa, cuando en términos de los artículos 304, inciso A), fracción III y 309 del citado código es el momento para hacerlo, ello trasciende al fallo, por lo que debe ordena</w:t>
      </w:r>
      <w:r>
        <w:rPr>
          <w:rFonts w:ascii="Arial" w:eastAsia="Arial" w:hAnsi="Arial" w:cs="Arial"/>
          <w:sz w:val="20"/>
          <w:szCs w:val="20"/>
        </w:rPr>
        <w:t>r la reposición del procedimiento para el efecto de que sea saneada dicha infracción, previniéndolos para que presenten una exposición abreviada de sus pretensiones, mediante la expresión de los argumentos que consideren necesarios, señalen los medios de p</w:t>
      </w:r>
      <w:r>
        <w:rPr>
          <w:rFonts w:ascii="Arial" w:eastAsia="Arial" w:hAnsi="Arial" w:cs="Arial"/>
          <w:sz w:val="20"/>
          <w:szCs w:val="20"/>
        </w:rPr>
        <w:t xml:space="preserve">rueba que producirán en juicio para demostrarlos e incluyan los relativos </w:t>
      </w:r>
      <w:r>
        <w:rPr>
          <w:rFonts w:ascii="Arial" w:eastAsia="Arial" w:hAnsi="Arial" w:cs="Arial"/>
          <w:sz w:val="20"/>
          <w:szCs w:val="20"/>
        </w:rPr>
        <w:lastRenderedPageBreak/>
        <w:t>a la individualización de las sanciones. Lo anterior, no contraviene el principio de presunción de inocencia, si se considera que dicha máxima subyace en favor de los imputados hasta</w:t>
      </w:r>
      <w:r>
        <w:rPr>
          <w:rFonts w:ascii="Arial" w:eastAsia="Arial" w:hAnsi="Arial" w:cs="Arial"/>
          <w:sz w:val="20"/>
          <w:szCs w:val="20"/>
        </w:rPr>
        <w:t xml:space="preserve"> en tanto aparecen suficientes medios que los incriminen en el hecho ilícito atribuido; ante lo cual, éstos deben desvirtuar tales incriminaciones, pues no es válido en su favor el silencio o la simple negativa. Sin que se soslaye que la estrategia de la d</w:t>
      </w:r>
      <w:r>
        <w:rPr>
          <w:rFonts w:ascii="Arial" w:eastAsia="Arial" w:hAnsi="Arial" w:cs="Arial"/>
          <w:sz w:val="20"/>
          <w:szCs w:val="20"/>
        </w:rPr>
        <w:t>efensa sea la de no aportar pruebas, extraer elementos en su favor de los medios de convicción ofertados por el fiscal durante su desfile y esperar que éste demuestre su culpabilidad pues, en este supuesto, así debe exponerse en la formulación de su teoría</w:t>
      </w:r>
      <w:r>
        <w:rPr>
          <w:rFonts w:ascii="Arial" w:eastAsia="Arial" w:hAnsi="Arial" w:cs="Arial"/>
          <w:sz w:val="20"/>
          <w:szCs w:val="20"/>
        </w:rPr>
        <w:t xml:space="preserve"> del caso, dado que será el medio de defensa por el cual se pretenderá alcanzar la absolución frente a la acusación hecha al imputado. Por último, se advierte que el principio de contradicción rige para los juicios orales de corte acusatorio, el cual sólo </w:t>
      </w:r>
      <w:r>
        <w:rPr>
          <w:rFonts w:ascii="Arial" w:eastAsia="Arial" w:hAnsi="Arial" w:cs="Arial"/>
          <w:sz w:val="20"/>
          <w:szCs w:val="20"/>
        </w:rPr>
        <w:t>se entiende observado cuando tanto la defensa como el fiscal fincan sus respectivas teorías del caso, las cuales, una vez conocidas por sus oponentes, podrán ser contradichas en un plano de igualdad procesal.</w:t>
      </w:r>
    </w:p>
    <w:p w14:paraId="0000002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CUARTO TRIBUNAL COLEGIADO DEL DÉCIMO OCTAVO CIR</w:t>
      </w:r>
      <w:r>
        <w:rPr>
          <w:rFonts w:ascii="Arial" w:eastAsia="Arial" w:hAnsi="Arial" w:cs="Arial"/>
          <w:sz w:val="20"/>
          <w:szCs w:val="20"/>
        </w:rPr>
        <w:t>CUITO.</w:t>
      </w:r>
    </w:p>
    <w:p w14:paraId="0000002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331/2012. 5 de octubre de 2012. Unanimidad de votos. Ponente: Juan José Franco Luna. Secretario: Héctor Flores Irene.</w:t>
      </w:r>
    </w:p>
    <w:p w14:paraId="0000002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470/2012. 15 de marzo de 2013. Unanimidad de votos. Ponente: Juan José Franco Luna. Secretario: Hécto</w:t>
      </w:r>
      <w:r>
        <w:rPr>
          <w:rFonts w:ascii="Arial" w:eastAsia="Arial" w:hAnsi="Arial" w:cs="Arial"/>
          <w:sz w:val="20"/>
          <w:szCs w:val="20"/>
        </w:rPr>
        <w:t>r Flores Irene.</w:t>
      </w:r>
    </w:p>
    <w:p w14:paraId="0000002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Nota: Por ejecutoria del 3 de julio de 2019, la Primera Sala declaró inexistente la contradicción de tesis 101/2015 derivada de la denuncia de la que fue objeto el criterio contenido en esta tesis, al estimarse que no son discrepantes los c</w:t>
      </w:r>
      <w:r>
        <w:rPr>
          <w:rFonts w:ascii="Arial" w:eastAsia="Arial" w:hAnsi="Arial" w:cs="Arial"/>
          <w:sz w:val="20"/>
          <w:szCs w:val="20"/>
        </w:rPr>
        <w:t>riterios materia de la denuncia respectiva.</w:t>
      </w:r>
    </w:p>
    <w:p w14:paraId="0000003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13 de junio de 2014 a las 09:37 horas en el Semanario Judicial de la Federación.</w:t>
      </w:r>
    </w:p>
    <w:p w14:paraId="00000031" w14:textId="77777777" w:rsidR="006574F1" w:rsidRDefault="006574F1">
      <w:pPr>
        <w:spacing w:after="0" w:line="240" w:lineRule="auto"/>
        <w:jc w:val="both"/>
        <w:rPr>
          <w:rFonts w:ascii="Arial" w:eastAsia="Arial" w:hAnsi="Arial" w:cs="Arial"/>
          <w:sz w:val="20"/>
          <w:szCs w:val="20"/>
        </w:rPr>
      </w:pPr>
    </w:p>
    <w:p w14:paraId="0000003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digital: 2008043</w:t>
      </w:r>
    </w:p>
    <w:p w14:paraId="0000003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3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3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Materias(s): </w:t>
      </w:r>
      <w:r>
        <w:rPr>
          <w:rFonts w:ascii="Arial" w:eastAsia="Arial" w:hAnsi="Arial" w:cs="Arial"/>
          <w:sz w:val="20"/>
          <w:szCs w:val="20"/>
        </w:rPr>
        <w:t>Penal</w:t>
      </w:r>
    </w:p>
    <w:p w14:paraId="0000003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I.9o.P. J/14 (10a.)</w:t>
      </w:r>
    </w:p>
    <w:p w14:paraId="0000003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12,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2014, Tomo IV, página 2572</w:t>
      </w:r>
    </w:p>
    <w:p w14:paraId="0000003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Tipo: Jurisprudencia</w:t>
      </w:r>
    </w:p>
    <w:p w14:paraId="0000003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ACTUACIONES DEL MINISTERIO PÚBLICO EN LA AVERIGUACIÓN PREVIA. NO CARECEN DE VALIDEZ NI CONTRAVIENEN LAS FORMALIDADES ESENCIALES DEL PROCEDIMIENTO O EL DERECHO DE DEFENSA, POR ESTAR ASENTADAS EN PAPEL TAMAÑO CARTA Y NO EN OFICIO (INTERPRETACIÓN DEL ARTÍCULO</w:t>
      </w:r>
      <w:r>
        <w:rPr>
          <w:rFonts w:ascii="Arial" w:eastAsia="Arial" w:hAnsi="Arial" w:cs="Arial"/>
          <w:sz w:val="20"/>
          <w:szCs w:val="20"/>
        </w:rPr>
        <w:t xml:space="preserve"> 277 DEL CÓDIGO DE PROCEDIMIENTOS PENALES PARA EL DISTRITO FEDERAL).</w:t>
      </w:r>
    </w:p>
    <w:p w14:paraId="0000003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Las actuaciones practicadas por el Ministerio Público en la averiguación previa, asentadas en papel tamaño carta y no en oficio, no carecen de validez ni contravienen las formalidades ese</w:t>
      </w:r>
      <w:r>
        <w:rPr>
          <w:rFonts w:ascii="Arial" w:eastAsia="Arial" w:hAnsi="Arial" w:cs="Arial"/>
          <w:sz w:val="20"/>
          <w:szCs w:val="20"/>
        </w:rPr>
        <w:t>nciales del procedimiento, en términos del artículo 14, párrafo segundo, de la Constitución Política de los Estados Unidos Mexicanos, o el derecho de defensa adecuada, establecido en su artículo 20, apartado A, fracción IX. Lo anterior, por no estar consid</w:t>
      </w:r>
      <w:r>
        <w:rPr>
          <w:rFonts w:ascii="Arial" w:eastAsia="Arial" w:hAnsi="Arial" w:cs="Arial"/>
          <w:sz w:val="20"/>
          <w:szCs w:val="20"/>
        </w:rPr>
        <w:t>erado así por los artículos 160 de la Ley de Amparo abrogada y 12 a 17 del Código de Procedimientos Penales para el Distrito Federal. En efecto, el hecho de que las mencionadas diligencias ministeriales estén elaboradas en hojas tamaño carta y no en oficio</w:t>
      </w:r>
      <w:r>
        <w:rPr>
          <w:rFonts w:ascii="Arial" w:eastAsia="Arial" w:hAnsi="Arial" w:cs="Arial"/>
          <w:sz w:val="20"/>
          <w:szCs w:val="20"/>
        </w:rPr>
        <w:t>, como lo establece el numeral 277 del código mencionado (que dispone que las actas deben extenderse en ese tamaño), no tiene el alcance para determinar que lo asentado en ellas es nulo de pleno derecho o que se trate de prueba ilícita, pues el valor proba</w:t>
      </w:r>
      <w:r>
        <w:rPr>
          <w:rFonts w:ascii="Arial" w:eastAsia="Arial" w:hAnsi="Arial" w:cs="Arial"/>
          <w:sz w:val="20"/>
          <w:szCs w:val="20"/>
        </w:rPr>
        <w:t xml:space="preserve">torio de las diligencias realizadas por la representación social no depende del tamaño del papel en que ésta las deja plasmadas, sino de que aquéllas no sean contrarias a las reglas establecidas en la ley para llevar a cabo su desahogo. Ello, toda vez que </w:t>
      </w:r>
      <w:r>
        <w:rPr>
          <w:rFonts w:ascii="Arial" w:eastAsia="Arial" w:hAnsi="Arial" w:cs="Arial"/>
          <w:sz w:val="20"/>
          <w:szCs w:val="20"/>
        </w:rPr>
        <w:t>el citado artículo 277, al disponer que "las actas se extenderán en papel de oficio", se refiere propiamente a las formalidades de las actas llevadas a cabo por la Policía Judicial en auxilio del Ministerio Público, para recibir, en los supuestos que ahí s</w:t>
      </w:r>
      <w:r>
        <w:rPr>
          <w:rFonts w:ascii="Arial" w:eastAsia="Arial" w:hAnsi="Arial" w:cs="Arial"/>
          <w:sz w:val="20"/>
          <w:szCs w:val="20"/>
        </w:rPr>
        <w:t>e contemplan, las denuncias correspondientes, por así señalarlo los artículos 274, 275 y 277 del propio código. Por tanto, no puede llegarse al extremo de declarar inválida o restarle valor probatorio a una actuación ministerial en atención al tamaño del p</w:t>
      </w:r>
      <w:r>
        <w:rPr>
          <w:rFonts w:ascii="Arial" w:eastAsia="Arial" w:hAnsi="Arial" w:cs="Arial"/>
          <w:sz w:val="20"/>
          <w:szCs w:val="20"/>
        </w:rPr>
        <w:t>apel en el que fue asentada; máxime si su contenido -que es jurídicamente trascendente-, cumple con las demás formalidades establecidas en ese ordenamiento procesal, como son, entre otras, la firma y rúbrica del funcionario que la practicó, así como el sel</w:t>
      </w:r>
      <w:r>
        <w:rPr>
          <w:rFonts w:ascii="Arial" w:eastAsia="Arial" w:hAnsi="Arial" w:cs="Arial"/>
          <w:sz w:val="20"/>
          <w:szCs w:val="20"/>
        </w:rPr>
        <w:t>lo de la autoridad que la autoriza.</w:t>
      </w:r>
    </w:p>
    <w:p w14:paraId="0000003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3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441/2010. 28 de octubre de 2010. Unanimidad de votos. Ponente: Fernando Hernández Piña. Secretario: Daniel Dámaso Castro Vera.</w:t>
      </w:r>
    </w:p>
    <w:p w14:paraId="0000003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w:t>
      </w:r>
      <w:r>
        <w:rPr>
          <w:rFonts w:ascii="Arial" w:eastAsia="Arial" w:hAnsi="Arial" w:cs="Arial"/>
          <w:sz w:val="20"/>
          <w:szCs w:val="20"/>
        </w:rPr>
        <w:t xml:space="preserve"> 569/2010. 24 de febrero de 2011. Unanimidad de votos. Ponente: Emma Meza Fonseca. Secretaria: María del Carmen Campos Bedolla.</w:t>
      </w:r>
    </w:p>
    <w:p w14:paraId="0000003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567/2010. 24 de marzo de 2011. Unanimidad de votos. Ponente: Humberto Manuel Román Franco. Secretario: Daniel Guz</w:t>
      </w:r>
      <w:r>
        <w:rPr>
          <w:rFonts w:ascii="Arial" w:eastAsia="Arial" w:hAnsi="Arial" w:cs="Arial"/>
          <w:sz w:val="20"/>
          <w:szCs w:val="20"/>
        </w:rPr>
        <w:t>mán Aguado.</w:t>
      </w:r>
    </w:p>
    <w:p w14:paraId="0000003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69/2011. 9 de junio de 2011. Unanimidad de votos. Ponente: Humberto Manuel Román Franco. Secretario: Gerardo Domínguez Romo.</w:t>
      </w:r>
    </w:p>
    <w:p w14:paraId="0000004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109/2014. 29 de mayo de 2014. Unanimidad de votos. Ponente: Guadalupe Olga Mejía Sánchez.</w:t>
      </w:r>
      <w:r>
        <w:rPr>
          <w:rFonts w:ascii="Arial" w:eastAsia="Arial" w:hAnsi="Arial" w:cs="Arial"/>
          <w:sz w:val="20"/>
          <w:szCs w:val="20"/>
        </w:rPr>
        <w:t xml:space="preserve"> Secretario: Luis Manuel Fiesco Díaz.</w:t>
      </w:r>
    </w:p>
    <w:p w14:paraId="0000004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Esta tesis se publicó el viernes 28 de noviembre de 2014 a las 10:05 horas en el Semanario Judicial de la Federación y, por ende, se considera de aplicación obligatoria a partir del lunes 01 de diciembre de 2014, para </w:t>
      </w:r>
      <w:r>
        <w:rPr>
          <w:rFonts w:ascii="Arial" w:eastAsia="Arial" w:hAnsi="Arial" w:cs="Arial"/>
          <w:sz w:val="20"/>
          <w:szCs w:val="20"/>
        </w:rPr>
        <w:t>los efectos previstos en el punto séptimo del Acuerdo General Plenario 19/2013.</w:t>
      </w:r>
    </w:p>
    <w:p w14:paraId="00000042" w14:textId="77777777" w:rsidR="006574F1" w:rsidRDefault="006574F1">
      <w:pPr>
        <w:spacing w:after="0" w:line="240" w:lineRule="auto"/>
        <w:jc w:val="both"/>
        <w:rPr>
          <w:rFonts w:ascii="Arial" w:eastAsia="Arial" w:hAnsi="Arial" w:cs="Arial"/>
          <w:sz w:val="20"/>
          <w:szCs w:val="20"/>
        </w:rPr>
      </w:pPr>
    </w:p>
    <w:p w14:paraId="0000004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digital: 2020966</w:t>
      </w:r>
    </w:p>
    <w:p w14:paraId="0000004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4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4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4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XIII.1o.P.T.7 P (10a.)</w:t>
      </w:r>
    </w:p>
    <w:p w14:paraId="0000004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Judicial de l</w:t>
      </w:r>
      <w:r>
        <w:rPr>
          <w:rFonts w:ascii="Arial" w:eastAsia="Arial" w:hAnsi="Arial" w:cs="Arial"/>
          <w:sz w:val="20"/>
          <w:szCs w:val="20"/>
        </w:rPr>
        <w:t xml:space="preserve">a Federación. Libro 72,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2019, Tomo III, página 2391</w:t>
      </w:r>
    </w:p>
    <w:p w14:paraId="0000004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4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FORMULACIÓN DE LA IMPUTACIÓN EN EL SISTEMA PENAL ACUSATORIO. SI EN LA AUDIENCIA RELATIVA EL MINISTERIO PÚBLICO SÓLO DIO LECTURA ÍNTEGRA A AQUÉLLA Y A LOS DATOS DE PRUEBA EN QUE </w:t>
      </w:r>
      <w:r>
        <w:rPr>
          <w:rFonts w:ascii="Arial" w:eastAsia="Arial" w:hAnsi="Arial" w:cs="Arial"/>
          <w:sz w:val="20"/>
          <w:szCs w:val="20"/>
        </w:rPr>
        <w:t>SE APOYA, SIN EXPONER LOS ARGUMENTOS DE SU POSTURA, NI LOS DATOS DE PRUEBA QUE LA ACREDITEN, INFRINGE EL PRINCIPIO DE ORALIDAD Y LAS FORMALIDADES ESENCIALES DEL PROCEDIMIENTO.</w:t>
      </w:r>
    </w:p>
    <w:p w14:paraId="0000004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De conformidad con el artículo 20, apartado A, de la Constitución Política de lo</w:t>
      </w:r>
      <w:r>
        <w:rPr>
          <w:rFonts w:ascii="Arial" w:eastAsia="Arial" w:hAnsi="Arial" w:cs="Arial"/>
          <w:sz w:val="20"/>
          <w:szCs w:val="20"/>
        </w:rPr>
        <w:t>s Estados Unidos Mexicanos, a partir de la reforma del dieciocho de junio de dos mil ocho, la oralidad en el sistema penal acusatorio constituye un instrumento de relevancia primordial, porque marca una estructura general del procedimiento, que estrictamen</w:t>
      </w:r>
      <w:r>
        <w:rPr>
          <w:rFonts w:ascii="Arial" w:eastAsia="Arial" w:hAnsi="Arial" w:cs="Arial"/>
          <w:sz w:val="20"/>
          <w:szCs w:val="20"/>
        </w:rPr>
        <w:t>te se refiere a una norma de comunicación –referencia verbal– y da consecución a los principios que constitucional y legalmente se prevén como rectores del novedoso sistema penal, en el caso, de publicidad, contradicción, concentración, continuidad e inmed</w:t>
      </w:r>
      <w:r>
        <w:rPr>
          <w:rFonts w:ascii="Arial" w:eastAsia="Arial" w:hAnsi="Arial" w:cs="Arial"/>
          <w:sz w:val="20"/>
          <w:szCs w:val="20"/>
        </w:rPr>
        <w:t>iación. Por tanto, si se advierte que en la audiencia de comunicación de la imputación el Ministerio Público dio lectura íntegra a la formulación de la imputación y a los datos de prueba en que ésta se apoya, y no expuso los argumentos por los cuales demue</w:t>
      </w:r>
      <w:r>
        <w:rPr>
          <w:rFonts w:ascii="Arial" w:eastAsia="Arial" w:hAnsi="Arial" w:cs="Arial"/>
          <w:sz w:val="20"/>
          <w:szCs w:val="20"/>
        </w:rPr>
        <w:t xml:space="preserve">stra su postura ni explicó al imputado ni al órgano jurisdiccional en proposiciones concisas las circunstancias fácticas que pretende imputarle y las razones por las que los datos de prueba o parte del dato la acreditan, con ello infringió el principio de </w:t>
      </w:r>
      <w:r>
        <w:rPr>
          <w:rFonts w:ascii="Arial" w:eastAsia="Arial" w:hAnsi="Arial" w:cs="Arial"/>
          <w:sz w:val="20"/>
          <w:szCs w:val="20"/>
        </w:rPr>
        <w:t>oralidad a que se refiere el citado precepto constitucional y, en consecuencia, las formalidades esenciales del procedimiento exigidas por el diverso artículo 14 de la Constitución Federal. Luego, en estas circunstancias, como uno de los requisitos indispe</w:t>
      </w:r>
      <w:r>
        <w:rPr>
          <w:rFonts w:ascii="Arial" w:eastAsia="Arial" w:hAnsi="Arial" w:cs="Arial"/>
          <w:sz w:val="20"/>
          <w:szCs w:val="20"/>
        </w:rPr>
        <w:t>nsables para dictar un auto de vinculación a proceso es, precisamente, que se haya formulado la imputación, según lo dispone el artículo 316, fracción I, del Código Nacional de Procedimientos Penales, debe asumirse que el auto de vinculación a proceso tamb</w:t>
      </w:r>
      <w:r>
        <w:rPr>
          <w:rFonts w:ascii="Arial" w:eastAsia="Arial" w:hAnsi="Arial" w:cs="Arial"/>
          <w:sz w:val="20"/>
          <w:szCs w:val="20"/>
        </w:rPr>
        <w:t>ién participa de esa ilegalidad y, por ende, procede otorgar la protección constitucional solicitada en la vía indirecta para el efecto de que se reponga el procedimiento a partir de la audiencia de comunicación de la imputación.</w:t>
      </w:r>
    </w:p>
    <w:p w14:paraId="0000004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PRIMER TRIBUNAL COLEGIADO </w:t>
      </w:r>
      <w:r>
        <w:rPr>
          <w:rFonts w:ascii="Arial" w:eastAsia="Arial" w:hAnsi="Arial" w:cs="Arial"/>
          <w:sz w:val="20"/>
          <w:szCs w:val="20"/>
        </w:rPr>
        <w:t>EN MATERIAS PENAL Y DE TRABAJO DEL DÉCIMO TERCER CIRCUITO.</w:t>
      </w:r>
    </w:p>
    <w:p w14:paraId="0000004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en revisión 831/2018. 12 de septiembre de 2019. Unanimidad de votos. Ponente: José Luis Legorreta Garibay. Secretaria: Elisa Alfoab López Quiroz.</w:t>
      </w:r>
    </w:p>
    <w:p w14:paraId="0000004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Nota: Esta tesis es objeto de la denuncia re</w:t>
      </w:r>
      <w:r>
        <w:rPr>
          <w:rFonts w:ascii="Arial" w:eastAsia="Arial" w:hAnsi="Arial" w:cs="Arial"/>
          <w:sz w:val="20"/>
          <w:szCs w:val="20"/>
        </w:rPr>
        <w:t xml:space="preserve">lativa a la contradicción de tesis 33/2021, pendiente de resolverse por la Primera Sala.   </w:t>
      </w:r>
    </w:p>
    <w:p w14:paraId="0000004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Esta tesis se publicó el viernes 08 de noviembre de 2019 a las </w:t>
      </w:r>
      <w:proofErr w:type="gramStart"/>
      <w:r>
        <w:rPr>
          <w:rFonts w:ascii="Arial" w:eastAsia="Arial" w:hAnsi="Arial" w:cs="Arial"/>
          <w:sz w:val="20"/>
          <w:szCs w:val="20"/>
        </w:rPr>
        <w:t>10:19  horas</w:t>
      </w:r>
      <w:proofErr w:type="gramEnd"/>
      <w:r>
        <w:rPr>
          <w:rFonts w:ascii="Arial" w:eastAsia="Arial" w:hAnsi="Arial" w:cs="Arial"/>
          <w:sz w:val="20"/>
          <w:szCs w:val="20"/>
        </w:rPr>
        <w:t xml:space="preserve">  en el Semanario Judicial de la Federación.</w:t>
      </w:r>
    </w:p>
    <w:p w14:paraId="00000050" w14:textId="77777777" w:rsidR="006574F1" w:rsidRDefault="006574F1">
      <w:pPr>
        <w:spacing w:after="0" w:line="240" w:lineRule="auto"/>
        <w:jc w:val="both"/>
        <w:rPr>
          <w:rFonts w:ascii="Arial" w:eastAsia="Arial" w:hAnsi="Arial" w:cs="Arial"/>
          <w:sz w:val="20"/>
          <w:szCs w:val="20"/>
        </w:rPr>
      </w:pPr>
    </w:p>
    <w:p w14:paraId="0000005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5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2004134</w:t>
      </w:r>
    </w:p>
    <w:p w14:paraId="0000005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P</w:t>
      </w:r>
      <w:r>
        <w:rPr>
          <w:rFonts w:ascii="Arial" w:eastAsia="Arial" w:hAnsi="Arial" w:cs="Arial"/>
          <w:sz w:val="20"/>
          <w:szCs w:val="20"/>
        </w:rPr>
        <w:t>rimera Sala</w:t>
      </w:r>
    </w:p>
    <w:p w14:paraId="0000005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5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5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Libro XXII, Julio de 2013, Tomo 1</w:t>
      </w:r>
    </w:p>
    <w:p w14:paraId="0000005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 Constitucional, Común</w:t>
      </w:r>
    </w:p>
    <w:p w14:paraId="0000005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1a./J. 45/2013 (10a.)</w:t>
      </w:r>
    </w:p>
    <w:p w14:paraId="0000005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Página:   529</w:t>
      </w:r>
    </w:p>
    <w:p w14:paraId="0000005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VIOLACIONES COMETIDAS EN LA DETENCIÓN DEL INCULPADO CON MOTIVO DE LA EXCEPCIÓN PREVISTA EN EL ARTÍCULO 16 CONSTITUCIONAL (FLAGRANCIA O CASO URGENTE). ES FACTIBLE SU ANÁLISIS EN AMPARO DIRECTO CUANDO NO HAYAN SIDO ANALIZADAS PREVIAMENTE EN AMPARO INDIRECTO.</w:t>
      </w:r>
    </w:p>
    <w:p w14:paraId="0000005B" w14:textId="77777777" w:rsidR="006574F1" w:rsidRDefault="00451649">
      <w:pPr>
        <w:spacing w:after="0" w:line="240" w:lineRule="auto"/>
        <w:jc w:val="both"/>
        <w:rPr>
          <w:rFonts w:ascii="Arial" w:eastAsia="Arial" w:hAnsi="Arial" w:cs="Arial"/>
          <w:sz w:val="20"/>
          <w:szCs w:val="20"/>
        </w:rPr>
      </w:pPr>
      <w:bookmarkStart w:id="0" w:name="_heading=h.gjdgxs" w:colFirst="0" w:colLast="0"/>
      <w:bookmarkEnd w:id="0"/>
      <w:r>
        <w:rPr>
          <w:rFonts w:ascii="Arial" w:eastAsia="Arial" w:hAnsi="Arial" w:cs="Arial"/>
          <w:sz w:val="20"/>
          <w:szCs w:val="20"/>
        </w:rPr>
        <w:t>Esta Primera Sala de la Suprema Corte de Justicia de la Nación, en la jurisprudencia 1a./J. 121/2009, sostuvo que en el amparo directo procede analizar como violaciones al procedimiento las cometidas en la averiguación previa cuando afecten los derechos f</w:t>
      </w:r>
      <w:r>
        <w:rPr>
          <w:rFonts w:ascii="Arial" w:eastAsia="Arial" w:hAnsi="Arial" w:cs="Arial"/>
          <w:sz w:val="20"/>
          <w:szCs w:val="20"/>
        </w:rPr>
        <w:t>undamentales contenidos en los artículos 14 y 20 de la Constitución Política de los Estados Unidos Mexicanos, lo cual no debe interpretarse limitativamente, en la medida en que la protección del derecho humano al debido proceso la conforman sistemáticament</w:t>
      </w:r>
      <w:r>
        <w:rPr>
          <w:rFonts w:ascii="Arial" w:eastAsia="Arial" w:hAnsi="Arial" w:cs="Arial"/>
          <w:sz w:val="20"/>
          <w:szCs w:val="20"/>
        </w:rPr>
        <w:t>e diversos numerales constitucionales, esto es, el respeto a este derecho se vincula con la observación de los parámetros que la Constitución establece para todas las etapas procedimentales. En ese sentido, el catálogo de derechos del detenido, previsto en</w:t>
      </w:r>
      <w:r>
        <w:rPr>
          <w:rFonts w:ascii="Arial" w:eastAsia="Arial" w:hAnsi="Arial" w:cs="Arial"/>
          <w:sz w:val="20"/>
          <w:szCs w:val="20"/>
        </w:rPr>
        <w:t xml:space="preserve"> el artículo 20, apartado A, fracciones I, V, VII y IX, constitucional, en su texto anterior a la reforma publicada en el Diario Oficial de la Federación el 18 de junio de 2008, se extiende a todos aquellos actos o diligencias realizados desde la averiguac</w:t>
      </w:r>
      <w:r>
        <w:rPr>
          <w:rFonts w:ascii="Arial" w:eastAsia="Arial" w:hAnsi="Arial" w:cs="Arial"/>
          <w:sz w:val="20"/>
          <w:szCs w:val="20"/>
        </w:rPr>
        <w:t>ión previa, lo que permite ubicar posibles violaciones en cualquier diligencia de esta etapa. Ahora bien, el artículo 16 de la Carta Magna establece algunas excepciones que implican la restricción a aquellos derechos, entre las cuales se encuentra la priva</w:t>
      </w:r>
      <w:r>
        <w:rPr>
          <w:rFonts w:ascii="Arial" w:eastAsia="Arial" w:hAnsi="Arial" w:cs="Arial"/>
          <w:sz w:val="20"/>
          <w:szCs w:val="20"/>
        </w:rPr>
        <w:t>ción de la libertad personal, específicamente en las detenciones por flagrancia o caso urgente, derivadas de la existencia de elementos que permiten atribuir a una persona su probable responsabilidad en la comisión de un hecho calificado como delito por la</w:t>
      </w:r>
      <w:r>
        <w:rPr>
          <w:rFonts w:ascii="Arial" w:eastAsia="Arial" w:hAnsi="Arial" w:cs="Arial"/>
          <w:sz w:val="20"/>
          <w:szCs w:val="20"/>
        </w:rPr>
        <w:t>s leyes penales; sin embargo, para que dicha excepción sea constitucionalmente válida deben satisfacerse ciertas condiciones de legalidad, lo que implica que el órgano de control constitucional tiene la obligación de verificar si la detención prolongada po</w:t>
      </w:r>
      <w:r>
        <w:rPr>
          <w:rFonts w:ascii="Arial" w:eastAsia="Arial" w:hAnsi="Arial" w:cs="Arial"/>
          <w:sz w:val="20"/>
          <w:szCs w:val="20"/>
        </w:rPr>
        <w:t xml:space="preserve">r la policía sin poner al detenido </w:t>
      </w:r>
      <w:r>
        <w:rPr>
          <w:rFonts w:ascii="Arial" w:eastAsia="Arial" w:hAnsi="Arial" w:cs="Arial"/>
          <w:sz w:val="20"/>
          <w:szCs w:val="20"/>
        </w:rPr>
        <w:lastRenderedPageBreak/>
        <w:t>a disposición inmediata de la autoridad ministerial o sin cumplir los requisitos constitucionales que justifican la excepción por la flagrancia o el caso urgente, generó elementos de prueba que incumplen con los requisito</w:t>
      </w:r>
      <w:r>
        <w:rPr>
          <w:rFonts w:ascii="Arial" w:eastAsia="Arial" w:hAnsi="Arial" w:cs="Arial"/>
          <w:sz w:val="20"/>
          <w:szCs w:val="20"/>
        </w:rPr>
        <w:t>s de formalidad constitucional que deban declararse ilícitos, o si las diligencias correspondientes se realizaron en condiciones que no permitieron al inculpado ejercer su derecho de defensa adecuada. En esas condiciones, procede analizar en el juicio de a</w:t>
      </w:r>
      <w:r>
        <w:rPr>
          <w:rFonts w:ascii="Arial" w:eastAsia="Arial" w:hAnsi="Arial" w:cs="Arial"/>
          <w:sz w:val="20"/>
          <w:szCs w:val="20"/>
        </w:rPr>
        <w:t>mparo directo, en términos del artículo 160, fracción XVII, de la ley de la materia, las violaciones cometidas con motivo de la excepción prevista en el artículo 16 constitucional (flagrancia o caso urgente), que justifican la detención de una persona como</w:t>
      </w:r>
      <w:r>
        <w:rPr>
          <w:rFonts w:ascii="Arial" w:eastAsia="Arial" w:hAnsi="Arial" w:cs="Arial"/>
          <w:sz w:val="20"/>
          <w:szCs w:val="20"/>
        </w:rPr>
        <w:t xml:space="preserve"> probable responsable de la comisión de un delito, pues podrían constituir una transgresión al derecho humano al debido proceso, conforme al cual es necesario el respeto a las formalidades esenciales del procedimiento, a la licitud de las pruebas y al ejer</w:t>
      </w:r>
      <w:r>
        <w:rPr>
          <w:rFonts w:ascii="Arial" w:eastAsia="Arial" w:hAnsi="Arial" w:cs="Arial"/>
          <w:sz w:val="20"/>
          <w:szCs w:val="20"/>
        </w:rPr>
        <w:t>cicio de defensa adecuada a que se refieren los artículos 14 y 20 constitucionales, lo que estará condicionado a que no hayan sido analizadas previamente en amparo indirecto.</w:t>
      </w:r>
    </w:p>
    <w:p w14:paraId="0000005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Contradicción de tesis 244/2012. 20 de febrero de 2013. Ponente: Olga Sánchez Cor</w:t>
      </w:r>
      <w:r>
        <w:rPr>
          <w:rFonts w:ascii="Arial" w:eastAsia="Arial" w:hAnsi="Arial" w:cs="Arial"/>
          <w:sz w:val="20"/>
          <w:szCs w:val="20"/>
        </w:rPr>
        <w:t>dero de García Villegas. Secretaria: Constanza Tort San Román.</w:t>
      </w:r>
    </w:p>
    <w:p w14:paraId="0000005D" w14:textId="77777777" w:rsidR="006574F1" w:rsidRDefault="006574F1">
      <w:pPr>
        <w:spacing w:after="0" w:line="240" w:lineRule="auto"/>
        <w:jc w:val="both"/>
        <w:rPr>
          <w:rFonts w:ascii="Arial" w:eastAsia="Arial" w:hAnsi="Arial" w:cs="Arial"/>
          <w:sz w:val="20"/>
          <w:szCs w:val="20"/>
        </w:rPr>
      </w:pPr>
    </w:p>
    <w:p w14:paraId="0000005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5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Registro: 2010323 </w:t>
      </w:r>
    </w:p>
    <w:p w14:paraId="0000006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6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Jurisprudencia </w:t>
      </w:r>
    </w:p>
    <w:p w14:paraId="0000006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6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Libro 23, </w:t>
      </w:r>
      <w:proofErr w:type="gramStart"/>
      <w:r>
        <w:rPr>
          <w:rFonts w:ascii="Arial" w:eastAsia="Arial" w:hAnsi="Arial" w:cs="Arial"/>
          <w:sz w:val="20"/>
          <w:szCs w:val="20"/>
        </w:rPr>
        <w:t>Octubre</w:t>
      </w:r>
      <w:proofErr w:type="gramEnd"/>
      <w:r>
        <w:rPr>
          <w:rFonts w:ascii="Arial" w:eastAsia="Arial" w:hAnsi="Arial" w:cs="Arial"/>
          <w:sz w:val="20"/>
          <w:szCs w:val="20"/>
        </w:rPr>
        <w:t xml:space="preserve"> d</w:t>
      </w:r>
      <w:r>
        <w:rPr>
          <w:rFonts w:ascii="Arial" w:eastAsia="Arial" w:hAnsi="Arial" w:cs="Arial"/>
          <w:sz w:val="20"/>
          <w:szCs w:val="20"/>
        </w:rPr>
        <w:t xml:space="preserve">e 2015, Tomo IV </w:t>
      </w:r>
    </w:p>
    <w:p w14:paraId="0000006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Materia(s): Común </w:t>
      </w:r>
    </w:p>
    <w:p w14:paraId="0000006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Tesis: XXI.1o.P.A. J/3 (10a.) </w:t>
      </w:r>
    </w:p>
    <w:p w14:paraId="0000006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Página: 3785 </w:t>
      </w:r>
    </w:p>
    <w:p w14:paraId="0000006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SENTENCIAS IMPUGNADAS ANTE LOS TRIBUNALES COLEGIADOS DE CIRCUITO. SI DE SU EXAMEN SE ADVIERTE QUE ESTÁN INCOMPLETAS O QUE NO EXISTE UNA SECUENCIA LÓGICA ENTRE SUS FOJAS Y, POR</w:t>
      </w:r>
      <w:r>
        <w:rPr>
          <w:rFonts w:ascii="Arial" w:eastAsia="Arial" w:hAnsi="Arial" w:cs="Arial"/>
          <w:sz w:val="20"/>
          <w:szCs w:val="20"/>
        </w:rPr>
        <w:t xml:space="preserve"> ENDE, QUE NO GUARDAN LAS DEBIDAS CONGRUENCIA E ILACIÓN, ELLO CONSTITUYE UNA VIOLACIÓN A LAS FORMALIDADES ESENCIALES DEL PROCEDIMIENTO QUE AMERITA SU REPOSICIÓN.</w:t>
      </w:r>
    </w:p>
    <w:p w14:paraId="0000006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El artículo 91, fracción IV, de la Ley de Amparo abrogada establece que si los Tribunales Cole</w:t>
      </w:r>
      <w:r>
        <w:rPr>
          <w:rFonts w:ascii="Arial" w:eastAsia="Arial" w:hAnsi="Arial" w:cs="Arial"/>
          <w:sz w:val="20"/>
          <w:szCs w:val="20"/>
        </w:rPr>
        <w:t xml:space="preserve">giados de Circuito, en la revisión de una sentencia definitiva, encontraren que se violaron las reglas fundamentales que norman el procedimiento en el juicio de amparo, o que el Juez de Distrito incurrió en alguna omisión que hubiere dejado sin defensa al </w:t>
      </w:r>
      <w:r>
        <w:rPr>
          <w:rFonts w:ascii="Arial" w:eastAsia="Arial" w:hAnsi="Arial" w:cs="Arial"/>
          <w:sz w:val="20"/>
          <w:szCs w:val="20"/>
        </w:rPr>
        <w:t>recurrente, la revocarán y mandarán reponer el procedimiento. En ese sentido, si del examen de la sentencia recurrida (de amparo o de nulidad) se advierte que ésta es incompleta o que no existe una secuencia lógica entre sus fojas y, por ende, que no guard</w:t>
      </w:r>
      <w:r>
        <w:rPr>
          <w:rFonts w:ascii="Arial" w:eastAsia="Arial" w:hAnsi="Arial" w:cs="Arial"/>
          <w:sz w:val="20"/>
          <w:szCs w:val="20"/>
        </w:rPr>
        <w:t>a las debidas congruencia e ilación, ello constituye una violación a las formalidades esenciales del procedimiento en perjuicio del quejoso y/o recurrente, al dejarlo en completo estado de indefensión. Lo anterior, toda vez que dicha circunstancia hace imp</w:t>
      </w:r>
      <w:r>
        <w:rPr>
          <w:rFonts w:ascii="Arial" w:eastAsia="Arial" w:hAnsi="Arial" w:cs="Arial"/>
          <w:sz w:val="20"/>
          <w:szCs w:val="20"/>
        </w:rPr>
        <w:t xml:space="preserve">osibles el estudio y pronunciamiento respecto de la legalidad de la sentencia recurrida, pues no permite al órgano jurisdiccional realizar la debida confrontación de los agravios vertidos por la parte recurrente, con la totalidad de las consideraciones en </w:t>
      </w:r>
      <w:r>
        <w:rPr>
          <w:rFonts w:ascii="Arial" w:eastAsia="Arial" w:hAnsi="Arial" w:cs="Arial"/>
          <w:sz w:val="20"/>
          <w:szCs w:val="20"/>
        </w:rPr>
        <w:t>que se sustenta el fallo de primer grado, lo que genera que no sea jurídica ni materialmente posible abordar el análisis de una sentencia que se encuentra incompleta o indebidamente integrada; de ahí que deba revocarse la resolución impugnada y ordenarse l</w:t>
      </w:r>
      <w:r>
        <w:rPr>
          <w:rFonts w:ascii="Arial" w:eastAsia="Arial" w:hAnsi="Arial" w:cs="Arial"/>
          <w:sz w:val="20"/>
          <w:szCs w:val="20"/>
        </w:rPr>
        <w:t>a reposición del procedimiento para el efecto de que la autoridad que la emitió, al momento de dictar la nueva sentencia, lo haga de manera completa, sin omitir página o parte de texto alguno.</w:t>
      </w:r>
    </w:p>
    <w:p w14:paraId="0000006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PRIMER TRIBUNAL COLEGIADO EN MATERIAS PENAL Y ADMINISTRATIVA DE</w:t>
      </w:r>
      <w:r>
        <w:rPr>
          <w:rFonts w:ascii="Arial" w:eastAsia="Arial" w:hAnsi="Arial" w:cs="Arial"/>
          <w:sz w:val="20"/>
          <w:szCs w:val="20"/>
        </w:rPr>
        <w:t>L VIGÉSIMO PRIMER CIRCUITO.</w:t>
      </w:r>
    </w:p>
    <w:p w14:paraId="0000006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en revisión 77/2002. Juan Hipólito Adame. 7 de marzo de 2002. Unanimidad de votos. Ponente: Hugo Guzmán López. Secretario: José Luis Cruz Álvarez.</w:t>
      </w:r>
    </w:p>
    <w:p w14:paraId="0000006B" w14:textId="77777777" w:rsidR="006574F1" w:rsidRDefault="006574F1">
      <w:pPr>
        <w:spacing w:after="0" w:line="240" w:lineRule="auto"/>
        <w:jc w:val="both"/>
        <w:rPr>
          <w:rFonts w:ascii="Arial" w:eastAsia="Arial" w:hAnsi="Arial" w:cs="Arial"/>
          <w:sz w:val="20"/>
          <w:szCs w:val="20"/>
        </w:rPr>
      </w:pPr>
    </w:p>
    <w:p w14:paraId="0000006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6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Registro: 2008043 </w:t>
      </w:r>
    </w:p>
    <w:p w14:paraId="0000006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w:t>
      </w:r>
      <w:r>
        <w:rPr>
          <w:rFonts w:ascii="Arial" w:eastAsia="Arial" w:hAnsi="Arial" w:cs="Arial"/>
          <w:sz w:val="20"/>
          <w:szCs w:val="20"/>
        </w:rPr>
        <w:t xml:space="preserve">de Circuito </w:t>
      </w:r>
    </w:p>
    <w:p w14:paraId="0000006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Jurisprudencia </w:t>
      </w:r>
    </w:p>
    <w:p w14:paraId="0000007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7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Libro 12,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2014, Tomo IV </w:t>
      </w:r>
    </w:p>
    <w:p w14:paraId="0000007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7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Tesis: I.9o.P. J/14 (10a.) </w:t>
      </w:r>
    </w:p>
    <w:p w14:paraId="0000007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Página: 2572 </w:t>
      </w:r>
    </w:p>
    <w:p w14:paraId="0000007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ACTUACIONES DEL MINISTERIO PÚBLICO EN LA AVERIGUACIÓN PREVIA. NO CARECEN DE VALIDEZ NI CONTRAVIENEN LAS FORMALIDADES ESENCIALES DEL PROCEDIMIENTO O EL DERECHO DE DEFENSA, POR ESTAR ASENTADAS EN PAPEL TAMAÑO CARTA Y NO EN OFICIO (INTERPRETACIÓN DEL ARTÍCULO</w:t>
      </w:r>
      <w:r>
        <w:rPr>
          <w:rFonts w:ascii="Arial" w:eastAsia="Arial" w:hAnsi="Arial" w:cs="Arial"/>
          <w:sz w:val="20"/>
          <w:szCs w:val="20"/>
        </w:rPr>
        <w:t xml:space="preserve"> 277 DEL CÓDIGO DE PROCEDIMIENTOS PENALES PARA EL DISTRITO FEDERAL).</w:t>
      </w:r>
    </w:p>
    <w:p w14:paraId="0000007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Las actuaciones practicadas por el Ministerio Público en la averiguación previa, asentadas en papel tamaño carta y no en oficio, no carecen de validez ni contravienen las formalidades ese</w:t>
      </w:r>
      <w:r>
        <w:rPr>
          <w:rFonts w:ascii="Arial" w:eastAsia="Arial" w:hAnsi="Arial" w:cs="Arial"/>
          <w:sz w:val="20"/>
          <w:szCs w:val="20"/>
        </w:rPr>
        <w:t>nciales del procedimiento, en términos del artículo 14, párrafo segundo, de la Constitución Política de los Estados Unidos Mexicanos, o el derecho de defensa adecuada, establecido en su artículo 20, apartado A, fracción IX. Lo anterior, por no estar consid</w:t>
      </w:r>
      <w:r>
        <w:rPr>
          <w:rFonts w:ascii="Arial" w:eastAsia="Arial" w:hAnsi="Arial" w:cs="Arial"/>
          <w:sz w:val="20"/>
          <w:szCs w:val="20"/>
        </w:rPr>
        <w:t xml:space="preserve">erado así por los artículos 160 de la Ley de Amparo abrogada y 12 a 17 del Código de Procedimientos Penales para el Distrito Federal. En efecto, el hecho de </w:t>
      </w:r>
      <w:r>
        <w:rPr>
          <w:rFonts w:ascii="Arial" w:eastAsia="Arial" w:hAnsi="Arial" w:cs="Arial"/>
          <w:sz w:val="20"/>
          <w:szCs w:val="20"/>
        </w:rPr>
        <w:lastRenderedPageBreak/>
        <w:t>que las mencionadas diligencias ministeriales estén elaboradas en hojas tamaño carta y no en oficio</w:t>
      </w:r>
      <w:r>
        <w:rPr>
          <w:rFonts w:ascii="Arial" w:eastAsia="Arial" w:hAnsi="Arial" w:cs="Arial"/>
          <w:sz w:val="20"/>
          <w:szCs w:val="20"/>
        </w:rPr>
        <w:t>, como lo establece el numeral 277 del código mencionado (que dispone que las actas deben extenderse en ese tamaño), no tiene el alcance para determinar que lo asentado en ellas es nulo de pleno derecho o que se trate de prueba ilícita, pues el valor proba</w:t>
      </w:r>
      <w:r>
        <w:rPr>
          <w:rFonts w:ascii="Arial" w:eastAsia="Arial" w:hAnsi="Arial" w:cs="Arial"/>
          <w:sz w:val="20"/>
          <w:szCs w:val="20"/>
        </w:rPr>
        <w:t xml:space="preserve">torio de las diligencias realizadas por la representación social no depende del tamaño del papel en que ésta las deja plasmadas, sino de que aquéllas no sean contrarias a las reglas establecidas en la ley para llevar a cabo su desahogo. Ello, toda vez que </w:t>
      </w:r>
      <w:r>
        <w:rPr>
          <w:rFonts w:ascii="Arial" w:eastAsia="Arial" w:hAnsi="Arial" w:cs="Arial"/>
          <w:sz w:val="20"/>
          <w:szCs w:val="20"/>
        </w:rPr>
        <w:t>el citado artículo 277, al disponer que "las actas se extenderán en papel de oficio", se refiere propiamente a las formalidades de las actas llevadas a cabo por la Policía Judicial en auxilio del Ministerio Público, para recibir, en los supuestos que ahí s</w:t>
      </w:r>
      <w:r>
        <w:rPr>
          <w:rFonts w:ascii="Arial" w:eastAsia="Arial" w:hAnsi="Arial" w:cs="Arial"/>
          <w:sz w:val="20"/>
          <w:szCs w:val="20"/>
        </w:rPr>
        <w:t>e contemplan, las denuncias correspondientes, por así señalarlo los artículos 274, 275 y 277 del propio código. Por tanto, no puede llegarse al extremo de declarar inválida o restarle valor probatorio a una actuación ministerial en atención al tamaño del p</w:t>
      </w:r>
      <w:r>
        <w:rPr>
          <w:rFonts w:ascii="Arial" w:eastAsia="Arial" w:hAnsi="Arial" w:cs="Arial"/>
          <w:sz w:val="20"/>
          <w:szCs w:val="20"/>
        </w:rPr>
        <w:t>apel en el que fue asentada; máxime si su contenido -que es jurídicamente trascendente-, cumple con las demás formalidades establecidas en ese ordenamiento procesal, como son, entre otras, la firma y rúbrica del funcionario que la practicó, así como el sel</w:t>
      </w:r>
      <w:r>
        <w:rPr>
          <w:rFonts w:ascii="Arial" w:eastAsia="Arial" w:hAnsi="Arial" w:cs="Arial"/>
          <w:sz w:val="20"/>
          <w:szCs w:val="20"/>
        </w:rPr>
        <w:t>lo de la autoridad que la autoriza.</w:t>
      </w:r>
    </w:p>
    <w:p w14:paraId="0000007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7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441/2010. 28 de octubre de 2010. Unanimidad de votos. Ponente: Fernando Hernández Piña. Secretario: Daniel Dámaso Castro Vera.</w:t>
      </w:r>
    </w:p>
    <w:p w14:paraId="00000079" w14:textId="77777777" w:rsidR="006574F1" w:rsidRDefault="006574F1">
      <w:pPr>
        <w:spacing w:after="0" w:line="240" w:lineRule="auto"/>
        <w:jc w:val="both"/>
        <w:rPr>
          <w:rFonts w:ascii="Arial" w:eastAsia="Arial" w:hAnsi="Arial" w:cs="Arial"/>
          <w:sz w:val="20"/>
          <w:szCs w:val="20"/>
        </w:rPr>
      </w:pPr>
    </w:p>
    <w:p w14:paraId="0000007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Época: Décima</w:t>
      </w:r>
      <w:r>
        <w:rPr>
          <w:rFonts w:ascii="Arial" w:eastAsia="Arial" w:hAnsi="Arial" w:cs="Arial"/>
          <w:sz w:val="20"/>
          <w:szCs w:val="20"/>
        </w:rPr>
        <w:t xml:space="preserve"> Época </w:t>
      </w:r>
    </w:p>
    <w:p w14:paraId="0000007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Registro: 2006374 </w:t>
      </w:r>
    </w:p>
    <w:p w14:paraId="0000007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7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7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7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Libro 6, </w:t>
      </w:r>
      <w:proofErr w:type="gramStart"/>
      <w:r>
        <w:rPr>
          <w:rFonts w:ascii="Arial" w:eastAsia="Arial" w:hAnsi="Arial" w:cs="Arial"/>
          <w:sz w:val="20"/>
          <w:szCs w:val="20"/>
        </w:rPr>
        <w:t>Mayo</w:t>
      </w:r>
      <w:proofErr w:type="gramEnd"/>
      <w:r>
        <w:rPr>
          <w:rFonts w:ascii="Arial" w:eastAsia="Arial" w:hAnsi="Arial" w:cs="Arial"/>
          <w:sz w:val="20"/>
          <w:szCs w:val="20"/>
        </w:rPr>
        <w:t xml:space="preserve"> de 2014, Tomo III </w:t>
      </w:r>
    </w:p>
    <w:p w14:paraId="0000008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Materia(s): Común, Penal </w:t>
      </w:r>
    </w:p>
    <w:p w14:paraId="0000008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Tesis: I.2o.P.32 P (10a) </w:t>
      </w:r>
    </w:p>
    <w:p w14:paraId="0000008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Página: 2106 </w:t>
      </w:r>
    </w:p>
    <w:p w14:paraId="0000008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PRUE</w:t>
      </w:r>
      <w:r>
        <w:rPr>
          <w:rFonts w:ascii="Arial" w:eastAsia="Arial" w:hAnsi="Arial" w:cs="Arial"/>
          <w:sz w:val="20"/>
          <w:szCs w:val="20"/>
        </w:rPr>
        <w:t>BAS EN EL AMPARO INDIRECTO PROMOVIDO CONTRA EL ASEGURAMIENTO MINISTERIAL DE CUENTAS BANCARIAS. AL SER ÉSTE UN ACTO DE MOLESTIA QUE NO ESTÁ CONDICIONADO AL CUMPLIMIENTO PREVIO DE LAS FORMALIDADES ESENCIALES DEL PROCEDIMIENTO (OPORTUNIDAD DE DEFENSA), NO PUE</w:t>
      </w:r>
      <w:r>
        <w:rPr>
          <w:rFonts w:ascii="Arial" w:eastAsia="Arial" w:hAnsi="Arial" w:cs="Arial"/>
          <w:sz w:val="20"/>
          <w:szCs w:val="20"/>
        </w:rPr>
        <w:t>DE APLICARSE LA EXCEPCIÓN ESTABLECIDA EN EL ARTÍCULO 75, PÁRRAFO SEGUNDO, DE LA LEY DE LA MATERIA, Y ADMITIRSE AQUELLAS QUE NO SE RINDIERON ANTE LA AUTORIDAD RESPONSABLE.</w:t>
      </w:r>
    </w:p>
    <w:p w14:paraId="0000008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Si bien es cierto que en las sentencias que se dicten en los juicios de amparo indire</w:t>
      </w:r>
      <w:r>
        <w:rPr>
          <w:rFonts w:ascii="Arial" w:eastAsia="Arial" w:hAnsi="Arial" w:cs="Arial"/>
          <w:sz w:val="20"/>
          <w:szCs w:val="20"/>
        </w:rPr>
        <w:t>cto el acto reclamado se deberá apreciar tal y como aparezca probado ante la autoridad responsable, sin que se admitan pruebas que no se hubiesen rendido ante ella, también lo es que con la expedición de la Ley de Amparo, vigente a partir del tres de abril</w:t>
      </w:r>
      <w:r>
        <w:rPr>
          <w:rFonts w:ascii="Arial" w:eastAsia="Arial" w:hAnsi="Arial" w:cs="Arial"/>
          <w:sz w:val="20"/>
          <w:szCs w:val="20"/>
        </w:rPr>
        <w:t xml:space="preserve"> de dos mil trece, el legislador introdujo una excepción a esa regla, pues conforme al párrafo segundo de su artículo 75, el quejoso podrá ofrecerlas "cuando no hubiere tenido oportunidad de hacerlo ante la autoridad responsable", expresión de interpretaci</w:t>
      </w:r>
      <w:r>
        <w:rPr>
          <w:rFonts w:ascii="Arial" w:eastAsia="Arial" w:hAnsi="Arial" w:cs="Arial"/>
          <w:sz w:val="20"/>
          <w:szCs w:val="20"/>
        </w:rPr>
        <w:t>ón estricta que de modo alguno conlleva constituir un derecho inexistente en la instancia natural. En consecuencia, no es válido que a través de la indicada excepción se aporten medios de convicción diversos con el objeto de acreditar la inconstitucionalid</w:t>
      </w:r>
      <w:r>
        <w:rPr>
          <w:rFonts w:ascii="Arial" w:eastAsia="Arial" w:hAnsi="Arial" w:cs="Arial"/>
          <w:sz w:val="20"/>
          <w:szCs w:val="20"/>
        </w:rPr>
        <w:t>ad de un aseguramiento ministerial de cuentas bancarias, que como acto de molestia no está condicionado al cumplimiento previo de las formalidades esenciales del procedimiento, consagradas en el artículo 14 de la Constitución Política de los Estados Unidos</w:t>
      </w:r>
      <w:r>
        <w:rPr>
          <w:rFonts w:ascii="Arial" w:eastAsia="Arial" w:hAnsi="Arial" w:cs="Arial"/>
          <w:sz w:val="20"/>
          <w:szCs w:val="20"/>
        </w:rPr>
        <w:t xml:space="preserve"> Mexicanos, entre las cuales se encuentra la oportunidad de defensa; es más, al tratarse de una medida cautelar, su provisionalidad permite al interesado solicitar su modificación o levantamiento, siendo factible para ello ofrecer ante el Ministerio Públic</w:t>
      </w:r>
      <w:r>
        <w:rPr>
          <w:rFonts w:ascii="Arial" w:eastAsia="Arial" w:hAnsi="Arial" w:cs="Arial"/>
          <w:sz w:val="20"/>
          <w:szCs w:val="20"/>
        </w:rPr>
        <w:t xml:space="preserve">o correspondiente los medios de convicción que se consideren pertinentes. En ese contexto, el resolutor de amparo debe verificar la constitucionalidad del mencionado acto con base en su "mérito sustantivo", </w:t>
      </w:r>
      <w:proofErr w:type="gramStart"/>
      <w:r>
        <w:rPr>
          <w:rFonts w:ascii="Arial" w:eastAsia="Arial" w:hAnsi="Arial" w:cs="Arial"/>
          <w:sz w:val="20"/>
          <w:szCs w:val="20"/>
        </w:rPr>
        <w:t>de acuerdo a</w:t>
      </w:r>
      <w:proofErr w:type="gramEnd"/>
      <w:r>
        <w:rPr>
          <w:rFonts w:ascii="Arial" w:eastAsia="Arial" w:hAnsi="Arial" w:cs="Arial"/>
          <w:sz w:val="20"/>
          <w:szCs w:val="20"/>
        </w:rPr>
        <w:t xml:space="preserve"> su idoneidad, necesidad y proporcion</w:t>
      </w:r>
      <w:r>
        <w:rPr>
          <w:rFonts w:ascii="Arial" w:eastAsia="Arial" w:hAnsi="Arial" w:cs="Arial"/>
          <w:sz w:val="20"/>
          <w:szCs w:val="20"/>
        </w:rPr>
        <w:t>alidad estricto sensu, a la luz del material probatorio que en su momento tomó en cuenta la autoridad responsable para su emisión.</w:t>
      </w:r>
    </w:p>
    <w:p w14:paraId="0000008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SEGUNDO TRIBUNAL COLEGIADO EN MATERIA PENAL DEL PRIMER CIRCUITO.</w:t>
      </w:r>
    </w:p>
    <w:p w14:paraId="0000008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Queja 3/2014. 7 de febrero de 2014. Unanimidad de votos. Pon</w:t>
      </w:r>
      <w:r>
        <w:rPr>
          <w:rFonts w:ascii="Arial" w:eastAsia="Arial" w:hAnsi="Arial" w:cs="Arial"/>
          <w:sz w:val="20"/>
          <w:szCs w:val="20"/>
        </w:rPr>
        <w:t>ente: Irma Rivero Ortiz de Alcántara. Secretario: Jorge Vázquez Aguilera.</w:t>
      </w:r>
    </w:p>
    <w:p w14:paraId="00000087" w14:textId="77777777" w:rsidR="006574F1" w:rsidRDefault="006574F1">
      <w:pPr>
        <w:spacing w:after="0" w:line="240" w:lineRule="auto"/>
        <w:jc w:val="both"/>
        <w:rPr>
          <w:rFonts w:ascii="Arial" w:eastAsia="Arial" w:hAnsi="Arial" w:cs="Arial"/>
          <w:sz w:val="20"/>
          <w:szCs w:val="20"/>
        </w:rPr>
      </w:pPr>
    </w:p>
    <w:p w14:paraId="0000008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8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2002133</w:t>
      </w:r>
    </w:p>
    <w:p w14:paraId="0000008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8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8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8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Libro XIV,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2012, Tomo 1</w:t>
      </w:r>
    </w:p>
    <w:p w14:paraId="0000008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 Constitucional, Penal</w:t>
      </w:r>
    </w:p>
    <w:p w14:paraId="0000008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1a. /J. 71/2012 (10a.)</w:t>
      </w:r>
    </w:p>
    <w:p w14:paraId="0000009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Página:   673</w:t>
      </w:r>
    </w:p>
    <w:p w14:paraId="0000009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CORRECCIONES DISCIPLINARIAS IMPUESTAS DENTRO DE PRISIÓN. EL ARTÍCULO 126 DEL REGLAMENTO INTERNO DE LOS CENTROS DE READAPTACIÓN SOCIAL DEL EST</w:t>
      </w:r>
      <w:r>
        <w:rPr>
          <w:rFonts w:ascii="Arial" w:eastAsia="Arial" w:hAnsi="Arial" w:cs="Arial"/>
          <w:sz w:val="20"/>
          <w:szCs w:val="20"/>
        </w:rPr>
        <w:t>ADO DE QUERÉTARO, ESTABLECE LA GARANTÍA DE AUDIENCIA PREVIA EN FAVOR DEL INTERNO.</w:t>
      </w:r>
    </w:p>
    <w:p w14:paraId="0000009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lastRenderedPageBreak/>
        <w:t>Las correcciones disciplinarias constituyen una sanción por la infracción a las normas de convivencia y organización del centro de reclusión, y a través de su imposición se b</w:t>
      </w:r>
      <w:r>
        <w:rPr>
          <w:rFonts w:ascii="Arial" w:eastAsia="Arial" w:hAnsi="Arial" w:cs="Arial"/>
          <w:sz w:val="20"/>
          <w:szCs w:val="20"/>
        </w:rPr>
        <w:t>usca lograr el orden, consideración y respeto de los reclusos entre sí, con las autoridades e, inclusive, con los visitantes. A pesar de que las correcciones disciplinarias no constituyen un acto de privación, sino de molestia, el artículo 126 del Reglamen</w:t>
      </w:r>
      <w:r>
        <w:rPr>
          <w:rFonts w:ascii="Arial" w:eastAsia="Arial" w:hAnsi="Arial" w:cs="Arial"/>
          <w:sz w:val="20"/>
          <w:szCs w:val="20"/>
        </w:rPr>
        <w:t xml:space="preserve">to Interno de los Centros de Readaptación Social del Estado de Querétaro, establece que el presunto infractor será escuchado por el Consejo Técnico Interdisciplinario antes de resolver sobre la imposición de dichas correcciones. El Reglamento reconoce que </w:t>
      </w:r>
      <w:r>
        <w:rPr>
          <w:rFonts w:ascii="Arial" w:eastAsia="Arial" w:hAnsi="Arial" w:cs="Arial"/>
          <w:sz w:val="20"/>
          <w:szCs w:val="20"/>
        </w:rPr>
        <w:t>el propósito de escuchar previamente al sentenciado es el de que este último manifieste lo que a su defensa convenga, por lo tanto, dicho propósito sólo se puede lograr a través del respeto a las formalidades esenciales del procedimiento, a las cuales hace</w:t>
      </w:r>
      <w:r>
        <w:rPr>
          <w:rFonts w:ascii="Arial" w:eastAsia="Arial" w:hAnsi="Arial" w:cs="Arial"/>
          <w:sz w:val="20"/>
          <w:szCs w:val="20"/>
        </w:rPr>
        <w:t xml:space="preserve"> referencia el artículo 14 constitucional. Esta afirmación encuentra apoyo, a su vez, en el diverso artículo 18 constitucional, de cuya lectura se desprende que el sistema de ejecución de las penas tiene como vocación lograr la reinserción del sentenciado </w:t>
      </w:r>
      <w:r>
        <w:rPr>
          <w:rFonts w:ascii="Arial" w:eastAsia="Arial" w:hAnsi="Arial" w:cs="Arial"/>
          <w:sz w:val="20"/>
          <w:szCs w:val="20"/>
        </w:rPr>
        <w:t>a la sociedad y procurar que no vuelva a delinquir; asimismo, establece que la organización del sistema penitenciario se apoyará, entre otros, en el respeto a los derechos humanos. Un entendimiento democrático y expansivo de los derechos de los sentenciado</w:t>
      </w:r>
      <w:r>
        <w:rPr>
          <w:rFonts w:ascii="Arial" w:eastAsia="Arial" w:hAnsi="Arial" w:cs="Arial"/>
          <w:sz w:val="20"/>
          <w:szCs w:val="20"/>
        </w:rPr>
        <w:t xml:space="preserve">s permite considerar que antes de imponer una corrección disciplinaria dentro de un centro de reclusión, se hace indispensable escuchar al supuesto infractor a través del respeto a la garantía de audiencia previa. La generación de un régimen penitenciario </w:t>
      </w:r>
      <w:r>
        <w:rPr>
          <w:rFonts w:ascii="Arial" w:eastAsia="Arial" w:hAnsi="Arial" w:cs="Arial"/>
          <w:sz w:val="20"/>
          <w:szCs w:val="20"/>
        </w:rPr>
        <w:t>que tenga por objeto desincentivar la comisión de nuevas conductas delictivas, requiere de mecanismos que impidan el ejercicio arbitrario del poder o de un sistema opresivo en exceso. Es en la prisión en donde el interno debe tener vivencias que favorezcan</w:t>
      </w:r>
      <w:r>
        <w:rPr>
          <w:rFonts w:ascii="Arial" w:eastAsia="Arial" w:hAnsi="Arial" w:cs="Arial"/>
          <w:sz w:val="20"/>
          <w:szCs w:val="20"/>
        </w:rPr>
        <w:t xml:space="preserve"> su contacto con el debido proceso y la legalidad, a fin de coadyuvar a su sana reinserción social. De ahí que a pesar de que el Reglamento Interno de los Centros de Readaptación Social del Estado de Querétaro es omiso en señalar una a una las formalidades</w:t>
      </w:r>
      <w:r>
        <w:rPr>
          <w:rFonts w:ascii="Arial" w:eastAsia="Arial" w:hAnsi="Arial" w:cs="Arial"/>
          <w:sz w:val="20"/>
          <w:szCs w:val="20"/>
        </w:rPr>
        <w:t xml:space="preserve"> esenciales del procedimiento que habrán de adoptarse antes de imponer la corrección disciplinaria, ello no es obstáculo para que la autoridad penitenciaria las implemente y respete directamente. Para tal efecto, la autoridad competente deberá notificar al</w:t>
      </w:r>
      <w:r>
        <w:rPr>
          <w:rFonts w:ascii="Arial" w:eastAsia="Arial" w:hAnsi="Arial" w:cs="Arial"/>
          <w:sz w:val="20"/>
          <w:szCs w:val="20"/>
        </w:rPr>
        <w:t xml:space="preserve"> interno el inicio del procedimiento sancionador, el cargo que está enfrentando, quién lo ha denunciado y las posibles consecuencias de la sanción; otorgarle un plazo, aunque sea breve pero suficiente, para que prepare su defensa; brindarle la oportunidad </w:t>
      </w:r>
      <w:r>
        <w:rPr>
          <w:rFonts w:ascii="Arial" w:eastAsia="Arial" w:hAnsi="Arial" w:cs="Arial"/>
          <w:sz w:val="20"/>
          <w:szCs w:val="20"/>
        </w:rPr>
        <w:t>de ofrecer pruebas que respalden su versión de los hechos; procurarle la posibilidad de alegar lo que a sus intereses convenga y, finalmente, dictarle una resolución debidamente fundada y motivada.</w:t>
      </w:r>
    </w:p>
    <w:p w14:paraId="0000009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Contradicción de tesis 32/2012. Ponente: Arturo Zaldívar L</w:t>
      </w:r>
      <w:r>
        <w:rPr>
          <w:rFonts w:ascii="Arial" w:eastAsia="Arial" w:hAnsi="Arial" w:cs="Arial"/>
          <w:sz w:val="20"/>
          <w:szCs w:val="20"/>
        </w:rPr>
        <w:t>elo de Larrea. Secretaria: Carmina Cortés Rodríguez.</w:t>
      </w:r>
    </w:p>
    <w:p w14:paraId="00000094" w14:textId="77777777" w:rsidR="006574F1" w:rsidRDefault="006574F1">
      <w:pPr>
        <w:spacing w:after="0" w:line="240" w:lineRule="auto"/>
        <w:jc w:val="both"/>
        <w:rPr>
          <w:rFonts w:ascii="Arial" w:eastAsia="Arial" w:hAnsi="Arial" w:cs="Arial"/>
          <w:sz w:val="20"/>
          <w:szCs w:val="20"/>
        </w:rPr>
      </w:pPr>
    </w:p>
    <w:p w14:paraId="0000009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9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160249</w:t>
      </w:r>
    </w:p>
    <w:p w14:paraId="0000009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9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9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9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Libro VI, </w:t>
      </w:r>
      <w:proofErr w:type="gramStart"/>
      <w:r>
        <w:rPr>
          <w:rFonts w:ascii="Arial" w:eastAsia="Arial" w:hAnsi="Arial" w:cs="Arial"/>
          <w:sz w:val="20"/>
          <w:szCs w:val="20"/>
        </w:rPr>
        <w:t>Marzo</w:t>
      </w:r>
      <w:proofErr w:type="gramEnd"/>
      <w:r>
        <w:rPr>
          <w:rFonts w:ascii="Arial" w:eastAsia="Arial" w:hAnsi="Arial" w:cs="Arial"/>
          <w:sz w:val="20"/>
          <w:szCs w:val="20"/>
        </w:rPr>
        <w:t xml:space="preserve"> de 2012, Tomo 2</w:t>
      </w:r>
    </w:p>
    <w:p w14:paraId="0000009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 Penal</w:t>
      </w:r>
    </w:p>
    <w:p w14:paraId="0000009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w:t>
      </w:r>
      <w:r>
        <w:rPr>
          <w:rFonts w:ascii="Arial" w:eastAsia="Arial" w:hAnsi="Arial" w:cs="Arial"/>
          <w:sz w:val="20"/>
          <w:szCs w:val="20"/>
        </w:rPr>
        <w:t xml:space="preserve"> XVII.1o.P.A. J/24 (9a.)</w:t>
      </w:r>
    </w:p>
    <w:p w14:paraId="0000009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Página:   878</w:t>
      </w:r>
    </w:p>
    <w:p w14:paraId="0000009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CASACIÓN. EL RESPETO IRRESTRICTO A LOS DERECHOS FUNDAMENTALES OBLIGA A QUE EL TRIBUNAL ANALICE DE OFICIO TANTO EL PROCEDIMIENTO SEGUIDO AL INCULPADO COMO LA SENTENCIA IMPUGNADA PARA CONSTATAR SI EXISTE VIOLACIÓN O NO </w:t>
      </w:r>
      <w:r>
        <w:rPr>
          <w:rFonts w:ascii="Arial" w:eastAsia="Arial" w:hAnsi="Arial" w:cs="Arial"/>
          <w:sz w:val="20"/>
          <w:szCs w:val="20"/>
        </w:rPr>
        <w:t>DE AQUELLOS QUE TUVIERA QUE REPARAR (NUEVO SISTEMA DE JUSTICIA PENAL EN EL ESTADO DE CHIHUAHUA).</w:t>
      </w:r>
    </w:p>
    <w:p w14:paraId="0000009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Los artículos 400, 408 y 421 del Código de Procedimientos Penales del Estado de Chihuahua no deben constituir una limitante de las garantías individuales de de</w:t>
      </w:r>
      <w:r>
        <w:rPr>
          <w:rFonts w:ascii="Arial" w:eastAsia="Arial" w:hAnsi="Arial" w:cs="Arial"/>
          <w:sz w:val="20"/>
          <w:szCs w:val="20"/>
        </w:rPr>
        <w:t>fensa, audiencia y debido proceso contenidas en los artículos 14 y 20 de la Constitución Política de los Estados Unidos Mexicanos, las cuales permiten a los justiciables acceder a los órganos jurisdiccionales para hacer valer sus derechos de manera efectiv</w:t>
      </w:r>
      <w:r>
        <w:rPr>
          <w:rFonts w:ascii="Arial" w:eastAsia="Arial" w:hAnsi="Arial" w:cs="Arial"/>
          <w:sz w:val="20"/>
          <w:szCs w:val="20"/>
        </w:rPr>
        <w:t>a, en condiciones de igualdad procesal, así como ofrecer pruebas en su defensa y obtener una resolución que dirima las cuestiones debatidas, lo que se traduce en el respeto a las formalidades esenciales del procedimiento, es decir, al cumplimiento de las c</w:t>
      </w:r>
      <w:r>
        <w:rPr>
          <w:rFonts w:ascii="Arial" w:eastAsia="Arial" w:hAnsi="Arial" w:cs="Arial"/>
          <w:sz w:val="20"/>
          <w:szCs w:val="20"/>
        </w:rPr>
        <w:t>ondiciones fundamentales que deben satisfacerse en todo proceso jurisdiccional. En este sentido, dichos numerales deben interpretarse sistemáticamente tanto con el artículo 1 de ese mismo código como con la Constitución Federal y los tratados internacional</w:t>
      </w:r>
      <w:r>
        <w:rPr>
          <w:rFonts w:ascii="Arial" w:eastAsia="Arial" w:hAnsi="Arial" w:cs="Arial"/>
          <w:sz w:val="20"/>
          <w:szCs w:val="20"/>
        </w:rPr>
        <w:t>es de la materia, favoreciendo en todo tiempo la protección más amplia, aun cuando la norma de que se trata sea oscura o admita dos o más entendimientos posibles. Es por ello que el respeto irrestricto a los derechos fundamentales de las personas, obliga a</w:t>
      </w:r>
      <w:r>
        <w:rPr>
          <w:rFonts w:ascii="Arial" w:eastAsia="Arial" w:hAnsi="Arial" w:cs="Arial"/>
          <w:sz w:val="20"/>
          <w:szCs w:val="20"/>
        </w:rPr>
        <w:t xml:space="preserve"> que el tribunal de casación analice, de oficio, exhaustivamente tanto el procedimiento seguido al inculpado como la sentencia impugnada a través de este recurso (incluyendo los aspectos relativos al delito, responsabilidad penal e individualización de la </w:t>
      </w:r>
      <w:r>
        <w:rPr>
          <w:rFonts w:ascii="Arial" w:eastAsia="Arial" w:hAnsi="Arial" w:cs="Arial"/>
          <w:sz w:val="20"/>
          <w:szCs w:val="20"/>
        </w:rPr>
        <w:t>pena), a efecto de constatar si existe violación o no a sus derechos fundamentales que tuviera que reparar, pues el no realizar el citado estudio, significaría apartarse de los principios constitucionales que rigen el debido proceso, porque el fin último q</w:t>
      </w:r>
      <w:r>
        <w:rPr>
          <w:rFonts w:ascii="Arial" w:eastAsia="Arial" w:hAnsi="Arial" w:cs="Arial"/>
          <w:sz w:val="20"/>
          <w:szCs w:val="20"/>
        </w:rPr>
        <w:t>ue persigue la referida garantía es evitar que se deje en estado de indefensión al posible afectado con el acto privativo o en situación que afecte gravemente sus defensas.</w:t>
      </w:r>
      <w:r>
        <w:rPr>
          <w:rFonts w:ascii="Arial" w:eastAsia="Arial" w:hAnsi="Arial" w:cs="Arial"/>
          <w:sz w:val="20"/>
          <w:szCs w:val="20"/>
        </w:rPr>
        <w:br/>
        <w:t>PRIMER TRIBUNAL COLEGIADO EN MATERIAS PENAL Y ADMINISTRATIVA DEL DÉCIMO SÉPTIMO CIR</w:t>
      </w:r>
      <w:r>
        <w:rPr>
          <w:rFonts w:ascii="Arial" w:eastAsia="Arial" w:hAnsi="Arial" w:cs="Arial"/>
          <w:sz w:val="20"/>
          <w:szCs w:val="20"/>
        </w:rPr>
        <w:t>CUITO.</w:t>
      </w:r>
    </w:p>
    <w:p w14:paraId="000000A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248/2010. 30 de septiembre de 2010. Unanimidad de votos. Ponente: Marta Olivia Tello Acuña. Secretario: Jorge Erik Montes Gutiérrez.</w:t>
      </w:r>
    </w:p>
    <w:p w14:paraId="000000A1" w14:textId="77777777" w:rsidR="006574F1" w:rsidRDefault="006574F1">
      <w:pPr>
        <w:spacing w:after="0" w:line="240" w:lineRule="auto"/>
        <w:jc w:val="both"/>
        <w:rPr>
          <w:rFonts w:ascii="Arial" w:eastAsia="Arial" w:hAnsi="Arial" w:cs="Arial"/>
          <w:sz w:val="20"/>
          <w:szCs w:val="20"/>
        </w:rPr>
      </w:pPr>
    </w:p>
    <w:p w14:paraId="000000A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A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160298</w:t>
      </w:r>
    </w:p>
    <w:p w14:paraId="000000A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lastRenderedPageBreak/>
        <w:t>Instancia: Tribunales Colegiados de Circuito</w:t>
      </w:r>
    </w:p>
    <w:p w14:paraId="000000A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A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Se</w:t>
      </w:r>
      <w:r>
        <w:rPr>
          <w:rFonts w:ascii="Arial" w:eastAsia="Arial" w:hAnsi="Arial" w:cs="Arial"/>
          <w:sz w:val="20"/>
          <w:szCs w:val="20"/>
        </w:rPr>
        <w:t>manario Judicial de la Federación y su Gaceta</w:t>
      </w:r>
    </w:p>
    <w:p w14:paraId="000000A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Libro V, </w:t>
      </w:r>
      <w:proofErr w:type="gramStart"/>
      <w:r>
        <w:rPr>
          <w:rFonts w:ascii="Arial" w:eastAsia="Arial" w:hAnsi="Arial" w:cs="Arial"/>
          <w:sz w:val="20"/>
          <w:szCs w:val="20"/>
        </w:rPr>
        <w:t>Febrero</w:t>
      </w:r>
      <w:proofErr w:type="gramEnd"/>
      <w:r>
        <w:rPr>
          <w:rFonts w:ascii="Arial" w:eastAsia="Arial" w:hAnsi="Arial" w:cs="Arial"/>
          <w:sz w:val="20"/>
          <w:szCs w:val="20"/>
        </w:rPr>
        <w:t xml:space="preserve"> de 2012, Tomo 3</w:t>
      </w:r>
    </w:p>
    <w:p w14:paraId="000000A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 Constitucional, Penal</w:t>
      </w:r>
    </w:p>
    <w:p w14:paraId="000000A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XX.3o. J/2 (9a.)</w:t>
      </w:r>
    </w:p>
    <w:p w14:paraId="000000A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Página:  2158</w:t>
      </w:r>
    </w:p>
    <w:p w14:paraId="000000A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JUSTICIA PARA ADOLESCENTES. LA FALTA DE DESIGNACIÓN DE UN DEFENSOR ESPECIALIZADO EN LA MATERIA, TANTO EN LA AVERIGUACIÓN PREVIA COMO EN EL PROCESO, ORIGINA UNA INFRACCIÓN A LAS FORMALIDADES ESENCIALES DEL PROCEDIMIENTO QUE INVALIDA LAS DILIGENCIAS RECABADA</w:t>
      </w:r>
      <w:r>
        <w:rPr>
          <w:rFonts w:ascii="Arial" w:eastAsia="Arial" w:hAnsi="Arial" w:cs="Arial"/>
          <w:sz w:val="20"/>
          <w:szCs w:val="20"/>
        </w:rPr>
        <w:t>S, EN CONTRAVENCIÓN AL DERECHO A UNA DEFENSA ADECUADA PREVISTO EN EL ARTÍCULO 20, APARTADO B, FRACCIÓN VIII, DE LA CONSTITUCIÓN FEDERAL (LEGISLACIÓN DEL ESTADO DE CHIAPAS).</w:t>
      </w:r>
    </w:p>
    <w:p w14:paraId="000000A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Es criterio reiterado de la Suprema Corte de Justicia de la Nación reconocer como n</w:t>
      </w:r>
      <w:r>
        <w:rPr>
          <w:rFonts w:ascii="Arial" w:eastAsia="Arial" w:hAnsi="Arial" w:cs="Arial"/>
          <w:sz w:val="20"/>
          <w:szCs w:val="20"/>
        </w:rPr>
        <w:t xml:space="preserve">ota esencial distintiva del nuevo sistema integral de justicia para adolescentes implementado con la reforma del artículo 18 de la Constitución Política de los Estados Unidos Mexicanos, publicada en el Diario Oficial de la Federación el 12 de diciembre de </w:t>
      </w:r>
      <w:r>
        <w:rPr>
          <w:rFonts w:ascii="Arial" w:eastAsia="Arial" w:hAnsi="Arial" w:cs="Arial"/>
          <w:sz w:val="20"/>
          <w:szCs w:val="20"/>
        </w:rPr>
        <w:t>2005, el derecho a que sean procesados por funcionarios especializados. En efecto, al adolescente se le reconoce un cúmulo de garantías en el procedimiento que debe ser de corte garantista y acusatorio, resultado de la necesidad de implementar un debido pr</w:t>
      </w:r>
      <w:r>
        <w:rPr>
          <w:rFonts w:ascii="Arial" w:eastAsia="Arial" w:hAnsi="Arial" w:cs="Arial"/>
          <w:sz w:val="20"/>
          <w:szCs w:val="20"/>
        </w:rPr>
        <w:t>oceso legal que amplíe la esfera de derechos de los menores. Acorde con ello y con el derecho a una defensa adecuada prevista en el artículo 20, apartado B, fracción VIII, de la Carta Magna, la Ley que establece el Sistema Integral de Justicia para Adolesc</w:t>
      </w:r>
      <w:r>
        <w:rPr>
          <w:rFonts w:ascii="Arial" w:eastAsia="Arial" w:hAnsi="Arial" w:cs="Arial"/>
          <w:sz w:val="20"/>
          <w:szCs w:val="20"/>
        </w:rPr>
        <w:t>entes en el Estado de Chiapas, prevé en su artículo 141, fracción X, que el defensor debe ser especializado; por tanto, para cumplir con dichas garantías, la representación social durante la fase de averiguación previa y el Juez en el proceso, deben cuidar</w:t>
      </w:r>
      <w:r>
        <w:rPr>
          <w:rFonts w:ascii="Arial" w:eastAsia="Arial" w:hAnsi="Arial" w:cs="Arial"/>
          <w:sz w:val="20"/>
          <w:szCs w:val="20"/>
        </w:rPr>
        <w:t xml:space="preserve"> que, en todo momento, desde que el adolescente es puesto a disposición, se encuentre asistido de un abogado especializado en la materia, con independencia de que haya designado persona de su confianza, abogado particular o defensor social, pues en el caso</w:t>
      </w:r>
      <w:r>
        <w:rPr>
          <w:rFonts w:ascii="Arial" w:eastAsia="Arial" w:hAnsi="Arial" w:cs="Arial"/>
          <w:sz w:val="20"/>
          <w:szCs w:val="20"/>
        </w:rPr>
        <w:t xml:space="preserve"> del Estado, éste se encuentra obligado a tener defensores especializados, y si cualquiera de los dos primeros no tuviera especialización, debe nombrarse defensor especializado que coadyuve con éstos, con lo cual se otorga una real y efectiva asistencia le</w:t>
      </w:r>
      <w:r>
        <w:rPr>
          <w:rFonts w:ascii="Arial" w:eastAsia="Arial" w:hAnsi="Arial" w:cs="Arial"/>
          <w:sz w:val="20"/>
          <w:szCs w:val="20"/>
        </w:rPr>
        <w:t>gal; así, la falta de designación de un abogado defensor especializado, origina una infracción a las formalidades esenciales del procedimiento que invalida las diligencias recabadas en contravención con dicha garantía (declaración ministerial, preparatoria</w:t>
      </w:r>
      <w:r>
        <w:rPr>
          <w:rFonts w:ascii="Arial" w:eastAsia="Arial" w:hAnsi="Arial" w:cs="Arial"/>
          <w:sz w:val="20"/>
          <w:szCs w:val="20"/>
        </w:rPr>
        <w:t>, entre otras), las que no podrán tomarse en cuenta para el dictado del auto inicial de sujeción a proceso, menos aún para una sentencia de condena.</w:t>
      </w:r>
      <w:r>
        <w:rPr>
          <w:rFonts w:ascii="Arial" w:eastAsia="Arial" w:hAnsi="Arial" w:cs="Arial"/>
          <w:sz w:val="20"/>
          <w:szCs w:val="20"/>
        </w:rPr>
        <w:br/>
        <w:t>TERCER TRIBUNAL COLEGIADO DEL VIGÉSIMO CIRCUITO.</w:t>
      </w:r>
    </w:p>
    <w:p w14:paraId="000000A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913/2010. 11 de febrero de 2011. Unanimidad</w:t>
      </w:r>
      <w:r>
        <w:rPr>
          <w:rFonts w:ascii="Arial" w:eastAsia="Arial" w:hAnsi="Arial" w:cs="Arial"/>
          <w:sz w:val="20"/>
          <w:szCs w:val="20"/>
        </w:rPr>
        <w:t xml:space="preserve"> de votos. Ponente: Juan Solórzano Zavala. Secretario: Víctor Hugo Coello Avendaño.</w:t>
      </w:r>
    </w:p>
    <w:p w14:paraId="000000AE" w14:textId="77777777" w:rsidR="006574F1" w:rsidRDefault="006574F1">
      <w:pPr>
        <w:spacing w:after="0" w:line="240" w:lineRule="auto"/>
        <w:jc w:val="both"/>
        <w:rPr>
          <w:rFonts w:ascii="Arial" w:eastAsia="Arial" w:hAnsi="Arial" w:cs="Arial"/>
          <w:sz w:val="20"/>
          <w:szCs w:val="20"/>
        </w:rPr>
      </w:pPr>
    </w:p>
    <w:p w14:paraId="000000A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B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Registro: 160509</w:t>
      </w:r>
    </w:p>
    <w:p w14:paraId="000000B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B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B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B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Libro III, </w:t>
      </w:r>
      <w:proofErr w:type="gramStart"/>
      <w:r>
        <w:rPr>
          <w:rFonts w:ascii="Arial" w:eastAsia="Arial" w:hAnsi="Arial" w:cs="Arial"/>
          <w:sz w:val="20"/>
          <w:szCs w:val="20"/>
        </w:rPr>
        <w:t>Diciembre</w:t>
      </w:r>
      <w:proofErr w:type="gramEnd"/>
      <w:r>
        <w:rPr>
          <w:rFonts w:ascii="Arial" w:eastAsia="Arial" w:hAnsi="Arial" w:cs="Arial"/>
          <w:sz w:val="20"/>
          <w:szCs w:val="20"/>
        </w:rPr>
        <w:t xml:space="preserve"> de 2011, Tomo 3</w:t>
      </w:r>
    </w:p>
    <w:p w14:paraId="000000B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w:t>
      </w:r>
      <w:r>
        <w:rPr>
          <w:rFonts w:ascii="Arial" w:eastAsia="Arial" w:hAnsi="Arial" w:cs="Arial"/>
          <w:sz w:val="20"/>
          <w:szCs w:val="20"/>
        </w:rPr>
        <w:t>): Constitucional</w:t>
      </w:r>
    </w:p>
    <w:p w14:paraId="000000B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1a./J. 139/2011 (9a.)</w:t>
      </w:r>
    </w:p>
    <w:p w14:paraId="000000B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Página: 2057</w:t>
      </w:r>
    </w:p>
    <w:p w14:paraId="000000B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PRUEBA ILÍCITA. EL DERECHO A UN DEBIDO PROCESO COMPRENDE EL DERECHO A NO SER JUZGADO A PARTIR DE PRUEBAS OBTENIDAS AL MARGEN DE LAS EXIGENCIAS CONSTITUCIONALES Y LEGALES.</w:t>
      </w:r>
    </w:p>
    <w:p w14:paraId="000000B9"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Exigir la nulidad de la prueba ilícita es una garantía que le asiste al inculpado durante todo el proceso y cuya protección puede hacer valer frente a los tribunales alegando como fundamento: (i) el artículo 14 constitucional, al establecer como condición </w:t>
      </w:r>
      <w:r>
        <w:rPr>
          <w:rFonts w:ascii="Arial" w:eastAsia="Arial" w:hAnsi="Arial" w:cs="Arial"/>
          <w:sz w:val="20"/>
          <w:szCs w:val="20"/>
        </w:rPr>
        <w:t>de validez de una sentencia penal, el respeto a las formalidades esenciales del procedimiento, (ii) el derecho de que los jueces se conduzcan con imparcialidad, en términos del artículo 17 constitucional y (iii) el derecho a una defensa adecuada que asiste</w:t>
      </w:r>
      <w:r>
        <w:rPr>
          <w:rFonts w:ascii="Arial" w:eastAsia="Arial" w:hAnsi="Arial" w:cs="Arial"/>
          <w:sz w:val="20"/>
          <w:szCs w:val="20"/>
        </w:rPr>
        <w:t xml:space="preserve"> a todo inculpado de acuerdo con el artículo 20, fracción IX de la Constitución Política de los Estados Unidos Mexicanos. En este sentido, si se pretende el respeto al derecho de ser juzgado por tribunales imparciales y el derecho a una defensa adecuada, e</w:t>
      </w:r>
      <w:r>
        <w:rPr>
          <w:rFonts w:ascii="Arial" w:eastAsia="Arial" w:hAnsi="Arial" w:cs="Arial"/>
          <w:sz w:val="20"/>
          <w:szCs w:val="20"/>
        </w:rPr>
        <w:t>s claro que una prueba cuya obtención ha sido irregular (ya sea por contravenir el orden constitucional o el legal), no puede sino ser considerada inválida. De otra forma, es claro que el inculpado estaría en condición de desventaja para hacer valer su def</w:t>
      </w:r>
      <w:r>
        <w:rPr>
          <w:rFonts w:ascii="Arial" w:eastAsia="Arial" w:hAnsi="Arial" w:cs="Arial"/>
          <w:sz w:val="20"/>
          <w:szCs w:val="20"/>
        </w:rPr>
        <w:t>ensa. Por ello, la regla de exclusión de la prueba ilícita se encuentra implícitamente prevista en nuestro orden constitucional. Asimismo, el artículo 206 del Código Federal de Procedimientos Penales establece, a contrario sensu, que ninguna prueba que vay</w:t>
      </w:r>
      <w:r>
        <w:rPr>
          <w:rFonts w:ascii="Arial" w:eastAsia="Arial" w:hAnsi="Arial" w:cs="Arial"/>
          <w:sz w:val="20"/>
          <w:szCs w:val="20"/>
        </w:rPr>
        <w:t>a contra el derecho debe ser admitida. Esto deriva de la posición preferente de los derechos fundamentales en el ordenamiento y de su afirmada condición de inviolables.</w:t>
      </w:r>
    </w:p>
    <w:p w14:paraId="000000B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9/2008. 12 de agosto de 2009. Mayoría de cuatro votos. Disidente: Sergio</w:t>
      </w:r>
      <w:r>
        <w:rPr>
          <w:rFonts w:ascii="Arial" w:eastAsia="Arial" w:hAnsi="Arial" w:cs="Arial"/>
          <w:sz w:val="20"/>
          <w:szCs w:val="20"/>
        </w:rPr>
        <w:t xml:space="preserve"> A. Valls Hernández. Ponente: José Ramón Cossío Díaz. Secretario: Miguel Enrique Sánchez Frías.</w:t>
      </w:r>
    </w:p>
    <w:p w14:paraId="000000BB" w14:textId="77777777" w:rsidR="006574F1" w:rsidRDefault="006574F1">
      <w:pPr>
        <w:spacing w:after="0" w:line="240" w:lineRule="auto"/>
        <w:jc w:val="both"/>
        <w:rPr>
          <w:rFonts w:ascii="Arial" w:eastAsia="Arial" w:hAnsi="Arial" w:cs="Arial"/>
          <w:sz w:val="20"/>
          <w:szCs w:val="20"/>
        </w:rPr>
      </w:pPr>
    </w:p>
    <w:p w14:paraId="000000B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No. Registro: 165,354</w:t>
      </w:r>
    </w:p>
    <w:p w14:paraId="000000B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aislada</w:t>
      </w:r>
    </w:p>
    <w:p w14:paraId="000000B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 Penal</w:t>
      </w:r>
    </w:p>
    <w:p w14:paraId="000000B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lastRenderedPageBreak/>
        <w:t>Novena Época</w:t>
      </w:r>
    </w:p>
    <w:p w14:paraId="000000C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C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w:t>
      </w:r>
      <w:r>
        <w:rPr>
          <w:rFonts w:ascii="Arial" w:eastAsia="Arial" w:hAnsi="Arial" w:cs="Arial"/>
          <w:sz w:val="20"/>
          <w:szCs w:val="20"/>
        </w:rPr>
        <w:t>u Gaceta</w:t>
      </w:r>
    </w:p>
    <w:p w14:paraId="000000C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XXXI, </w:t>
      </w:r>
      <w:proofErr w:type="gramStart"/>
      <w:r>
        <w:rPr>
          <w:rFonts w:ascii="Arial" w:eastAsia="Arial" w:hAnsi="Arial" w:cs="Arial"/>
          <w:sz w:val="20"/>
          <w:szCs w:val="20"/>
        </w:rPr>
        <w:t>Febrero</w:t>
      </w:r>
      <w:proofErr w:type="gramEnd"/>
      <w:r>
        <w:rPr>
          <w:rFonts w:ascii="Arial" w:eastAsia="Arial" w:hAnsi="Arial" w:cs="Arial"/>
          <w:sz w:val="20"/>
          <w:szCs w:val="20"/>
        </w:rPr>
        <w:t xml:space="preserve"> de 2010</w:t>
      </w:r>
    </w:p>
    <w:p w14:paraId="000000C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I.10o.P.32 P</w:t>
      </w:r>
    </w:p>
    <w:p w14:paraId="000000C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Página: 2781</w:t>
      </w:r>
    </w:p>
    <w:p w14:paraId="000000C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AGRAVIOS EXPRESADOS EN LA SEGUNDA INSTANCIA GENERA PARA LA AUTORIDAD RESPONSABLE LA CORRELATIVA OBLIGACIÓN DE HACERSE CARGO DE ELLOS EN LA SENTENCIA QUE DICTE.</w:t>
      </w:r>
    </w:p>
    <w:p w14:paraId="000000C6"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Siendo una de las formalidades esenciales del procedimiento en la audiencia de vista de la alzad</w:t>
      </w:r>
      <w:r>
        <w:rPr>
          <w:rFonts w:ascii="Arial" w:eastAsia="Arial" w:hAnsi="Arial" w:cs="Arial"/>
          <w:sz w:val="20"/>
          <w:szCs w:val="20"/>
        </w:rPr>
        <w:t>a, garantizar al inculpado una defensa adecuada y atender al derecho que le confiere el artículo 415 del Código de Procedimientos Penales para el Distrito Federal, que es el de alegar por sí y/o a través de la persona que nombre para que lo represente y de</w:t>
      </w:r>
      <w:r>
        <w:rPr>
          <w:rFonts w:ascii="Arial" w:eastAsia="Arial" w:hAnsi="Arial" w:cs="Arial"/>
          <w:sz w:val="20"/>
          <w:szCs w:val="20"/>
        </w:rPr>
        <w:t xml:space="preserve">fienda lo que a su derecho convenga a favor de su defensa; ese derecho genera para la autoridad responsable la correlativa obligación de hacerse cargo en la sentencia de las alegaciones hechas en dicha audiencia, ya sea en el uso de la palabra o por medio </w:t>
      </w:r>
      <w:r>
        <w:rPr>
          <w:rFonts w:ascii="Arial" w:eastAsia="Arial" w:hAnsi="Arial" w:cs="Arial"/>
          <w:sz w:val="20"/>
          <w:szCs w:val="20"/>
        </w:rPr>
        <w:t>del escrito de agravios respectivo. Ello significa para el sentenciado otra oportunidad más en su garantía de audiencia y defensa, ante lo cual el tribunal de alzada debe atender y responder de manera exhaustiva los puntos de inconformidad planteados. Cons</w:t>
      </w:r>
      <w:r>
        <w:rPr>
          <w:rFonts w:ascii="Arial" w:eastAsia="Arial" w:hAnsi="Arial" w:cs="Arial"/>
          <w:sz w:val="20"/>
          <w:szCs w:val="20"/>
        </w:rPr>
        <w:t xml:space="preserve">iderar lo contrario, anularía el sentido del </w:t>
      </w:r>
      <w:proofErr w:type="gramStart"/>
      <w:r>
        <w:rPr>
          <w:rFonts w:ascii="Arial" w:eastAsia="Arial" w:hAnsi="Arial" w:cs="Arial"/>
          <w:sz w:val="20"/>
          <w:szCs w:val="20"/>
        </w:rPr>
        <w:t>recurso</w:t>
      </w:r>
      <w:proofErr w:type="gramEnd"/>
      <w:r>
        <w:rPr>
          <w:rFonts w:ascii="Arial" w:eastAsia="Arial" w:hAnsi="Arial" w:cs="Arial"/>
          <w:sz w:val="20"/>
          <w:szCs w:val="20"/>
        </w:rPr>
        <w:t xml:space="preserve"> así como la importancia de garantizar al inculpado en la audiencia de vista una defensa adecuada conforme el criterio sustentado por nuestro Máximo Tribunal en la tesis 1a./J. 39/2007, bajo el rubro: "AU</w:t>
      </w:r>
      <w:r>
        <w:rPr>
          <w:rFonts w:ascii="Arial" w:eastAsia="Arial" w:hAnsi="Arial" w:cs="Arial"/>
          <w:sz w:val="20"/>
          <w:szCs w:val="20"/>
        </w:rPr>
        <w:t>DIENCIA DE VISTA EN SEGUNDA INSTANCIA. SI ANTE LA INASISTENCIA DEL DEFENSOR NOMBRADO POR EL INCULPADO AQUELLA SE CELEBRA CON LA PRESENCIA DEL DEFENSOR PÚBLICO FEDERAL DESIGNADO OFICIOSAMENTE EN EL ACTO DE LA DILIGENCIA POR EL TRIBUNAL DE ALZADA, SE VULNERA</w:t>
      </w:r>
      <w:r>
        <w:rPr>
          <w:rFonts w:ascii="Arial" w:eastAsia="Arial" w:hAnsi="Arial" w:cs="Arial"/>
          <w:sz w:val="20"/>
          <w:szCs w:val="20"/>
        </w:rPr>
        <w:t xml:space="preserve"> LA GARANTÍA DE DEFENSA ADECUADA."</w:t>
      </w:r>
    </w:p>
    <w:p w14:paraId="000000C7"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DÉCIMO TRIBUNAL COLEGIADO EN MATERIA PENAL DEL PRIMER CIRCUITO.</w:t>
      </w:r>
    </w:p>
    <w:p w14:paraId="000000C8"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293/2009. 9 de octubre de 2009. Unanimidad de votos. Ponente: Juan Wilfrido Gutiérrez Cruz. Secretaria: Eva Ríos de la Fuente.</w:t>
      </w:r>
    </w:p>
    <w:p w14:paraId="000000C9" w14:textId="77777777" w:rsidR="006574F1" w:rsidRDefault="006574F1">
      <w:pPr>
        <w:spacing w:after="0" w:line="240" w:lineRule="auto"/>
        <w:jc w:val="both"/>
        <w:rPr>
          <w:rFonts w:ascii="Arial" w:eastAsia="Arial" w:hAnsi="Arial" w:cs="Arial"/>
          <w:sz w:val="20"/>
          <w:szCs w:val="20"/>
        </w:rPr>
      </w:pPr>
    </w:p>
    <w:p w14:paraId="000000CA"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No. Registro: </w:t>
      </w:r>
      <w:r>
        <w:rPr>
          <w:rFonts w:ascii="Arial" w:eastAsia="Arial" w:hAnsi="Arial" w:cs="Arial"/>
          <w:sz w:val="20"/>
          <w:szCs w:val="20"/>
        </w:rPr>
        <w:t>165,933</w:t>
      </w:r>
    </w:p>
    <w:p w14:paraId="000000CB"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aislada</w:t>
      </w:r>
    </w:p>
    <w:p w14:paraId="000000CC"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Materia(s): Penal, Constitucional</w:t>
      </w:r>
    </w:p>
    <w:p w14:paraId="000000CD"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Novena Época</w:t>
      </w:r>
    </w:p>
    <w:p w14:paraId="000000CE"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CF"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D0"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 xml:space="preserve">XXX,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2009</w:t>
      </w:r>
    </w:p>
    <w:p w14:paraId="000000D1"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Tesis: 1a. CLXXXVI/2009</w:t>
      </w:r>
    </w:p>
    <w:p w14:paraId="000000D2"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Página: 413</w:t>
      </w:r>
    </w:p>
    <w:p w14:paraId="000000D3"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PRUEBA ILÍCITA. EL DERECHO A UN DEBIDO PROCESO C</w:t>
      </w:r>
      <w:r>
        <w:rPr>
          <w:rFonts w:ascii="Arial" w:eastAsia="Arial" w:hAnsi="Arial" w:cs="Arial"/>
          <w:sz w:val="20"/>
          <w:szCs w:val="20"/>
        </w:rPr>
        <w:t>OMPRENDE EL DERECHO A NO SER JUZGADO A PARTIR DE PRUEBAS OBTENIDAS AL MARGEN DE LAS EXIGENCIAS CONSTITUCIONALES Y LEGALES.</w:t>
      </w:r>
    </w:p>
    <w:p w14:paraId="000000D4"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Exigir la nulidad de la prueba ilícita es una garantía que le asiste al inculpado durante todo el proceso y cuya protección puede hac</w:t>
      </w:r>
      <w:r>
        <w:rPr>
          <w:rFonts w:ascii="Arial" w:eastAsia="Arial" w:hAnsi="Arial" w:cs="Arial"/>
          <w:sz w:val="20"/>
          <w:szCs w:val="20"/>
        </w:rPr>
        <w:t>er valer frente a los tribunales alegando como fundamento: (i) el artículo 14 constitucional, al establecer como condición de validez de una sentencia penal, el respeto a las formalidades esenciales del procedimiento, (ii) el derecho de que los jueces se c</w:t>
      </w:r>
      <w:r>
        <w:rPr>
          <w:rFonts w:ascii="Arial" w:eastAsia="Arial" w:hAnsi="Arial" w:cs="Arial"/>
          <w:sz w:val="20"/>
          <w:szCs w:val="20"/>
        </w:rPr>
        <w:t>onduzcan con imparcialidad, en términos del artículo 17 constitucional y (iii) el derecho a una defensa adecuada que asiste a todo inculpado de acuerdo con el artículo 20, fracción IX de la Constitución Política de los Estados Unidos Mexicanos. Si se prete</w:t>
      </w:r>
      <w:r>
        <w:rPr>
          <w:rFonts w:ascii="Arial" w:eastAsia="Arial" w:hAnsi="Arial" w:cs="Arial"/>
          <w:sz w:val="20"/>
          <w:szCs w:val="20"/>
        </w:rPr>
        <w:t>nde el respeto al derecho de ser juzgado por tribunales imparciales y el derecho a una defensa adecuada, es claro que una prueba cuya obtención ha sido irregular (ya sea por contravenir el orden constitucional o el legal), no puede sino ser considerada inv</w:t>
      </w:r>
      <w:r>
        <w:rPr>
          <w:rFonts w:ascii="Arial" w:eastAsia="Arial" w:hAnsi="Arial" w:cs="Arial"/>
          <w:sz w:val="20"/>
          <w:szCs w:val="20"/>
        </w:rPr>
        <w:t>álida. De otra forma, es claro que el inculpado estaría en condición de desventaja para hacer valer su defensa. Por ello, la regla de exclusión de la prueba ilícita se encuentra implícitamente prevista en nuestro orden constitucional. Así mismo, el artícul</w:t>
      </w:r>
      <w:r>
        <w:rPr>
          <w:rFonts w:ascii="Arial" w:eastAsia="Arial" w:hAnsi="Arial" w:cs="Arial"/>
          <w:sz w:val="20"/>
          <w:szCs w:val="20"/>
        </w:rPr>
        <w:t>o 206 del Código Federal de Procedimientos Penales establece, a contrario sensu, que ninguna prueba que vaya contra el derecho debe ser admitida. Esto deriva de la posición preferente de los derechos fundamentales en el ordenamiento y de su afirmada condic</w:t>
      </w:r>
      <w:r>
        <w:rPr>
          <w:rFonts w:ascii="Arial" w:eastAsia="Arial" w:hAnsi="Arial" w:cs="Arial"/>
          <w:sz w:val="20"/>
          <w:szCs w:val="20"/>
        </w:rPr>
        <w:t>ión de inviolables.</w:t>
      </w:r>
    </w:p>
    <w:p w14:paraId="000000D5" w14:textId="77777777" w:rsidR="006574F1" w:rsidRDefault="00451649">
      <w:pPr>
        <w:spacing w:after="0" w:line="240" w:lineRule="auto"/>
        <w:jc w:val="both"/>
        <w:rPr>
          <w:rFonts w:ascii="Arial" w:eastAsia="Arial" w:hAnsi="Arial" w:cs="Arial"/>
          <w:sz w:val="20"/>
          <w:szCs w:val="20"/>
        </w:rPr>
      </w:pPr>
      <w:r>
        <w:rPr>
          <w:rFonts w:ascii="Arial" w:eastAsia="Arial" w:hAnsi="Arial" w:cs="Arial"/>
          <w:sz w:val="20"/>
          <w:szCs w:val="20"/>
        </w:rPr>
        <w:t>Amparo directo 9/2008. 12 de agosto de 2009. Mayoría de cuatro votos. Disidente: Sergio A. Valls Hernández. Ponente: José Ramón Cossío Díaz. Secretario: Miguel Enrique Sánchez Frías.</w:t>
      </w:r>
    </w:p>
    <w:p w14:paraId="000000D6" w14:textId="77777777" w:rsidR="006574F1" w:rsidRDefault="006574F1">
      <w:pPr>
        <w:spacing w:after="0" w:line="240" w:lineRule="auto"/>
        <w:jc w:val="both"/>
        <w:rPr>
          <w:rFonts w:ascii="Arial" w:eastAsia="Arial" w:hAnsi="Arial" w:cs="Arial"/>
          <w:sz w:val="20"/>
          <w:szCs w:val="20"/>
        </w:rPr>
      </w:pPr>
    </w:p>
    <w:p w14:paraId="000001C7" w14:textId="3EDFBE77" w:rsidR="006574F1" w:rsidRDefault="006574F1">
      <w:pPr>
        <w:spacing w:after="0" w:line="240" w:lineRule="auto"/>
        <w:jc w:val="both"/>
        <w:rPr>
          <w:rFonts w:ascii="Arial" w:eastAsia="Arial" w:hAnsi="Arial" w:cs="Arial"/>
          <w:sz w:val="20"/>
          <w:szCs w:val="20"/>
        </w:rPr>
      </w:pPr>
    </w:p>
    <w:sectPr w:rsidR="006574F1">
      <w:headerReference w:type="default" r:id="rId7"/>
      <w:pgSz w:w="12240" w:h="15840"/>
      <w:pgMar w:top="720" w:right="720" w:bottom="567" w:left="720" w:header="56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0691E" w14:textId="77777777" w:rsidR="00451649" w:rsidRDefault="00451649">
      <w:pPr>
        <w:spacing w:after="0" w:line="240" w:lineRule="auto"/>
      </w:pPr>
      <w:r>
        <w:separator/>
      </w:r>
    </w:p>
  </w:endnote>
  <w:endnote w:type="continuationSeparator" w:id="0">
    <w:p w14:paraId="40399E00" w14:textId="77777777" w:rsidR="00451649" w:rsidRDefault="00451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4FB5B" w14:textId="77777777" w:rsidR="00451649" w:rsidRDefault="00451649">
      <w:pPr>
        <w:spacing w:after="0" w:line="240" w:lineRule="auto"/>
      </w:pPr>
      <w:r>
        <w:separator/>
      </w:r>
    </w:p>
  </w:footnote>
  <w:footnote w:type="continuationSeparator" w:id="0">
    <w:p w14:paraId="186B26F0" w14:textId="77777777" w:rsidR="00451649" w:rsidRDefault="00451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8" w14:textId="575E6586" w:rsidR="006574F1" w:rsidRDefault="00451649">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020FA">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4F1"/>
    <w:rsid w:val="00451649"/>
    <w:rsid w:val="006574F1"/>
    <w:rsid w:val="009020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026EF"/>
  <w15:docId w15:val="{A1BD1BD6-A2E0-4A11-BA82-19351212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181"/>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1677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67742"/>
  </w:style>
  <w:style w:type="paragraph" w:styleId="Piedepgina">
    <w:name w:val="footer"/>
    <w:basedOn w:val="Normal"/>
    <w:link w:val="PiedepginaCar"/>
    <w:uiPriority w:val="99"/>
    <w:unhideWhenUsed/>
    <w:rsid w:val="001677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67742"/>
  </w:style>
  <w:style w:type="paragraph" w:styleId="Textodeglobo">
    <w:name w:val="Balloon Text"/>
    <w:basedOn w:val="Normal"/>
    <w:link w:val="TextodegloboCar"/>
    <w:uiPriority w:val="99"/>
    <w:semiHidden/>
    <w:unhideWhenUsed/>
    <w:rsid w:val="00FD30F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D30FF"/>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kz0pjzLhbdiOGLQ03kQXOwLj0A==">AMUW2mWmpt3wU2v1UDq/m94RkE8EcI7x++OQcVlg1Q7vWQvSjKtatgJ4v/6pnREU51qxQRUmnShSe/tVmgcxjH3sT/hcpugxYa225ax0/lMoL43s39M0Dx/mWKGwgSp8MaW6EOLLoKfi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7199</Words>
  <Characters>39596</Characters>
  <Application>Microsoft Office Word</Application>
  <DocSecurity>0</DocSecurity>
  <Lines>329</Lines>
  <Paragraphs>93</Paragraphs>
  <ScaleCrop>false</ScaleCrop>
  <Company/>
  <LinksUpToDate>false</LinksUpToDate>
  <CharactersWithSpaces>46702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mairevolucion</dc:creator>
  <cp:lastModifiedBy>Sandy López</cp:lastModifiedBy>
  <cp:revision>2</cp:revision>
  <dcterms:created xsi:type="dcterms:W3CDTF">2010-11-12T00:53:00Z</dcterms:created>
  <dcterms:modified xsi:type="dcterms:W3CDTF">2021-08-06T16:08:00Z</dcterms:modified>
</cp:coreProperties>
</file>