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3303A5" w14:textId="77777777" w:rsidR="00D91D89" w:rsidRPr="00B33EAF" w:rsidRDefault="0038098F" w:rsidP="00D91D89">
      <w:pPr>
        <w:spacing w:after="0" w:line="240" w:lineRule="auto"/>
        <w:jc w:val="center"/>
        <w:rPr>
          <w:rFonts w:ascii="Arial" w:hAnsi="Arial" w:cs="Arial"/>
          <w:b/>
          <w:sz w:val="18"/>
          <w:szCs w:val="18"/>
        </w:rPr>
      </w:pPr>
      <w:r w:rsidRPr="00B33EAF">
        <w:rPr>
          <w:rFonts w:ascii="Arial" w:hAnsi="Arial" w:cs="Arial"/>
          <w:b/>
          <w:sz w:val="18"/>
          <w:szCs w:val="18"/>
        </w:rPr>
        <w:t xml:space="preserve">PRO </w:t>
      </w:r>
      <w:r w:rsidR="00466AE8" w:rsidRPr="00B33EAF">
        <w:rPr>
          <w:rFonts w:ascii="Arial" w:hAnsi="Arial" w:cs="Arial"/>
          <w:b/>
          <w:sz w:val="18"/>
          <w:szCs w:val="18"/>
        </w:rPr>
        <w:t>PERSONA</w:t>
      </w:r>
    </w:p>
    <w:p w14:paraId="1902A0C2" w14:textId="77777777" w:rsidR="00460C2F" w:rsidRPr="00460C2F" w:rsidRDefault="00460C2F" w:rsidP="00460C2F">
      <w:pPr>
        <w:spacing w:after="0" w:line="240" w:lineRule="auto"/>
        <w:jc w:val="both"/>
        <w:rPr>
          <w:rFonts w:ascii="Arial" w:hAnsi="Arial" w:cs="Arial"/>
          <w:sz w:val="18"/>
          <w:szCs w:val="18"/>
        </w:rPr>
      </w:pPr>
      <w:r w:rsidRPr="00460C2F">
        <w:rPr>
          <w:rFonts w:ascii="Arial" w:hAnsi="Arial" w:cs="Arial"/>
          <w:sz w:val="18"/>
          <w:szCs w:val="18"/>
        </w:rPr>
        <w:t>Registro digital: 2020312</w:t>
      </w:r>
    </w:p>
    <w:p w14:paraId="14DDF8FD" w14:textId="77777777" w:rsidR="00460C2F" w:rsidRPr="00460C2F" w:rsidRDefault="00460C2F" w:rsidP="00460C2F">
      <w:pPr>
        <w:spacing w:after="0" w:line="240" w:lineRule="auto"/>
        <w:jc w:val="both"/>
        <w:rPr>
          <w:rFonts w:ascii="Arial" w:hAnsi="Arial" w:cs="Arial"/>
          <w:sz w:val="18"/>
          <w:szCs w:val="18"/>
        </w:rPr>
      </w:pPr>
      <w:r w:rsidRPr="00460C2F">
        <w:rPr>
          <w:rFonts w:ascii="Arial" w:hAnsi="Arial" w:cs="Arial"/>
          <w:sz w:val="18"/>
          <w:szCs w:val="18"/>
        </w:rPr>
        <w:t>Instancia: Tribunales Colegiados de Circuito</w:t>
      </w:r>
    </w:p>
    <w:p w14:paraId="22A5B277" w14:textId="77777777" w:rsidR="00460C2F" w:rsidRPr="00460C2F" w:rsidRDefault="00460C2F" w:rsidP="00460C2F">
      <w:pPr>
        <w:spacing w:after="0" w:line="240" w:lineRule="auto"/>
        <w:jc w:val="both"/>
        <w:rPr>
          <w:rFonts w:ascii="Arial" w:hAnsi="Arial" w:cs="Arial"/>
          <w:sz w:val="18"/>
          <w:szCs w:val="18"/>
        </w:rPr>
      </w:pPr>
      <w:r w:rsidRPr="00460C2F">
        <w:rPr>
          <w:rFonts w:ascii="Arial" w:hAnsi="Arial" w:cs="Arial"/>
          <w:sz w:val="18"/>
          <w:szCs w:val="18"/>
        </w:rPr>
        <w:t>Décima Época</w:t>
      </w:r>
    </w:p>
    <w:p w14:paraId="49BC4DAE" w14:textId="77777777" w:rsidR="00460C2F" w:rsidRPr="00460C2F" w:rsidRDefault="00460C2F" w:rsidP="00460C2F">
      <w:pPr>
        <w:spacing w:after="0" w:line="240" w:lineRule="auto"/>
        <w:jc w:val="both"/>
        <w:rPr>
          <w:rFonts w:ascii="Arial" w:hAnsi="Arial" w:cs="Arial"/>
          <w:sz w:val="18"/>
          <w:szCs w:val="18"/>
        </w:rPr>
      </w:pPr>
      <w:r w:rsidRPr="00460C2F">
        <w:rPr>
          <w:rFonts w:ascii="Arial" w:hAnsi="Arial" w:cs="Arial"/>
          <w:sz w:val="18"/>
          <w:szCs w:val="18"/>
        </w:rPr>
        <w:t>Materias(s): Penal</w:t>
      </w:r>
    </w:p>
    <w:p w14:paraId="57FCECDE" w14:textId="77777777" w:rsidR="00460C2F" w:rsidRPr="00460C2F" w:rsidRDefault="00460C2F" w:rsidP="00460C2F">
      <w:pPr>
        <w:spacing w:after="0" w:line="240" w:lineRule="auto"/>
        <w:jc w:val="both"/>
        <w:rPr>
          <w:rFonts w:ascii="Arial" w:hAnsi="Arial" w:cs="Arial"/>
          <w:sz w:val="18"/>
          <w:szCs w:val="18"/>
        </w:rPr>
      </w:pPr>
      <w:r w:rsidRPr="00460C2F">
        <w:rPr>
          <w:rFonts w:ascii="Arial" w:hAnsi="Arial" w:cs="Arial"/>
          <w:sz w:val="18"/>
          <w:szCs w:val="18"/>
        </w:rPr>
        <w:t>Tesis: I.8o.P.26 P (10a.)</w:t>
      </w:r>
    </w:p>
    <w:p w14:paraId="1D17E6A1" w14:textId="77777777" w:rsidR="00460C2F" w:rsidRPr="00460C2F" w:rsidRDefault="00460C2F" w:rsidP="00460C2F">
      <w:pPr>
        <w:spacing w:after="0" w:line="240" w:lineRule="auto"/>
        <w:jc w:val="both"/>
        <w:rPr>
          <w:rFonts w:ascii="Arial" w:hAnsi="Arial" w:cs="Arial"/>
          <w:sz w:val="18"/>
          <w:szCs w:val="18"/>
        </w:rPr>
      </w:pPr>
      <w:r w:rsidRPr="00460C2F">
        <w:rPr>
          <w:rFonts w:ascii="Arial" w:hAnsi="Arial" w:cs="Arial"/>
          <w:sz w:val="18"/>
          <w:szCs w:val="18"/>
        </w:rPr>
        <w:t>Fuente: Gaceta del Semanario Judicial de la Federación. Libro 68, Julio de 2019, Tomo III, página 2150</w:t>
      </w:r>
    </w:p>
    <w:p w14:paraId="06AF644F" w14:textId="60529C77" w:rsidR="00460C2F" w:rsidRPr="00460C2F" w:rsidRDefault="00460C2F" w:rsidP="00460C2F">
      <w:pPr>
        <w:spacing w:after="0" w:line="240" w:lineRule="auto"/>
        <w:jc w:val="both"/>
        <w:rPr>
          <w:rFonts w:ascii="Arial" w:hAnsi="Arial" w:cs="Arial"/>
          <w:sz w:val="18"/>
          <w:szCs w:val="18"/>
        </w:rPr>
      </w:pPr>
      <w:r w:rsidRPr="00460C2F">
        <w:rPr>
          <w:rFonts w:ascii="Arial" w:hAnsi="Arial" w:cs="Arial"/>
          <w:sz w:val="18"/>
          <w:szCs w:val="18"/>
        </w:rPr>
        <w:t>Tipo: Aislada</w:t>
      </w:r>
    </w:p>
    <w:p w14:paraId="719E4386" w14:textId="4CE3F59E" w:rsidR="00460C2F" w:rsidRPr="00460C2F" w:rsidRDefault="00460C2F" w:rsidP="00460C2F">
      <w:pPr>
        <w:spacing w:after="0" w:line="240" w:lineRule="auto"/>
        <w:jc w:val="both"/>
        <w:rPr>
          <w:rFonts w:ascii="Arial" w:hAnsi="Arial" w:cs="Arial"/>
          <w:sz w:val="18"/>
          <w:szCs w:val="18"/>
        </w:rPr>
      </w:pPr>
      <w:r w:rsidRPr="00460C2F">
        <w:rPr>
          <w:rFonts w:ascii="Arial" w:hAnsi="Arial" w:cs="Arial"/>
          <w:sz w:val="18"/>
          <w:szCs w:val="18"/>
        </w:rPr>
        <w:t>RECURSO DE APELACIÓN EN EL SISTEMA PENAL ACUSATORIO. EL INTERPUESTO CONTRA LAS SENTENCIAS DICTADAS POR EL TRIBUNAL DE ENJUICIAMIENTO EN LAS QUE SE HAYA IMPUESTO PENA DE PRISIÓN MAYOR DE CINCO AÑOS, DEBE RESOLVERSE DE MANERA COLEGIADA, AUN CUANDO NO SE TRATE DE DELITOS DE PRISIÓN PREVENTIVA OFICIOSA (INTERPRETACIÓN PRO PERSONA DEL ARTÍCULO 248, FRACCIÓN I Y ÚLTIMO PÁRRAFO, DE LA LEY ORGÁNICA DEL TRIBUNAL SUPERIOR DE JUSTICIA DEL DISTRITO FEDERAL, APLICABLE PARA LA CIUDAD DE MÉXICO).</w:t>
      </w:r>
    </w:p>
    <w:p w14:paraId="66BF8779" w14:textId="63D7123F" w:rsidR="00460C2F" w:rsidRPr="00460C2F" w:rsidRDefault="00460C2F" w:rsidP="00460C2F">
      <w:pPr>
        <w:spacing w:after="0" w:line="240" w:lineRule="auto"/>
        <w:jc w:val="both"/>
        <w:rPr>
          <w:rFonts w:ascii="Arial" w:hAnsi="Arial" w:cs="Arial"/>
          <w:sz w:val="18"/>
          <w:szCs w:val="18"/>
        </w:rPr>
      </w:pPr>
      <w:r w:rsidRPr="00460C2F">
        <w:rPr>
          <w:rFonts w:ascii="Arial" w:hAnsi="Arial" w:cs="Arial"/>
          <w:sz w:val="18"/>
          <w:szCs w:val="18"/>
        </w:rPr>
        <w:t>La porción normativa señalada puede presentar para el juzgador dos formas de interpretación: una restrictiva, en el sentido de que sólo debe resolverse de manera colegiada cuando se trate de sentencias dictadas por el tribunal de enjuiciamiento, respecto de delitos de prisión preventiva oficiosa en las que se haya impuesto pena de prisión mayor de cinco años; o de forma amplia o extensiva, es decir, la resolución debe ser colegiada respecto de sentencias relativas a delitos de prisión preventiva oficiosa en las que se haya impuesto pena de prisión mayor de cinco años y, también respecto de aquellas en las que, aun cuando no se trate de delitos de prisión preventiva oficiosa, la pena de prisión sea mayor de cinco años. Así, a la luz del principio pro persona contenido en el artículo 1o., párrafo segundo, de la Constitución Política de los Estados Unidos Mexicanos y por razones de seguridad jurídica, en términos del artículo 248, fracción I y último párrafo, de la Ley Orgánica del Tribunal Superior de Justicia del Distrito Federal, aplicable para la Ciudad de México, cuando el recurso de apelación se interponga contra sentencias dictadas por el tribunal de enjuiciamiento en las que el delito de que se trate no sea de prisión preventiva oficiosa, pero se haya impuesto pena mayor de cinco años, dicho medio de impugnación debe resolverse de manera colegiada, porque ello implica que el asunto reviste las características de gravedad, trascendencia, relevancia y/o complejidad que el legislador previó para ser decidido de esa manera.</w:t>
      </w:r>
    </w:p>
    <w:p w14:paraId="5DA31049" w14:textId="4D698318" w:rsidR="00460C2F" w:rsidRPr="00460C2F" w:rsidRDefault="00460C2F" w:rsidP="00460C2F">
      <w:pPr>
        <w:spacing w:after="0" w:line="240" w:lineRule="auto"/>
        <w:jc w:val="both"/>
        <w:rPr>
          <w:rFonts w:ascii="Arial" w:hAnsi="Arial" w:cs="Arial"/>
          <w:sz w:val="18"/>
          <w:szCs w:val="18"/>
        </w:rPr>
      </w:pPr>
      <w:r w:rsidRPr="00460C2F">
        <w:rPr>
          <w:rFonts w:ascii="Arial" w:hAnsi="Arial" w:cs="Arial"/>
          <w:sz w:val="18"/>
          <w:szCs w:val="18"/>
        </w:rPr>
        <w:t>OCTAVO TRIBUNAL COLEGIADO EN MATERIA PENAL DEL PRIMER CIRCUITO.</w:t>
      </w:r>
    </w:p>
    <w:p w14:paraId="5386E21A" w14:textId="6DC8DA3F" w:rsidR="00460C2F" w:rsidRPr="00460C2F" w:rsidRDefault="00460C2F" w:rsidP="00460C2F">
      <w:pPr>
        <w:spacing w:after="0" w:line="240" w:lineRule="auto"/>
        <w:jc w:val="both"/>
        <w:rPr>
          <w:rFonts w:ascii="Arial" w:hAnsi="Arial" w:cs="Arial"/>
          <w:sz w:val="18"/>
          <w:szCs w:val="18"/>
        </w:rPr>
      </w:pPr>
      <w:r w:rsidRPr="00460C2F">
        <w:rPr>
          <w:rFonts w:ascii="Arial" w:hAnsi="Arial" w:cs="Arial"/>
          <w:sz w:val="18"/>
          <w:szCs w:val="18"/>
        </w:rPr>
        <w:t>Amparo directo 31/2019. 11 de abril de 2019. Unanimidad de votos. Ponente: Taissia Cruz Parcero. Secretaria: Rebeca Castillo Negrete.</w:t>
      </w:r>
    </w:p>
    <w:p w14:paraId="789CD3D0" w14:textId="77777777" w:rsidR="00460C2F" w:rsidRPr="00460C2F" w:rsidRDefault="00460C2F" w:rsidP="00460C2F">
      <w:pPr>
        <w:spacing w:after="0" w:line="240" w:lineRule="auto"/>
        <w:jc w:val="both"/>
        <w:rPr>
          <w:rFonts w:ascii="Arial" w:hAnsi="Arial" w:cs="Arial"/>
          <w:sz w:val="18"/>
          <w:szCs w:val="18"/>
        </w:rPr>
      </w:pPr>
      <w:r w:rsidRPr="00460C2F">
        <w:rPr>
          <w:rFonts w:ascii="Arial" w:hAnsi="Arial" w:cs="Arial"/>
          <w:sz w:val="18"/>
          <w:szCs w:val="18"/>
        </w:rPr>
        <w:t>Amparo directo 38/2019. 11 de abril de 2019. Unanimidad de votos. Ponente: Taissia Cruz Parcero. Secretaria: Rebeca Castillo Negrete.</w:t>
      </w:r>
    </w:p>
    <w:p w14:paraId="50E9654D" w14:textId="3376C0A2" w:rsidR="00460C2F" w:rsidRDefault="00460C2F" w:rsidP="00460C2F">
      <w:pPr>
        <w:spacing w:after="0" w:line="240" w:lineRule="auto"/>
        <w:jc w:val="both"/>
        <w:rPr>
          <w:rFonts w:ascii="Arial" w:hAnsi="Arial" w:cs="Arial"/>
          <w:sz w:val="18"/>
          <w:szCs w:val="18"/>
        </w:rPr>
      </w:pPr>
      <w:r w:rsidRPr="00460C2F">
        <w:rPr>
          <w:rFonts w:ascii="Arial" w:hAnsi="Arial" w:cs="Arial"/>
          <w:sz w:val="18"/>
          <w:szCs w:val="18"/>
        </w:rPr>
        <w:t>Esta tesis se publicó el viernes 12 de julio de 2019 a las 10:19  horas  en el Semanario Judicial de la Federación.</w:t>
      </w:r>
    </w:p>
    <w:p w14:paraId="459C2970" w14:textId="77777777" w:rsidR="00460C2F" w:rsidRDefault="00460C2F" w:rsidP="00413995">
      <w:pPr>
        <w:spacing w:after="0" w:line="240" w:lineRule="auto"/>
        <w:jc w:val="both"/>
        <w:rPr>
          <w:rFonts w:ascii="Arial" w:hAnsi="Arial" w:cs="Arial"/>
          <w:sz w:val="18"/>
          <w:szCs w:val="18"/>
        </w:rPr>
      </w:pPr>
    </w:p>
    <w:p w14:paraId="2E1FA038" w14:textId="24E0229A" w:rsidR="00413995" w:rsidRPr="00413995" w:rsidRDefault="00413995" w:rsidP="00413995">
      <w:pPr>
        <w:spacing w:after="0" w:line="240" w:lineRule="auto"/>
        <w:jc w:val="both"/>
        <w:rPr>
          <w:rFonts w:ascii="Arial" w:hAnsi="Arial" w:cs="Arial"/>
          <w:sz w:val="18"/>
          <w:szCs w:val="18"/>
        </w:rPr>
      </w:pPr>
      <w:r>
        <w:rPr>
          <w:rFonts w:ascii="Arial" w:hAnsi="Arial" w:cs="Arial"/>
          <w:sz w:val="18"/>
          <w:szCs w:val="18"/>
        </w:rPr>
        <w:t>Registro digital: 2018122</w:t>
      </w:r>
    </w:p>
    <w:p w14:paraId="0E523E91" w14:textId="77777777" w:rsidR="00413995" w:rsidRPr="00413995" w:rsidRDefault="00413995" w:rsidP="00413995">
      <w:pPr>
        <w:spacing w:after="0" w:line="240" w:lineRule="auto"/>
        <w:jc w:val="both"/>
        <w:rPr>
          <w:rFonts w:ascii="Arial" w:hAnsi="Arial" w:cs="Arial"/>
          <w:sz w:val="18"/>
          <w:szCs w:val="18"/>
        </w:rPr>
      </w:pPr>
      <w:r w:rsidRPr="00413995">
        <w:rPr>
          <w:rFonts w:ascii="Arial" w:hAnsi="Arial" w:cs="Arial"/>
          <w:sz w:val="18"/>
          <w:szCs w:val="18"/>
        </w:rPr>
        <w:t>Instancia: Tr</w:t>
      </w:r>
      <w:r>
        <w:rPr>
          <w:rFonts w:ascii="Arial" w:hAnsi="Arial" w:cs="Arial"/>
          <w:sz w:val="18"/>
          <w:szCs w:val="18"/>
        </w:rPr>
        <w:t>ibunales Colegiados de Circuito</w:t>
      </w:r>
    </w:p>
    <w:p w14:paraId="0436F953" w14:textId="77777777" w:rsidR="00413995" w:rsidRPr="00413995" w:rsidRDefault="00413995" w:rsidP="00413995">
      <w:pPr>
        <w:spacing w:after="0" w:line="240" w:lineRule="auto"/>
        <w:jc w:val="both"/>
        <w:rPr>
          <w:rFonts w:ascii="Arial" w:hAnsi="Arial" w:cs="Arial"/>
          <w:sz w:val="18"/>
          <w:szCs w:val="18"/>
        </w:rPr>
      </w:pPr>
      <w:r>
        <w:rPr>
          <w:rFonts w:ascii="Arial" w:hAnsi="Arial" w:cs="Arial"/>
          <w:sz w:val="18"/>
          <w:szCs w:val="18"/>
        </w:rPr>
        <w:t>Décima Época</w:t>
      </w:r>
    </w:p>
    <w:p w14:paraId="4C07A4EA" w14:textId="77777777" w:rsidR="00413995" w:rsidRPr="00413995" w:rsidRDefault="00413995" w:rsidP="00413995">
      <w:pPr>
        <w:spacing w:after="0" w:line="240" w:lineRule="auto"/>
        <w:jc w:val="both"/>
        <w:rPr>
          <w:rFonts w:ascii="Arial" w:hAnsi="Arial" w:cs="Arial"/>
          <w:sz w:val="18"/>
          <w:szCs w:val="18"/>
        </w:rPr>
      </w:pPr>
      <w:r w:rsidRPr="00413995">
        <w:rPr>
          <w:rFonts w:ascii="Arial" w:hAnsi="Arial" w:cs="Arial"/>
          <w:sz w:val="18"/>
          <w:szCs w:val="18"/>
        </w:rPr>
        <w:t>Ma</w:t>
      </w:r>
      <w:r>
        <w:rPr>
          <w:rFonts w:ascii="Arial" w:hAnsi="Arial" w:cs="Arial"/>
          <w:sz w:val="18"/>
          <w:szCs w:val="18"/>
        </w:rPr>
        <w:t>teria(s): Constitucional, Penal</w:t>
      </w:r>
    </w:p>
    <w:p w14:paraId="5C4E94F3" w14:textId="77777777" w:rsidR="00413995" w:rsidRPr="00413995" w:rsidRDefault="00413995" w:rsidP="00413995">
      <w:pPr>
        <w:spacing w:after="0" w:line="240" w:lineRule="auto"/>
        <w:jc w:val="both"/>
        <w:rPr>
          <w:rFonts w:ascii="Arial" w:hAnsi="Arial" w:cs="Arial"/>
          <w:sz w:val="18"/>
          <w:szCs w:val="18"/>
        </w:rPr>
      </w:pPr>
      <w:r>
        <w:rPr>
          <w:rFonts w:ascii="Arial" w:hAnsi="Arial" w:cs="Arial"/>
          <w:sz w:val="18"/>
          <w:szCs w:val="18"/>
        </w:rPr>
        <w:t>Tesis: (V Región)4o.2 P (10a.)</w:t>
      </w:r>
    </w:p>
    <w:p w14:paraId="4DB5165A" w14:textId="77777777" w:rsidR="00413995" w:rsidRPr="00413995" w:rsidRDefault="00413995" w:rsidP="00413995">
      <w:pPr>
        <w:spacing w:after="0" w:line="240" w:lineRule="auto"/>
        <w:jc w:val="both"/>
        <w:rPr>
          <w:rFonts w:ascii="Arial" w:hAnsi="Arial" w:cs="Arial"/>
          <w:sz w:val="18"/>
          <w:szCs w:val="18"/>
        </w:rPr>
      </w:pPr>
      <w:r w:rsidRPr="00413995">
        <w:rPr>
          <w:rFonts w:ascii="Arial" w:hAnsi="Arial" w:cs="Arial"/>
          <w:sz w:val="18"/>
          <w:szCs w:val="18"/>
        </w:rPr>
        <w:t>Fuente: Gaceta del Semanario Judicial de la Federación.</w:t>
      </w:r>
    </w:p>
    <w:p w14:paraId="37276000" w14:textId="77777777" w:rsidR="00413995" w:rsidRPr="00413995" w:rsidRDefault="00413995" w:rsidP="00413995">
      <w:pPr>
        <w:spacing w:after="0" w:line="240" w:lineRule="auto"/>
        <w:jc w:val="both"/>
        <w:rPr>
          <w:rFonts w:ascii="Arial" w:hAnsi="Arial" w:cs="Arial"/>
          <w:sz w:val="18"/>
          <w:szCs w:val="18"/>
        </w:rPr>
      </w:pPr>
      <w:r w:rsidRPr="00413995">
        <w:rPr>
          <w:rFonts w:ascii="Arial" w:hAnsi="Arial" w:cs="Arial"/>
          <w:sz w:val="18"/>
          <w:szCs w:val="18"/>
        </w:rPr>
        <w:t>Libro 59, Octubre</w:t>
      </w:r>
      <w:r>
        <w:rPr>
          <w:rFonts w:ascii="Arial" w:hAnsi="Arial" w:cs="Arial"/>
          <w:sz w:val="18"/>
          <w:szCs w:val="18"/>
        </w:rPr>
        <w:t xml:space="preserve"> de 2018, Tomo III, página 2171</w:t>
      </w:r>
    </w:p>
    <w:p w14:paraId="7C9AA9A7" w14:textId="77777777" w:rsidR="00413995" w:rsidRPr="00413995" w:rsidRDefault="00413995" w:rsidP="00413995">
      <w:pPr>
        <w:spacing w:after="0" w:line="240" w:lineRule="auto"/>
        <w:jc w:val="both"/>
        <w:rPr>
          <w:rFonts w:ascii="Arial" w:hAnsi="Arial" w:cs="Arial"/>
          <w:sz w:val="18"/>
          <w:szCs w:val="18"/>
        </w:rPr>
      </w:pPr>
      <w:r>
        <w:rPr>
          <w:rFonts w:ascii="Arial" w:hAnsi="Arial" w:cs="Arial"/>
          <w:sz w:val="18"/>
          <w:szCs w:val="18"/>
        </w:rPr>
        <w:t>Tipo: Aislada</w:t>
      </w:r>
    </w:p>
    <w:p w14:paraId="546B5AB6" w14:textId="77777777" w:rsidR="00413995" w:rsidRPr="00413995" w:rsidRDefault="00413995" w:rsidP="00413995">
      <w:pPr>
        <w:spacing w:after="0" w:line="240" w:lineRule="auto"/>
        <w:jc w:val="both"/>
        <w:rPr>
          <w:rFonts w:ascii="Arial" w:hAnsi="Arial" w:cs="Arial"/>
          <w:sz w:val="18"/>
          <w:szCs w:val="18"/>
        </w:rPr>
      </w:pPr>
      <w:r w:rsidRPr="00413995">
        <w:rPr>
          <w:rFonts w:ascii="Arial" w:hAnsi="Arial" w:cs="Arial"/>
          <w:sz w:val="18"/>
          <w:szCs w:val="18"/>
        </w:rPr>
        <w:t>ANTECEDENTES PENALES. EL JUEZ DE EJECUCIÓN PUEDE ANALIZAR LA PROCEDENCIA DE LA PETICIÓN DEL SENTENCIADO QUE CUMPLIÓ LA SANCIÓN IMPUESTA –RESPECTO DE UN DELITO NO GRAVE EN UN PROCESO PENAL MIXTO– DE CANCELAR LA INFORMACIÓN QUE CONTIENEN, EN APLICACIÓN RETROACTIVA EN BENEFICIO DEL ARTÍCULO 27, FRACCIÓN V, INCISO G), DE LA LEY NACIONAL DE EJECUCIÓN PENAL Y A</w:t>
      </w:r>
      <w:r>
        <w:rPr>
          <w:rFonts w:ascii="Arial" w:hAnsi="Arial" w:cs="Arial"/>
          <w:sz w:val="18"/>
          <w:szCs w:val="18"/>
        </w:rPr>
        <w:t>TENTO AL PRINCIPIO PRO PERSONA.</w:t>
      </w:r>
    </w:p>
    <w:p w14:paraId="3583D973" w14:textId="77777777" w:rsidR="00413995" w:rsidRPr="00413995" w:rsidRDefault="00413995" w:rsidP="00413995">
      <w:pPr>
        <w:spacing w:after="0" w:line="240" w:lineRule="auto"/>
        <w:jc w:val="both"/>
        <w:rPr>
          <w:rFonts w:ascii="Arial" w:hAnsi="Arial" w:cs="Arial"/>
          <w:sz w:val="18"/>
          <w:szCs w:val="18"/>
        </w:rPr>
      </w:pPr>
      <w:r w:rsidRPr="00413995">
        <w:rPr>
          <w:rFonts w:ascii="Arial" w:hAnsi="Arial" w:cs="Arial"/>
          <w:sz w:val="18"/>
          <w:szCs w:val="18"/>
        </w:rPr>
        <w:t>Cuando el sentenciado en un proceso penal mixto solicita a la autoridad jurisdiccional de ejecución, la cancelación de la información que contienen los antecedentes penales, mediante la aplicación retroactiva del artículo 27, fracción V, inciso G), de la Ley Nacional de Ejecución Penal, que establece la procedencia de dicha cancelación, en el caso de haber cumplido con la pena que le fue impuesta en sentencia ejecutoriada, en relación con un delito no grave, sin que sobre el particular haya cosa juzgada, que impida examinar nuevamente dicha petición, procede analizar ese supuesto de cancelación, en virtud de que las normas de ejecución anteriores a la vigencia de la legislación mencionada no lo establecían y su aplicación opera de conformidad con los principios de retroactividad de la ley en beneficio y hermenéutico de derechos humanos pro persona, porque el artículo cuarto transitorio del Decreto por el que se reforman y adicionan diversas disposiciones de la Constitución Federal, publicado en el Diario Oficial de la Federación el 18 de junio de 2008, que establece que los procedimientos penales iniciados con anterioridad a la entrada en vigor del nuevo sistema procesal penal acusatorio, serán concluidos conforme a las disposiciones vigentes con anterioridad a dicho acto, se refiere a la forma de tramitación del procedimiento penal mixto, para concluirlos con las reglas de ese modelo procesal, lo que no puede alcanzar la etapa de ejecución de la sentencia, al ser una fase diversa. Así, lo pretendido por el artículo cuarto transitorio mencionado, es prohibir la mezcla de disposiciones del sistema penal mixto con aquellas del sistema acusatorio que rigen el proceso; sin embargo, esas limitantes no alcanzan a derechos sustantivos o el derecho humano a tener una vida digna y de no discriminación, porque dicho precepto no contiene esas restricciones. Por tanto, en cuanto a derechos sustantivos, como lo es la cancelación de la información que contienen los antecedentes penales, procede la aplicación retroactiva en beneficio del sentenciado, en términos de los artículos 1o. y 14 de la Constitución Política d</w:t>
      </w:r>
      <w:r>
        <w:rPr>
          <w:rFonts w:ascii="Arial" w:hAnsi="Arial" w:cs="Arial"/>
          <w:sz w:val="18"/>
          <w:szCs w:val="18"/>
        </w:rPr>
        <w:t>e los Estados Unidos Mexicanos.</w:t>
      </w:r>
    </w:p>
    <w:p w14:paraId="1E39E8BF" w14:textId="77777777" w:rsidR="00413995" w:rsidRPr="00413995" w:rsidRDefault="00413995" w:rsidP="00413995">
      <w:pPr>
        <w:spacing w:after="0" w:line="240" w:lineRule="auto"/>
        <w:jc w:val="both"/>
        <w:rPr>
          <w:rFonts w:ascii="Arial" w:hAnsi="Arial" w:cs="Arial"/>
          <w:sz w:val="18"/>
          <w:szCs w:val="18"/>
        </w:rPr>
      </w:pPr>
      <w:r w:rsidRPr="00413995">
        <w:rPr>
          <w:rFonts w:ascii="Arial" w:hAnsi="Arial" w:cs="Arial"/>
          <w:sz w:val="18"/>
          <w:szCs w:val="18"/>
        </w:rPr>
        <w:t>CUARTO TRIBUNAL COLEGIADO DE CIRCUITO DEL CENTR</w:t>
      </w:r>
      <w:r>
        <w:rPr>
          <w:rFonts w:ascii="Arial" w:hAnsi="Arial" w:cs="Arial"/>
          <w:sz w:val="18"/>
          <w:szCs w:val="18"/>
        </w:rPr>
        <w:t>O AUXILIAR DE LA QUINTA REGIÓN.</w:t>
      </w:r>
    </w:p>
    <w:p w14:paraId="2EA2A44E" w14:textId="77777777" w:rsidR="00413995" w:rsidRPr="00413995" w:rsidRDefault="00413995" w:rsidP="00413995">
      <w:pPr>
        <w:spacing w:after="0" w:line="240" w:lineRule="auto"/>
        <w:jc w:val="both"/>
        <w:rPr>
          <w:rFonts w:ascii="Arial" w:hAnsi="Arial" w:cs="Arial"/>
          <w:sz w:val="18"/>
          <w:szCs w:val="18"/>
        </w:rPr>
      </w:pPr>
      <w:r w:rsidRPr="00413995">
        <w:rPr>
          <w:rFonts w:ascii="Arial" w:hAnsi="Arial" w:cs="Arial"/>
          <w:sz w:val="18"/>
          <w:szCs w:val="18"/>
        </w:rPr>
        <w:t>Amparo en revisión 10/2018 (cuaderno auxiliar 608/2018) del índice del Tribunal Colegiado del Vigésimo Sexto Circuito, con apoyo del Cuarto Tribunal Colegiado de Circuito del Centro Auxiliar de la Quinta Región, con residencia en Los Mochis, Sinaloa. 5 de julio de 2018. Unanimidad de votos. Ponente: Carlos Alberto Sosa López. Secre</w:t>
      </w:r>
      <w:r>
        <w:rPr>
          <w:rFonts w:ascii="Arial" w:hAnsi="Arial" w:cs="Arial"/>
          <w:sz w:val="18"/>
          <w:szCs w:val="18"/>
        </w:rPr>
        <w:t>tario: Carlos Hipólito Lorenzo.</w:t>
      </w:r>
    </w:p>
    <w:p w14:paraId="308611AA" w14:textId="77777777" w:rsidR="00413995" w:rsidRDefault="00413995" w:rsidP="00413995">
      <w:pPr>
        <w:spacing w:after="0" w:line="240" w:lineRule="auto"/>
        <w:jc w:val="both"/>
        <w:rPr>
          <w:rFonts w:ascii="Arial" w:hAnsi="Arial" w:cs="Arial"/>
          <w:sz w:val="18"/>
          <w:szCs w:val="18"/>
        </w:rPr>
      </w:pPr>
      <w:r w:rsidRPr="00413995">
        <w:rPr>
          <w:rFonts w:ascii="Arial" w:hAnsi="Arial" w:cs="Arial"/>
          <w:sz w:val="18"/>
          <w:szCs w:val="18"/>
        </w:rPr>
        <w:t>Esta tesis se publicó el viernes 19 de octubre de 2018 a las 10:29 horas en el Semanario Judicial de la Federación.</w:t>
      </w:r>
    </w:p>
    <w:p w14:paraId="22606B9E" w14:textId="77777777" w:rsidR="00413995" w:rsidRDefault="00413995" w:rsidP="00413995">
      <w:pPr>
        <w:spacing w:after="0" w:line="240" w:lineRule="auto"/>
        <w:jc w:val="both"/>
        <w:rPr>
          <w:rFonts w:ascii="Arial" w:hAnsi="Arial" w:cs="Arial"/>
          <w:sz w:val="18"/>
          <w:szCs w:val="18"/>
        </w:rPr>
      </w:pPr>
    </w:p>
    <w:p w14:paraId="680D6377" w14:textId="77777777" w:rsidR="00413995" w:rsidRPr="00413995" w:rsidRDefault="00413995" w:rsidP="00413995">
      <w:pPr>
        <w:spacing w:after="0" w:line="240" w:lineRule="auto"/>
        <w:jc w:val="both"/>
        <w:rPr>
          <w:rFonts w:ascii="Arial" w:hAnsi="Arial" w:cs="Arial"/>
          <w:sz w:val="18"/>
          <w:szCs w:val="18"/>
        </w:rPr>
      </w:pPr>
      <w:r>
        <w:rPr>
          <w:rFonts w:ascii="Arial" w:hAnsi="Arial" w:cs="Arial"/>
          <w:sz w:val="18"/>
          <w:szCs w:val="18"/>
        </w:rPr>
        <w:lastRenderedPageBreak/>
        <w:t>Registro digital: 2017390</w:t>
      </w:r>
    </w:p>
    <w:p w14:paraId="64ADA89D" w14:textId="77777777" w:rsidR="00413995" w:rsidRPr="00413995" w:rsidRDefault="00413995" w:rsidP="00413995">
      <w:pPr>
        <w:spacing w:after="0" w:line="240" w:lineRule="auto"/>
        <w:jc w:val="both"/>
        <w:rPr>
          <w:rFonts w:ascii="Arial" w:hAnsi="Arial" w:cs="Arial"/>
          <w:sz w:val="18"/>
          <w:szCs w:val="18"/>
        </w:rPr>
      </w:pPr>
      <w:r w:rsidRPr="00413995">
        <w:rPr>
          <w:rFonts w:ascii="Arial" w:hAnsi="Arial" w:cs="Arial"/>
          <w:sz w:val="18"/>
          <w:szCs w:val="18"/>
        </w:rPr>
        <w:t>Instancia: Tr</w:t>
      </w:r>
      <w:r>
        <w:rPr>
          <w:rFonts w:ascii="Arial" w:hAnsi="Arial" w:cs="Arial"/>
          <w:sz w:val="18"/>
          <w:szCs w:val="18"/>
        </w:rPr>
        <w:t>ibunales Colegiados de Circuito</w:t>
      </w:r>
    </w:p>
    <w:p w14:paraId="752A8DD0" w14:textId="77777777" w:rsidR="00413995" w:rsidRPr="00413995" w:rsidRDefault="00413995" w:rsidP="00413995">
      <w:pPr>
        <w:spacing w:after="0" w:line="240" w:lineRule="auto"/>
        <w:jc w:val="both"/>
        <w:rPr>
          <w:rFonts w:ascii="Arial" w:hAnsi="Arial" w:cs="Arial"/>
          <w:sz w:val="18"/>
          <w:szCs w:val="18"/>
        </w:rPr>
      </w:pPr>
      <w:r>
        <w:rPr>
          <w:rFonts w:ascii="Arial" w:hAnsi="Arial" w:cs="Arial"/>
          <w:sz w:val="18"/>
          <w:szCs w:val="18"/>
        </w:rPr>
        <w:t>Décima Época</w:t>
      </w:r>
    </w:p>
    <w:p w14:paraId="7C8F4B49" w14:textId="77777777" w:rsidR="00413995" w:rsidRPr="00413995" w:rsidRDefault="00413995" w:rsidP="00413995">
      <w:pPr>
        <w:spacing w:after="0" w:line="240" w:lineRule="auto"/>
        <w:jc w:val="both"/>
        <w:rPr>
          <w:rFonts w:ascii="Arial" w:hAnsi="Arial" w:cs="Arial"/>
          <w:sz w:val="18"/>
          <w:szCs w:val="18"/>
        </w:rPr>
      </w:pPr>
      <w:r w:rsidRPr="00413995">
        <w:rPr>
          <w:rFonts w:ascii="Arial" w:hAnsi="Arial" w:cs="Arial"/>
          <w:sz w:val="18"/>
          <w:szCs w:val="18"/>
        </w:rPr>
        <w:t>Ma</w:t>
      </w:r>
      <w:r>
        <w:rPr>
          <w:rFonts w:ascii="Arial" w:hAnsi="Arial" w:cs="Arial"/>
          <w:sz w:val="18"/>
          <w:szCs w:val="18"/>
        </w:rPr>
        <w:t>teria(s): Constitucional, Penal</w:t>
      </w:r>
    </w:p>
    <w:p w14:paraId="204830EC" w14:textId="77777777" w:rsidR="00413995" w:rsidRPr="00413995" w:rsidRDefault="00413995" w:rsidP="00413995">
      <w:pPr>
        <w:spacing w:after="0" w:line="240" w:lineRule="auto"/>
        <w:jc w:val="both"/>
        <w:rPr>
          <w:rFonts w:ascii="Arial" w:hAnsi="Arial" w:cs="Arial"/>
          <w:sz w:val="18"/>
          <w:szCs w:val="18"/>
          <w:lang w:val="en-US"/>
        </w:rPr>
      </w:pPr>
      <w:r>
        <w:rPr>
          <w:rFonts w:ascii="Arial" w:hAnsi="Arial" w:cs="Arial"/>
          <w:sz w:val="18"/>
          <w:szCs w:val="18"/>
          <w:lang w:val="en-US"/>
        </w:rPr>
        <w:t>Tesis: I.1o.P.112 P (10a.)</w:t>
      </w:r>
    </w:p>
    <w:p w14:paraId="0C899BE3" w14:textId="77777777" w:rsidR="00413995" w:rsidRPr="00413995" w:rsidRDefault="00413995" w:rsidP="00413995">
      <w:pPr>
        <w:spacing w:after="0" w:line="240" w:lineRule="auto"/>
        <w:jc w:val="both"/>
        <w:rPr>
          <w:rFonts w:ascii="Arial" w:hAnsi="Arial" w:cs="Arial"/>
          <w:sz w:val="18"/>
          <w:szCs w:val="18"/>
        </w:rPr>
      </w:pPr>
      <w:r w:rsidRPr="00413995">
        <w:rPr>
          <w:rFonts w:ascii="Arial" w:hAnsi="Arial" w:cs="Arial"/>
          <w:sz w:val="18"/>
          <w:szCs w:val="18"/>
        </w:rPr>
        <w:t>Fuente: Gaceta del Semanario Judicial de la Federación.</w:t>
      </w:r>
    </w:p>
    <w:p w14:paraId="162E1840" w14:textId="77777777" w:rsidR="00413995" w:rsidRPr="00413995" w:rsidRDefault="00413995" w:rsidP="00413995">
      <w:pPr>
        <w:spacing w:after="0" w:line="240" w:lineRule="auto"/>
        <w:jc w:val="both"/>
        <w:rPr>
          <w:rFonts w:ascii="Arial" w:hAnsi="Arial" w:cs="Arial"/>
          <w:sz w:val="18"/>
          <w:szCs w:val="18"/>
        </w:rPr>
      </w:pPr>
      <w:r w:rsidRPr="00413995">
        <w:rPr>
          <w:rFonts w:ascii="Arial" w:hAnsi="Arial" w:cs="Arial"/>
          <w:sz w:val="18"/>
          <w:szCs w:val="18"/>
        </w:rPr>
        <w:t>Libro 56, Juli</w:t>
      </w:r>
      <w:r>
        <w:rPr>
          <w:rFonts w:ascii="Arial" w:hAnsi="Arial" w:cs="Arial"/>
          <w:sz w:val="18"/>
          <w:szCs w:val="18"/>
        </w:rPr>
        <w:t>o de 2018, Tomo II, página 1624</w:t>
      </w:r>
    </w:p>
    <w:p w14:paraId="01651F5A" w14:textId="77777777" w:rsidR="00413995" w:rsidRPr="00413995" w:rsidRDefault="00413995" w:rsidP="00413995">
      <w:pPr>
        <w:spacing w:after="0" w:line="240" w:lineRule="auto"/>
        <w:jc w:val="both"/>
        <w:rPr>
          <w:rFonts w:ascii="Arial" w:hAnsi="Arial" w:cs="Arial"/>
          <w:sz w:val="18"/>
          <w:szCs w:val="18"/>
        </w:rPr>
      </w:pPr>
      <w:r>
        <w:rPr>
          <w:rFonts w:ascii="Arial" w:hAnsi="Arial" w:cs="Arial"/>
          <w:sz w:val="18"/>
          <w:szCs w:val="18"/>
        </w:rPr>
        <w:t>Tipo: Aislada</w:t>
      </w:r>
    </w:p>
    <w:p w14:paraId="1F7079D8" w14:textId="77777777" w:rsidR="00413995" w:rsidRPr="00413995" w:rsidRDefault="00413995" w:rsidP="00413995">
      <w:pPr>
        <w:spacing w:after="0" w:line="240" w:lineRule="auto"/>
        <w:jc w:val="both"/>
        <w:rPr>
          <w:rFonts w:ascii="Arial" w:hAnsi="Arial" w:cs="Arial"/>
          <w:sz w:val="18"/>
          <w:szCs w:val="18"/>
        </w:rPr>
      </w:pPr>
      <w:r w:rsidRPr="00413995">
        <w:rPr>
          <w:rFonts w:ascii="Arial" w:hAnsi="Arial" w:cs="Arial"/>
          <w:sz w:val="18"/>
          <w:szCs w:val="18"/>
        </w:rPr>
        <w:t>SUSTITUTIVOS DE LA PENA DE PRISIÓN Y CONDENA CONDICIONAL. EN APLICACIÓN DEL PRINCIPIO PRO PERSONA, LA LIMITACIÓN DE SU CONCESIÓN PREVISTA EN LOS ARTÍCULOS 70, ÚLTIMO PÁRRAFO Y 90, FRACCIÓN I, INCISO B), EN RELACIÓN CON EL DIVERSO 85, FRACCIÓN I, TODOS DEL CÓDIGO PENAL FEDERAL, NO ES EXTENSIVA A LOS DELITOS C</w:t>
      </w:r>
      <w:r>
        <w:rPr>
          <w:rFonts w:ascii="Arial" w:hAnsi="Arial" w:cs="Arial"/>
          <w:sz w:val="18"/>
          <w:szCs w:val="18"/>
        </w:rPr>
        <w:t>OMETIDOS EN GRADO DE TENTATIVA.</w:t>
      </w:r>
    </w:p>
    <w:p w14:paraId="38FF0526" w14:textId="77777777" w:rsidR="00413995" w:rsidRPr="00413995" w:rsidRDefault="00413995" w:rsidP="00413995">
      <w:pPr>
        <w:spacing w:after="0" w:line="240" w:lineRule="auto"/>
        <w:jc w:val="both"/>
        <w:rPr>
          <w:rFonts w:ascii="Arial" w:hAnsi="Arial" w:cs="Arial"/>
          <w:sz w:val="18"/>
          <w:szCs w:val="18"/>
        </w:rPr>
      </w:pPr>
      <w:r w:rsidRPr="00413995">
        <w:rPr>
          <w:rFonts w:ascii="Arial" w:hAnsi="Arial" w:cs="Arial"/>
          <w:sz w:val="18"/>
          <w:szCs w:val="18"/>
        </w:rPr>
        <w:t>Los preceptos invocados disponen una limitación para acceder a los sustitutivos de la pena de prisión y condena condicional, en los casos en que al sentenciado se le condene por alguno de los delitos contenidos en el catálogo del artículo 85, fracción I, mencionado; no obstante, en aplicación del principio pro persona, previsto en el artículo 1o., párrafo segundo, de la Constitución Política de los Estados Unidos Mexicanos, los casos en que esos ilícitos se cometan en grado de tentativa, no deben comprenderse dentro de ese supuesto, pues con ello se privilegia o maximiza la libertad personal del sentenciado; a su vez, se traduce en que la restricción permanente del ejercicio de ese derecho humano esté acotada a los casos expresamente previstos, sin que pueda considerarse una postura antagónica, sustentada en que la tentativa sólo es un grado de comisión de dichos antisociales y no un ilícito autónomo e independiente, dado que es una interpretación soportada en la teoría del delito, basada en el estudio de la ejecución del iter criminis, la que no atiende y menos privilegia el derecho de libertad personal referido. Es más, la discrepancia que genera esta última postura, tiene su solución en el propio axioma interpretativo, que obliga a preferir la interpretación que maximiza el derecho humano en controversia y no a diversa que se sustenta en aspectos ajenos a dicho parámetro. Además, si el legislador hubiese tenido la intención de restringir el acceso a esos beneficios cuando los delitos previstos en el artículo 85, fracción I, indicado se cometieran en grado de tentativa, así lo hubiese dispuesto expresamente; como sí lo hizo en el artículo 194 del Código Federal de Procedimientos Penales (actualmente abrogado), en donde estableció un listado de los antisociales considerados como graves y, en su último párrafo, señaló textualmente que la tentativa de dichos ilícitos, también se califican como graves. Asimismo, no se actualiza el supuesto en que exista una restricción constitucional o legal para aplicar dicho principio, porque el artículo 18 de la Carta Magna sólo dispone que, como parte de la reinserción social de los sentenciados, la ley debe regular la procedencia de esos beneficios; por lo cual, es legal establecer un criterio interpretativo de las normas secundarias, que en virtud de la libertad configurativa, el legislador ordinario estableció en los términos descritos. Esta interpretación tampoco es contraria al artículo 18 constitucional, porque ahí se señala, como parte de la reinserción social de los sentenciados, la concesión de beneficios que deben establecerse en las leyes –entre los que se encuentran los sustitutivos penales y la condena condicional– y, al no existir algún lineamiento adicional para condicionar el acceso a esos rubros, no puede considerarse que la interpretación aquí aludida de las normas emitidas en cumplimiento a la disposición constitucional de referencia, incumpla la reinserción social y los fines de la pena pues, de otro modo, la restricción se hubiese señal</w:t>
      </w:r>
      <w:r>
        <w:rPr>
          <w:rFonts w:ascii="Arial" w:hAnsi="Arial" w:cs="Arial"/>
          <w:sz w:val="18"/>
          <w:szCs w:val="18"/>
        </w:rPr>
        <w:t>ado desde la Norma Fundamental.</w:t>
      </w:r>
    </w:p>
    <w:p w14:paraId="2A755231" w14:textId="77777777" w:rsidR="00413995" w:rsidRPr="00413995" w:rsidRDefault="00413995" w:rsidP="00413995">
      <w:pPr>
        <w:spacing w:after="0" w:line="240" w:lineRule="auto"/>
        <w:jc w:val="both"/>
        <w:rPr>
          <w:rFonts w:ascii="Arial" w:hAnsi="Arial" w:cs="Arial"/>
          <w:sz w:val="18"/>
          <w:szCs w:val="18"/>
        </w:rPr>
      </w:pPr>
      <w:r w:rsidRPr="00413995">
        <w:rPr>
          <w:rFonts w:ascii="Arial" w:hAnsi="Arial" w:cs="Arial"/>
          <w:sz w:val="18"/>
          <w:szCs w:val="18"/>
        </w:rPr>
        <w:t>PRIMER TRIBUNAL COLEGIADO EN MAT</w:t>
      </w:r>
      <w:r>
        <w:rPr>
          <w:rFonts w:ascii="Arial" w:hAnsi="Arial" w:cs="Arial"/>
          <w:sz w:val="18"/>
          <w:szCs w:val="18"/>
        </w:rPr>
        <w:t>ERIA PENAL DEL PRIMER CIRCUITO.</w:t>
      </w:r>
    </w:p>
    <w:p w14:paraId="71DEF99D" w14:textId="77777777" w:rsidR="00413995" w:rsidRPr="00413995" w:rsidRDefault="00413995" w:rsidP="00413995">
      <w:pPr>
        <w:spacing w:after="0" w:line="240" w:lineRule="auto"/>
        <w:jc w:val="both"/>
        <w:rPr>
          <w:rFonts w:ascii="Arial" w:hAnsi="Arial" w:cs="Arial"/>
          <w:sz w:val="18"/>
          <w:szCs w:val="18"/>
        </w:rPr>
      </w:pPr>
      <w:r w:rsidRPr="00413995">
        <w:rPr>
          <w:rFonts w:ascii="Arial" w:hAnsi="Arial" w:cs="Arial"/>
          <w:sz w:val="18"/>
          <w:szCs w:val="18"/>
        </w:rPr>
        <w:t>Amparo directo 11/2018. 19 de abril de 2018. Mayoría de votos. Disidente: Miguel Enrique Sánchez Frías. Ponente: Francisco Javier Sarabia Ascencio. Secretario:</w:t>
      </w:r>
      <w:r>
        <w:rPr>
          <w:rFonts w:ascii="Arial" w:hAnsi="Arial" w:cs="Arial"/>
          <w:sz w:val="18"/>
          <w:szCs w:val="18"/>
        </w:rPr>
        <w:t xml:space="preserve"> Daniel Marcelino Niño Jiménez.</w:t>
      </w:r>
    </w:p>
    <w:p w14:paraId="121AF7BF" w14:textId="77777777" w:rsidR="00413995" w:rsidRDefault="00413995" w:rsidP="00413995">
      <w:pPr>
        <w:spacing w:after="0" w:line="240" w:lineRule="auto"/>
        <w:jc w:val="both"/>
        <w:rPr>
          <w:rFonts w:ascii="Arial" w:hAnsi="Arial" w:cs="Arial"/>
          <w:sz w:val="18"/>
          <w:szCs w:val="18"/>
        </w:rPr>
      </w:pPr>
      <w:r w:rsidRPr="00413995">
        <w:rPr>
          <w:rFonts w:ascii="Arial" w:hAnsi="Arial" w:cs="Arial"/>
          <w:sz w:val="18"/>
          <w:szCs w:val="18"/>
        </w:rPr>
        <w:t>Nota: Esta tesis fue objeto de la denuncia relativa a la contradicción de tesis 10/2019 del Pleno en Materia Penal del Primer Circuito de la que derivó la tesis jurisprudencial PC.I.P. J/67 P (10a.) de título y subtítulo: “SUSTITUTIVOS DE LA PENA DE PRISIÓN Y CONDENA CONDICIONAL. LA LIMITANTE PARA SU CONCESIÓN CONSIDERADOS COMO GRAVES, ESTABLECIDA EN EL ARTÍCULO 85 DEL CÓDIGO PENAL FEDERAL, ES APLICABLE PARA LOS COMETIDOS EN GRADO DE TENTATIVA.".</w:t>
      </w:r>
    </w:p>
    <w:p w14:paraId="2F9F09AB" w14:textId="77777777" w:rsidR="00413995" w:rsidRDefault="00413995" w:rsidP="00413995">
      <w:pPr>
        <w:spacing w:after="0" w:line="240" w:lineRule="auto"/>
        <w:jc w:val="both"/>
        <w:rPr>
          <w:rFonts w:ascii="Arial" w:hAnsi="Arial" w:cs="Arial"/>
          <w:sz w:val="18"/>
          <w:szCs w:val="18"/>
        </w:rPr>
      </w:pPr>
    </w:p>
    <w:p w14:paraId="0342B034" w14:textId="77777777" w:rsidR="00413995" w:rsidRPr="00413995" w:rsidRDefault="00413995" w:rsidP="00413995">
      <w:pPr>
        <w:spacing w:after="0" w:line="240" w:lineRule="auto"/>
        <w:jc w:val="both"/>
        <w:rPr>
          <w:rFonts w:ascii="Arial" w:hAnsi="Arial" w:cs="Arial"/>
          <w:sz w:val="18"/>
          <w:szCs w:val="18"/>
        </w:rPr>
      </w:pPr>
      <w:r>
        <w:rPr>
          <w:rFonts w:ascii="Arial" w:hAnsi="Arial" w:cs="Arial"/>
          <w:sz w:val="18"/>
          <w:szCs w:val="18"/>
        </w:rPr>
        <w:t>Registro digital: 2015086</w:t>
      </w:r>
    </w:p>
    <w:p w14:paraId="306E6E84" w14:textId="77777777" w:rsidR="00413995" w:rsidRPr="00413995" w:rsidRDefault="00413995" w:rsidP="00413995">
      <w:pPr>
        <w:spacing w:after="0" w:line="240" w:lineRule="auto"/>
        <w:jc w:val="both"/>
        <w:rPr>
          <w:rFonts w:ascii="Arial" w:hAnsi="Arial" w:cs="Arial"/>
          <w:sz w:val="18"/>
          <w:szCs w:val="18"/>
        </w:rPr>
      </w:pPr>
      <w:r w:rsidRPr="00413995">
        <w:rPr>
          <w:rFonts w:ascii="Arial" w:hAnsi="Arial" w:cs="Arial"/>
          <w:sz w:val="18"/>
          <w:szCs w:val="18"/>
        </w:rPr>
        <w:t>Instancia: Tr</w:t>
      </w:r>
      <w:r>
        <w:rPr>
          <w:rFonts w:ascii="Arial" w:hAnsi="Arial" w:cs="Arial"/>
          <w:sz w:val="18"/>
          <w:szCs w:val="18"/>
        </w:rPr>
        <w:t>ibunales Colegiados de Circuito</w:t>
      </w:r>
    </w:p>
    <w:p w14:paraId="17929D91" w14:textId="77777777" w:rsidR="00413995" w:rsidRPr="00413995" w:rsidRDefault="00413995" w:rsidP="00413995">
      <w:pPr>
        <w:spacing w:after="0" w:line="240" w:lineRule="auto"/>
        <w:jc w:val="both"/>
        <w:rPr>
          <w:rFonts w:ascii="Arial" w:hAnsi="Arial" w:cs="Arial"/>
          <w:sz w:val="18"/>
          <w:szCs w:val="18"/>
        </w:rPr>
      </w:pPr>
      <w:r>
        <w:rPr>
          <w:rFonts w:ascii="Arial" w:hAnsi="Arial" w:cs="Arial"/>
          <w:sz w:val="18"/>
          <w:szCs w:val="18"/>
        </w:rPr>
        <w:t>Décima Época</w:t>
      </w:r>
    </w:p>
    <w:p w14:paraId="6EB38576" w14:textId="77777777" w:rsidR="00413995" w:rsidRPr="00413995" w:rsidRDefault="00413995" w:rsidP="00413995">
      <w:pPr>
        <w:spacing w:after="0" w:line="240" w:lineRule="auto"/>
        <w:jc w:val="both"/>
        <w:rPr>
          <w:rFonts w:ascii="Arial" w:hAnsi="Arial" w:cs="Arial"/>
          <w:sz w:val="18"/>
          <w:szCs w:val="18"/>
        </w:rPr>
      </w:pPr>
      <w:r w:rsidRPr="00413995">
        <w:rPr>
          <w:rFonts w:ascii="Arial" w:hAnsi="Arial" w:cs="Arial"/>
          <w:sz w:val="18"/>
          <w:szCs w:val="18"/>
        </w:rPr>
        <w:t>Ma</w:t>
      </w:r>
      <w:r>
        <w:rPr>
          <w:rFonts w:ascii="Arial" w:hAnsi="Arial" w:cs="Arial"/>
          <w:sz w:val="18"/>
          <w:szCs w:val="18"/>
        </w:rPr>
        <w:t>teria(s): Constitucional, Penal</w:t>
      </w:r>
    </w:p>
    <w:p w14:paraId="7813EC23" w14:textId="77777777" w:rsidR="00413995" w:rsidRPr="00413995" w:rsidRDefault="00413995" w:rsidP="00413995">
      <w:pPr>
        <w:spacing w:after="0" w:line="240" w:lineRule="auto"/>
        <w:jc w:val="both"/>
        <w:rPr>
          <w:rFonts w:ascii="Arial" w:hAnsi="Arial" w:cs="Arial"/>
          <w:sz w:val="18"/>
          <w:szCs w:val="18"/>
          <w:lang w:val="en-US"/>
        </w:rPr>
      </w:pPr>
      <w:r>
        <w:rPr>
          <w:rFonts w:ascii="Arial" w:hAnsi="Arial" w:cs="Arial"/>
          <w:sz w:val="18"/>
          <w:szCs w:val="18"/>
          <w:lang w:val="en-US"/>
        </w:rPr>
        <w:t>Tesis: I.1o.P.64 P (10a.)</w:t>
      </w:r>
    </w:p>
    <w:p w14:paraId="2F56E6B0" w14:textId="77777777" w:rsidR="00413995" w:rsidRPr="00413995" w:rsidRDefault="00413995" w:rsidP="00413995">
      <w:pPr>
        <w:spacing w:after="0" w:line="240" w:lineRule="auto"/>
        <w:jc w:val="both"/>
        <w:rPr>
          <w:rFonts w:ascii="Arial" w:hAnsi="Arial" w:cs="Arial"/>
          <w:sz w:val="18"/>
          <w:szCs w:val="18"/>
        </w:rPr>
      </w:pPr>
      <w:r w:rsidRPr="00413995">
        <w:rPr>
          <w:rFonts w:ascii="Arial" w:hAnsi="Arial" w:cs="Arial"/>
          <w:sz w:val="18"/>
          <w:szCs w:val="18"/>
        </w:rPr>
        <w:t>Fuente: Gaceta del Semanario Judicial de la Federación.</w:t>
      </w:r>
    </w:p>
    <w:p w14:paraId="33DCBE09" w14:textId="77777777" w:rsidR="00413995" w:rsidRPr="00413995" w:rsidRDefault="00413995" w:rsidP="00413995">
      <w:pPr>
        <w:spacing w:after="0" w:line="240" w:lineRule="auto"/>
        <w:jc w:val="both"/>
        <w:rPr>
          <w:rFonts w:ascii="Arial" w:hAnsi="Arial" w:cs="Arial"/>
          <w:sz w:val="18"/>
          <w:szCs w:val="18"/>
        </w:rPr>
      </w:pPr>
      <w:r w:rsidRPr="00413995">
        <w:rPr>
          <w:rFonts w:ascii="Arial" w:hAnsi="Arial" w:cs="Arial"/>
          <w:sz w:val="18"/>
          <w:szCs w:val="18"/>
        </w:rPr>
        <w:t>Libro 46, Septiembre</w:t>
      </w:r>
      <w:r>
        <w:rPr>
          <w:rFonts w:ascii="Arial" w:hAnsi="Arial" w:cs="Arial"/>
          <w:sz w:val="18"/>
          <w:szCs w:val="18"/>
        </w:rPr>
        <w:t xml:space="preserve"> de 2017, Tomo III, página 1934</w:t>
      </w:r>
    </w:p>
    <w:p w14:paraId="36733FC7" w14:textId="77777777" w:rsidR="00413995" w:rsidRPr="00413995" w:rsidRDefault="00413995" w:rsidP="00413995">
      <w:pPr>
        <w:spacing w:after="0" w:line="240" w:lineRule="auto"/>
        <w:jc w:val="both"/>
        <w:rPr>
          <w:rFonts w:ascii="Arial" w:hAnsi="Arial" w:cs="Arial"/>
          <w:sz w:val="18"/>
          <w:szCs w:val="18"/>
        </w:rPr>
      </w:pPr>
      <w:r>
        <w:rPr>
          <w:rFonts w:ascii="Arial" w:hAnsi="Arial" w:cs="Arial"/>
          <w:sz w:val="18"/>
          <w:szCs w:val="18"/>
        </w:rPr>
        <w:t>Tipo: Aislada</w:t>
      </w:r>
    </w:p>
    <w:p w14:paraId="7E628D55" w14:textId="77777777" w:rsidR="00413995" w:rsidRPr="00413995" w:rsidRDefault="00413995" w:rsidP="00413995">
      <w:pPr>
        <w:spacing w:after="0" w:line="240" w:lineRule="auto"/>
        <w:jc w:val="both"/>
        <w:rPr>
          <w:rFonts w:ascii="Arial" w:hAnsi="Arial" w:cs="Arial"/>
          <w:sz w:val="18"/>
          <w:szCs w:val="18"/>
        </w:rPr>
      </w:pPr>
      <w:r w:rsidRPr="00413995">
        <w:rPr>
          <w:rFonts w:ascii="Arial" w:hAnsi="Arial" w:cs="Arial"/>
          <w:sz w:val="18"/>
          <w:szCs w:val="18"/>
        </w:rPr>
        <w:t>REVISIÓN DE LA MEDIDA CAUTELAR DE PRISIÓN PREVENTIVA DECRETADA EN EL SISTEMA MIXTO O TRADICIONAL. EL ARTÍCULO QUINTO TRANSITORIO DEL DECRETO POR EL QUE SE REFORMAN, ADICIONAN Y DEROGAN DIVERSAS DISPOSICIONES, ENTRE OTROS, DEL CÓDIGO NACIONAL DE PROCEDIMIENTOS PENALES, PUBLICADO EN EL DIARIO OFICIAL DE LA FEDERACIÓN EL 17 DE JUNIO DE 2016 QUE LA PREVÉ, NO SE CONTRAPONE AL ARTÍCULO CUARTO TRANSITORIO DEL DIVERSO DECRETO POR EL QUE SE REFORMAN Y ADICIONAN DIVERSAS DISPOSICIONES DE LA CONSTITUCIÓN FEDERAL, PUBLICADO EN DICHO MEDIO DE DIFUSIÓN OFICIAL EL 18 DE JUNIO DE 2008, SINO QUE AMBOS PRECEPTOS SE COMPLEMENTAN, ATENTO AL PRINCIPIO PRO P</w:t>
      </w:r>
      <w:r>
        <w:rPr>
          <w:rFonts w:ascii="Arial" w:hAnsi="Arial" w:cs="Arial"/>
          <w:sz w:val="18"/>
          <w:szCs w:val="18"/>
        </w:rPr>
        <w:t>ERSONA.</w:t>
      </w:r>
    </w:p>
    <w:p w14:paraId="25D4E021" w14:textId="77777777" w:rsidR="00413995" w:rsidRPr="00413995" w:rsidRDefault="00413995" w:rsidP="00413995">
      <w:pPr>
        <w:spacing w:after="0" w:line="240" w:lineRule="auto"/>
        <w:jc w:val="both"/>
        <w:rPr>
          <w:rFonts w:ascii="Arial" w:hAnsi="Arial" w:cs="Arial"/>
          <w:sz w:val="18"/>
          <w:szCs w:val="18"/>
        </w:rPr>
      </w:pPr>
      <w:r w:rsidRPr="00413995">
        <w:rPr>
          <w:rFonts w:ascii="Arial" w:hAnsi="Arial" w:cs="Arial"/>
          <w:sz w:val="18"/>
          <w:szCs w:val="18"/>
        </w:rPr>
        <w:t xml:space="preserve">El artículo quinto transitorio mencionado, que establece la revisión de las medidas privativas de la libertad personal o de prisión preventiva que hubieren sido decretadas por mandamiento de autoridad judicial durante los procedimientos iniciados con base en la legislación procesal penal vigente con anterioridad a la entrada en vigor del sistema de justicia penal acusatorio adversarial, no se contrapone al diverso artículo cuarto transitorio del diverso decreto por el que se reforman y adicionan diversas disposiciones de la Constitución Política de los Estados Unidos Mexicanos, publicado en el Diario Oficial de la Federación el 18 de junio de 2008, sino que ambos preceptos se complementan, atento al principio pro persona, pues el primero faculta al juzgador de primera instancia, aun en el sistema tradicional, a revisar la medida cautelar impuesta, basando la petición en un derecho vigente como lo es el artículo 19 constitucional, de modo que no existe aplicación retroactiva de la norma en perjuicio del quejoso sujeto a proceso, sino por el contrario, </w:t>
      </w:r>
      <w:r w:rsidRPr="00413995">
        <w:rPr>
          <w:rFonts w:ascii="Arial" w:hAnsi="Arial" w:cs="Arial"/>
          <w:sz w:val="18"/>
          <w:szCs w:val="18"/>
        </w:rPr>
        <w:lastRenderedPageBreak/>
        <w:t>ello redunda en su beneficio por aplicación del principio pro homine contenido en el artículo 1o. de la Constitución Federal, de la Convención Americana sobre Derechos Humanos y el Pacto Internacional de Derechos Civiles y Políticos, así como las jurisprudencias de la Corte Interamericana de Derechos Humanos, respecto a la prisión preventiva, en virtud de que del artículo quinto transitorio indicado, se advierte una clara intención del legislador de incorporar el marco constitucional al sistema procesal penal anterior, tratándose de la prisión preventiva, en beneficio de los imputados y atento a la mínima intromisión a los derechos humanos, todo esto, en aras de tutelar el derecho humano a la libertad personal y en observancia al artículo 1o. de la Constitución Federal, que establece que todas aquellas normas relativas a los derechos humanos deben interpretarse de conformidad con la Norma Máxima del Estado Mexicano y con los tratados internacionales de la materia, favoreciendo en todo momento a las per</w:t>
      </w:r>
      <w:r>
        <w:rPr>
          <w:rFonts w:ascii="Arial" w:hAnsi="Arial" w:cs="Arial"/>
          <w:sz w:val="18"/>
          <w:szCs w:val="18"/>
        </w:rPr>
        <w:t>sonas la protección más amplia.</w:t>
      </w:r>
    </w:p>
    <w:p w14:paraId="72A71B57" w14:textId="77777777" w:rsidR="00413995" w:rsidRPr="00413995" w:rsidRDefault="00413995" w:rsidP="00413995">
      <w:pPr>
        <w:spacing w:after="0" w:line="240" w:lineRule="auto"/>
        <w:jc w:val="both"/>
        <w:rPr>
          <w:rFonts w:ascii="Arial" w:hAnsi="Arial" w:cs="Arial"/>
          <w:sz w:val="18"/>
          <w:szCs w:val="18"/>
        </w:rPr>
      </w:pPr>
      <w:r w:rsidRPr="00413995">
        <w:rPr>
          <w:rFonts w:ascii="Arial" w:hAnsi="Arial" w:cs="Arial"/>
          <w:sz w:val="18"/>
          <w:szCs w:val="18"/>
        </w:rPr>
        <w:t>PRIMER TRIBUNAL COLEGIADO EN MAT</w:t>
      </w:r>
      <w:r>
        <w:rPr>
          <w:rFonts w:ascii="Arial" w:hAnsi="Arial" w:cs="Arial"/>
          <w:sz w:val="18"/>
          <w:szCs w:val="18"/>
        </w:rPr>
        <w:t>ERIA PENAL DEL PRIMER CIRCUITO.</w:t>
      </w:r>
    </w:p>
    <w:p w14:paraId="0FD0D224" w14:textId="77777777" w:rsidR="00413995" w:rsidRPr="00413995" w:rsidRDefault="00413995" w:rsidP="00413995">
      <w:pPr>
        <w:spacing w:after="0" w:line="240" w:lineRule="auto"/>
        <w:jc w:val="both"/>
        <w:rPr>
          <w:rFonts w:ascii="Arial" w:hAnsi="Arial" w:cs="Arial"/>
          <w:sz w:val="18"/>
          <w:szCs w:val="18"/>
        </w:rPr>
      </w:pPr>
      <w:r w:rsidRPr="00413995">
        <w:rPr>
          <w:rFonts w:ascii="Arial" w:hAnsi="Arial" w:cs="Arial"/>
          <w:sz w:val="18"/>
          <w:szCs w:val="18"/>
        </w:rPr>
        <w:t>Amparo en revisión 314/2016. 29 de mayo de 2017. Mayoría de votos. Disidente: Francisco Javier Sarabia Ascencio. Ponente: Horacio Armando Hernández Orozco. Secretario: Jorge Daniel Aguirre Barre</w:t>
      </w:r>
      <w:r>
        <w:rPr>
          <w:rFonts w:ascii="Arial" w:hAnsi="Arial" w:cs="Arial"/>
          <w:sz w:val="18"/>
          <w:szCs w:val="18"/>
        </w:rPr>
        <w:t>ra y Érika Jazmín Zárate Villa.</w:t>
      </w:r>
    </w:p>
    <w:p w14:paraId="591A7A88" w14:textId="77777777" w:rsidR="00413995" w:rsidRDefault="00413995" w:rsidP="00413995">
      <w:pPr>
        <w:spacing w:after="0" w:line="240" w:lineRule="auto"/>
        <w:jc w:val="both"/>
        <w:rPr>
          <w:rFonts w:ascii="Arial" w:hAnsi="Arial" w:cs="Arial"/>
          <w:sz w:val="18"/>
          <w:szCs w:val="18"/>
        </w:rPr>
      </w:pPr>
      <w:r w:rsidRPr="00413995">
        <w:rPr>
          <w:rFonts w:ascii="Arial" w:hAnsi="Arial" w:cs="Arial"/>
          <w:sz w:val="18"/>
          <w:szCs w:val="18"/>
        </w:rPr>
        <w:t>Nota: Por ejecutoria del 12 de diciembre de 2017, el Pleno en Materia Penal del Primer Circuito declaró sin materia la contradicción de tesis 10/2017 derivada de la denuncia de la que fue objeto el criterio contenido en esta tesis, al existir la jurisprudencia 1a./J. 74/2017 (10a.) que resuelve el mismo problema jurídico.</w:t>
      </w:r>
    </w:p>
    <w:p w14:paraId="67DB89DF" w14:textId="77777777" w:rsidR="00413995" w:rsidRDefault="00413995" w:rsidP="00413995">
      <w:pPr>
        <w:spacing w:after="0" w:line="240" w:lineRule="auto"/>
        <w:jc w:val="both"/>
        <w:rPr>
          <w:rFonts w:ascii="Arial" w:hAnsi="Arial" w:cs="Arial"/>
          <w:sz w:val="18"/>
          <w:szCs w:val="18"/>
        </w:rPr>
      </w:pPr>
    </w:p>
    <w:p w14:paraId="6C452160" w14:textId="77777777" w:rsidR="00413995" w:rsidRPr="00413995" w:rsidRDefault="00413995" w:rsidP="00413995">
      <w:pPr>
        <w:spacing w:after="0" w:line="240" w:lineRule="auto"/>
        <w:jc w:val="both"/>
        <w:rPr>
          <w:rFonts w:ascii="Arial" w:hAnsi="Arial" w:cs="Arial"/>
          <w:sz w:val="18"/>
          <w:szCs w:val="18"/>
        </w:rPr>
      </w:pPr>
      <w:r>
        <w:rPr>
          <w:rFonts w:ascii="Arial" w:hAnsi="Arial" w:cs="Arial"/>
          <w:sz w:val="18"/>
          <w:szCs w:val="18"/>
        </w:rPr>
        <w:t>Registro digital: 2013262</w:t>
      </w:r>
    </w:p>
    <w:p w14:paraId="331E5943" w14:textId="77777777" w:rsidR="00413995" w:rsidRPr="00413995" w:rsidRDefault="00413995" w:rsidP="00413995">
      <w:pPr>
        <w:spacing w:after="0" w:line="240" w:lineRule="auto"/>
        <w:jc w:val="both"/>
        <w:rPr>
          <w:rFonts w:ascii="Arial" w:hAnsi="Arial" w:cs="Arial"/>
          <w:sz w:val="18"/>
          <w:szCs w:val="18"/>
        </w:rPr>
      </w:pPr>
      <w:r w:rsidRPr="00413995">
        <w:rPr>
          <w:rFonts w:ascii="Arial" w:hAnsi="Arial" w:cs="Arial"/>
          <w:sz w:val="18"/>
          <w:szCs w:val="18"/>
        </w:rPr>
        <w:t>Instancia: Tr</w:t>
      </w:r>
      <w:r>
        <w:rPr>
          <w:rFonts w:ascii="Arial" w:hAnsi="Arial" w:cs="Arial"/>
          <w:sz w:val="18"/>
          <w:szCs w:val="18"/>
        </w:rPr>
        <w:t>ibunales Colegiados de Circuito</w:t>
      </w:r>
    </w:p>
    <w:p w14:paraId="2E531CB5" w14:textId="77777777" w:rsidR="00413995" w:rsidRPr="00413995" w:rsidRDefault="00413995" w:rsidP="00413995">
      <w:pPr>
        <w:spacing w:after="0" w:line="240" w:lineRule="auto"/>
        <w:jc w:val="both"/>
        <w:rPr>
          <w:rFonts w:ascii="Arial" w:hAnsi="Arial" w:cs="Arial"/>
          <w:sz w:val="18"/>
          <w:szCs w:val="18"/>
        </w:rPr>
      </w:pPr>
      <w:r w:rsidRPr="00413995">
        <w:rPr>
          <w:rFonts w:ascii="Arial" w:hAnsi="Arial" w:cs="Arial"/>
          <w:sz w:val="18"/>
          <w:szCs w:val="18"/>
        </w:rPr>
        <w:t xml:space="preserve">Décima </w:t>
      </w:r>
      <w:r>
        <w:rPr>
          <w:rFonts w:ascii="Arial" w:hAnsi="Arial" w:cs="Arial"/>
          <w:sz w:val="18"/>
          <w:szCs w:val="18"/>
        </w:rPr>
        <w:t>Época</w:t>
      </w:r>
    </w:p>
    <w:p w14:paraId="45811C87" w14:textId="77777777" w:rsidR="00413995" w:rsidRPr="00413995" w:rsidRDefault="00413995" w:rsidP="00413995">
      <w:pPr>
        <w:spacing w:after="0" w:line="240" w:lineRule="auto"/>
        <w:jc w:val="both"/>
        <w:rPr>
          <w:rFonts w:ascii="Arial" w:hAnsi="Arial" w:cs="Arial"/>
          <w:sz w:val="18"/>
          <w:szCs w:val="18"/>
        </w:rPr>
      </w:pPr>
      <w:r w:rsidRPr="00413995">
        <w:rPr>
          <w:rFonts w:ascii="Arial" w:hAnsi="Arial" w:cs="Arial"/>
          <w:sz w:val="18"/>
          <w:szCs w:val="18"/>
        </w:rPr>
        <w:t>Materia(s</w:t>
      </w:r>
      <w:r>
        <w:rPr>
          <w:rFonts w:ascii="Arial" w:hAnsi="Arial" w:cs="Arial"/>
          <w:sz w:val="18"/>
          <w:szCs w:val="18"/>
        </w:rPr>
        <w:t>): Constitucional, Penal, Común</w:t>
      </w:r>
    </w:p>
    <w:p w14:paraId="0530398B" w14:textId="77777777" w:rsidR="00413995" w:rsidRPr="00413995" w:rsidRDefault="00413995" w:rsidP="00413995">
      <w:pPr>
        <w:spacing w:after="0" w:line="240" w:lineRule="auto"/>
        <w:jc w:val="both"/>
        <w:rPr>
          <w:rFonts w:ascii="Arial" w:hAnsi="Arial" w:cs="Arial"/>
          <w:sz w:val="18"/>
          <w:szCs w:val="18"/>
        </w:rPr>
      </w:pPr>
      <w:r>
        <w:rPr>
          <w:rFonts w:ascii="Arial" w:hAnsi="Arial" w:cs="Arial"/>
          <w:sz w:val="18"/>
          <w:szCs w:val="18"/>
        </w:rPr>
        <w:t>Tesis: XXIII.8 P (10a.)</w:t>
      </w:r>
    </w:p>
    <w:p w14:paraId="261C3C73" w14:textId="77777777" w:rsidR="00413995" w:rsidRPr="00413995" w:rsidRDefault="00413995" w:rsidP="00413995">
      <w:pPr>
        <w:spacing w:after="0" w:line="240" w:lineRule="auto"/>
        <w:jc w:val="both"/>
        <w:rPr>
          <w:rFonts w:ascii="Arial" w:hAnsi="Arial" w:cs="Arial"/>
          <w:sz w:val="18"/>
          <w:szCs w:val="18"/>
        </w:rPr>
      </w:pPr>
      <w:r w:rsidRPr="00413995">
        <w:rPr>
          <w:rFonts w:ascii="Arial" w:hAnsi="Arial" w:cs="Arial"/>
          <w:sz w:val="18"/>
          <w:szCs w:val="18"/>
        </w:rPr>
        <w:t>Fuente: Gaceta del Semanario Judicial de la Federación.</w:t>
      </w:r>
    </w:p>
    <w:p w14:paraId="2447CF09" w14:textId="77777777" w:rsidR="00413995" w:rsidRPr="00413995" w:rsidRDefault="00413995" w:rsidP="00413995">
      <w:pPr>
        <w:spacing w:after="0" w:line="240" w:lineRule="auto"/>
        <w:jc w:val="both"/>
        <w:rPr>
          <w:rFonts w:ascii="Arial" w:hAnsi="Arial" w:cs="Arial"/>
          <w:sz w:val="18"/>
          <w:szCs w:val="18"/>
        </w:rPr>
      </w:pPr>
      <w:r w:rsidRPr="00413995">
        <w:rPr>
          <w:rFonts w:ascii="Arial" w:hAnsi="Arial" w:cs="Arial"/>
          <w:sz w:val="18"/>
          <w:szCs w:val="18"/>
        </w:rPr>
        <w:t>Libro 37, Diciembr</w:t>
      </w:r>
      <w:r>
        <w:rPr>
          <w:rFonts w:ascii="Arial" w:hAnsi="Arial" w:cs="Arial"/>
          <w:sz w:val="18"/>
          <w:szCs w:val="18"/>
        </w:rPr>
        <w:t>e de 2016, Tomo II, página 1734</w:t>
      </w:r>
    </w:p>
    <w:p w14:paraId="71DE5C24" w14:textId="77777777" w:rsidR="00413995" w:rsidRPr="00413995" w:rsidRDefault="00413995" w:rsidP="00413995">
      <w:pPr>
        <w:spacing w:after="0" w:line="240" w:lineRule="auto"/>
        <w:jc w:val="both"/>
        <w:rPr>
          <w:rFonts w:ascii="Arial" w:hAnsi="Arial" w:cs="Arial"/>
          <w:sz w:val="18"/>
          <w:szCs w:val="18"/>
        </w:rPr>
      </w:pPr>
      <w:r>
        <w:rPr>
          <w:rFonts w:ascii="Arial" w:hAnsi="Arial" w:cs="Arial"/>
          <w:sz w:val="18"/>
          <w:szCs w:val="18"/>
        </w:rPr>
        <w:t>Tipo: Aislada</w:t>
      </w:r>
    </w:p>
    <w:p w14:paraId="7A81C30A" w14:textId="77777777" w:rsidR="00413995" w:rsidRPr="00413995" w:rsidRDefault="00413995" w:rsidP="00413995">
      <w:pPr>
        <w:spacing w:after="0" w:line="240" w:lineRule="auto"/>
        <w:jc w:val="both"/>
        <w:rPr>
          <w:rFonts w:ascii="Arial" w:hAnsi="Arial" w:cs="Arial"/>
          <w:sz w:val="18"/>
          <w:szCs w:val="18"/>
        </w:rPr>
      </w:pPr>
      <w:r w:rsidRPr="00413995">
        <w:rPr>
          <w:rFonts w:ascii="Arial" w:hAnsi="Arial" w:cs="Arial"/>
          <w:sz w:val="18"/>
          <w:szCs w:val="18"/>
        </w:rPr>
        <w:t>DETERMINACIÓN DE LA SALA QUE DECLARA QUE ESTUVO MAL ADMITIDO EL RECURSO DE APELACIÓN PROMOVIDO POR EL ACUSADO CONTRA LA SENTENCIA DE PRIMERA INSTANCIA QUE LE IMPUSO PENA DE PRISIÓN. AUN CUANDO EL ARTÍCULO 17 DE LA LEY DE AMPARO NO PREVEA EXPRESAMENTE UN PLAZO PARA PRESENTAR LA DEMANDA CONTRA ESTA RESOLUCIÓN QUE PONE FIN AL JUICIO, A FIN DE GARANTIZAR EL ACCESO A UN RECURSO EFECTIVO, Y ARMONIZANDO EL PRINCIPIO PRO PERSONA CON EL DERECHO HUMANO AL ACCESO REAL, COMPLETO Y EFECTIVO A LA JUSTICIA, AQUÉLLA DEBE PRESENTARSE DENTR</w:t>
      </w:r>
      <w:r>
        <w:rPr>
          <w:rFonts w:ascii="Arial" w:hAnsi="Arial" w:cs="Arial"/>
          <w:sz w:val="18"/>
          <w:szCs w:val="18"/>
        </w:rPr>
        <w:t>O DEL PLAZO DE HASTA OCHO AÑOS.</w:t>
      </w:r>
    </w:p>
    <w:p w14:paraId="5F246179" w14:textId="77777777" w:rsidR="00413995" w:rsidRPr="00413995" w:rsidRDefault="00413995" w:rsidP="00413995">
      <w:pPr>
        <w:spacing w:after="0" w:line="240" w:lineRule="auto"/>
        <w:jc w:val="both"/>
        <w:rPr>
          <w:rFonts w:ascii="Arial" w:hAnsi="Arial" w:cs="Arial"/>
          <w:sz w:val="18"/>
          <w:szCs w:val="18"/>
        </w:rPr>
      </w:pPr>
      <w:r w:rsidRPr="00413995">
        <w:rPr>
          <w:rFonts w:ascii="Arial" w:hAnsi="Arial" w:cs="Arial"/>
          <w:sz w:val="18"/>
          <w:szCs w:val="18"/>
        </w:rPr>
        <w:t>Si bien es cierto que el artículo 17 de la Ley de Amparo establece diversas hipótesis y plazos para la presentación de la demanda de amparo, también lo es que no prevé expresamente el supuesto relativo a que se reclame una resolución que ponga fin al juicio, como aquella en la que la Sala declaró mal admitido (por ser extemporáneo) el recurso de apelación promovido por el sentenciado contra la sentencia de primera instancia que le impuso pena de prisión, y que lo afectó en su libertad personal. En este contexto, si tal acto es reclamable en amparo directo, debe prevalecer la interpretación más amplia, a fin de garantizar el acceso pleno del quejoso a un recurso efectivo, así como armonizar el principio pro persona con su derecho humano al acceso real, completo y efectivo a la administración de justicia, al verse desprotegido de controvertir la resolución que puso fin al juicio; por lo que aun cuando el precepto citado no prevea expresamente un plazo para presentar la demanda contra ese tipo de resolución, debe hacerse dentro del plazo de hasta ocho años, previsto en la fracción II del artículo 17 mencionado, que es una excepc</w:t>
      </w:r>
      <w:r>
        <w:rPr>
          <w:rFonts w:ascii="Arial" w:hAnsi="Arial" w:cs="Arial"/>
          <w:sz w:val="18"/>
          <w:szCs w:val="18"/>
        </w:rPr>
        <w:t>ión al genérico de quince días.</w:t>
      </w:r>
    </w:p>
    <w:p w14:paraId="11BC4F21" w14:textId="77777777" w:rsidR="00413995" w:rsidRPr="00413995" w:rsidRDefault="00413995" w:rsidP="00413995">
      <w:pPr>
        <w:spacing w:after="0" w:line="240" w:lineRule="auto"/>
        <w:jc w:val="both"/>
        <w:rPr>
          <w:rFonts w:ascii="Arial" w:hAnsi="Arial" w:cs="Arial"/>
          <w:sz w:val="18"/>
          <w:szCs w:val="18"/>
        </w:rPr>
      </w:pPr>
      <w:r w:rsidRPr="00413995">
        <w:rPr>
          <w:rFonts w:ascii="Arial" w:hAnsi="Arial" w:cs="Arial"/>
          <w:sz w:val="18"/>
          <w:szCs w:val="18"/>
        </w:rPr>
        <w:t>TRIBUNAL COLEGIAD</w:t>
      </w:r>
      <w:r>
        <w:rPr>
          <w:rFonts w:ascii="Arial" w:hAnsi="Arial" w:cs="Arial"/>
          <w:sz w:val="18"/>
          <w:szCs w:val="18"/>
        </w:rPr>
        <w:t>O DEL VIGÉSIMO TERCER CIRCUITO.</w:t>
      </w:r>
    </w:p>
    <w:p w14:paraId="0034553F" w14:textId="77777777" w:rsidR="00413995" w:rsidRDefault="00413995" w:rsidP="00413995">
      <w:pPr>
        <w:spacing w:after="0" w:line="240" w:lineRule="auto"/>
        <w:jc w:val="both"/>
        <w:rPr>
          <w:rFonts w:ascii="Arial" w:hAnsi="Arial" w:cs="Arial"/>
          <w:sz w:val="18"/>
          <w:szCs w:val="18"/>
        </w:rPr>
      </w:pPr>
      <w:r w:rsidRPr="00413995">
        <w:rPr>
          <w:rFonts w:ascii="Arial" w:hAnsi="Arial" w:cs="Arial"/>
          <w:sz w:val="18"/>
          <w:szCs w:val="18"/>
        </w:rPr>
        <w:t>Amparo directo 983/2015. 7 de julio de 2016. Unanimidad de votos. Ponente: Héctor Martínez Flores. Secretario: Jesús David Alvarado Barbosa.</w:t>
      </w:r>
    </w:p>
    <w:p w14:paraId="72B70476" w14:textId="77777777" w:rsidR="00413995" w:rsidRDefault="00413995" w:rsidP="00413995">
      <w:pPr>
        <w:spacing w:after="0" w:line="240" w:lineRule="auto"/>
        <w:jc w:val="both"/>
        <w:rPr>
          <w:rFonts w:ascii="Arial" w:hAnsi="Arial" w:cs="Arial"/>
          <w:sz w:val="18"/>
          <w:szCs w:val="18"/>
        </w:rPr>
      </w:pPr>
    </w:p>
    <w:p w14:paraId="72331402" w14:textId="77777777" w:rsidR="00413995" w:rsidRPr="00413995" w:rsidRDefault="00413995" w:rsidP="00413995">
      <w:pPr>
        <w:spacing w:after="0" w:line="240" w:lineRule="auto"/>
        <w:jc w:val="both"/>
        <w:rPr>
          <w:rFonts w:ascii="Arial" w:hAnsi="Arial" w:cs="Arial"/>
          <w:sz w:val="18"/>
          <w:szCs w:val="18"/>
        </w:rPr>
      </w:pPr>
      <w:r>
        <w:rPr>
          <w:rFonts w:ascii="Arial" w:hAnsi="Arial" w:cs="Arial"/>
          <w:sz w:val="18"/>
          <w:szCs w:val="18"/>
        </w:rPr>
        <w:t>Registro digital: 2011796</w:t>
      </w:r>
    </w:p>
    <w:p w14:paraId="2C938398" w14:textId="77777777" w:rsidR="00413995" w:rsidRPr="00413995" w:rsidRDefault="00413995" w:rsidP="00413995">
      <w:pPr>
        <w:spacing w:after="0" w:line="240" w:lineRule="auto"/>
        <w:jc w:val="both"/>
        <w:rPr>
          <w:rFonts w:ascii="Arial" w:hAnsi="Arial" w:cs="Arial"/>
          <w:sz w:val="18"/>
          <w:szCs w:val="18"/>
        </w:rPr>
      </w:pPr>
      <w:r w:rsidRPr="00413995">
        <w:rPr>
          <w:rFonts w:ascii="Arial" w:hAnsi="Arial" w:cs="Arial"/>
          <w:sz w:val="18"/>
          <w:szCs w:val="18"/>
        </w:rPr>
        <w:t>Instancia: Tr</w:t>
      </w:r>
      <w:r>
        <w:rPr>
          <w:rFonts w:ascii="Arial" w:hAnsi="Arial" w:cs="Arial"/>
          <w:sz w:val="18"/>
          <w:szCs w:val="18"/>
        </w:rPr>
        <w:t>ibunales Colegiados de Circuito</w:t>
      </w:r>
    </w:p>
    <w:p w14:paraId="322C233B" w14:textId="77777777" w:rsidR="00413995" w:rsidRPr="00413995" w:rsidRDefault="00413995" w:rsidP="00413995">
      <w:pPr>
        <w:spacing w:after="0" w:line="240" w:lineRule="auto"/>
        <w:jc w:val="both"/>
        <w:rPr>
          <w:rFonts w:ascii="Arial" w:hAnsi="Arial" w:cs="Arial"/>
          <w:sz w:val="18"/>
          <w:szCs w:val="18"/>
        </w:rPr>
      </w:pPr>
      <w:r>
        <w:rPr>
          <w:rFonts w:ascii="Arial" w:hAnsi="Arial" w:cs="Arial"/>
          <w:sz w:val="18"/>
          <w:szCs w:val="18"/>
        </w:rPr>
        <w:t>Décima Época</w:t>
      </w:r>
    </w:p>
    <w:p w14:paraId="62504D12" w14:textId="77777777" w:rsidR="00413995" w:rsidRPr="00413995" w:rsidRDefault="00413995" w:rsidP="00413995">
      <w:pPr>
        <w:spacing w:after="0" w:line="240" w:lineRule="auto"/>
        <w:jc w:val="both"/>
        <w:rPr>
          <w:rFonts w:ascii="Arial" w:hAnsi="Arial" w:cs="Arial"/>
          <w:sz w:val="18"/>
          <w:szCs w:val="18"/>
        </w:rPr>
      </w:pPr>
      <w:r w:rsidRPr="00413995">
        <w:rPr>
          <w:rFonts w:ascii="Arial" w:hAnsi="Arial" w:cs="Arial"/>
          <w:sz w:val="18"/>
          <w:szCs w:val="18"/>
        </w:rPr>
        <w:t>Materia(s</w:t>
      </w:r>
      <w:r>
        <w:rPr>
          <w:rFonts w:ascii="Arial" w:hAnsi="Arial" w:cs="Arial"/>
          <w:sz w:val="18"/>
          <w:szCs w:val="18"/>
        </w:rPr>
        <w:t>): Constitucional, Penal, Común</w:t>
      </w:r>
    </w:p>
    <w:p w14:paraId="3DA9A60C" w14:textId="77777777" w:rsidR="00413995" w:rsidRPr="00413995" w:rsidRDefault="00413995" w:rsidP="00413995">
      <w:pPr>
        <w:spacing w:after="0" w:line="240" w:lineRule="auto"/>
        <w:jc w:val="both"/>
        <w:rPr>
          <w:rFonts w:ascii="Arial" w:hAnsi="Arial" w:cs="Arial"/>
          <w:sz w:val="18"/>
          <w:szCs w:val="18"/>
        </w:rPr>
      </w:pPr>
      <w:r>
        <w:rPr>
          <w:rFonts w:ascii="Arial" w:hAnsi="Arial" w:cs="Arial"/>
          <w:sz w:val="18"/>
          <w:szCs w:val="18"/>
        </w:rPr>
        <w:t>Tesis: I.1o.P. J/2 (10a.)</w:t>
      </w:r>
    </w:p>
    <w:p w14:paraId="3053F386" w14:textId="77777777" w:rsidR="00413995" w:rsidRPr="00413995" w:rsidRDefault="00413995" w:rsidP="00413995">
      <w:pPr>
        <w:spacing w:after="0" w:line="240" w:lineRule="auto"/>
        <w:jc w:val="both"/>
        <w:rPr>
          <w:rFonts w:ascii="Arial" w:hAnsi="Arial" w:cs="Arial"/>
          <w:sz w:val="18"/>
          <w:szCs w:val="18"/>
        </w:rPr>
      </w:pPr>
      <w:r w:rsidRPr="00413995">
        <w:rPr>
          <w:rFonts w:ascii="Arial" w:hAnsi="Arial" w:cs="Arial"/>
          <w:sz w:val="18"/>
          <w:szCs w:val="18"/>
        </w:rPr>
        <w:t>Fuente: Gaceta del Semanario Judicial de la Federación.</w:t>
      </w:r>
    </w:p>
    <w:p w14:paraId="1FB23B5E" w14:textId="77777777" w:rsidR="00413995" w:rsidRPr="00413995" w:rsidRDefault="00413995" w:rsidP="00413995">
      <w:pPr>
        <w:spacing w:after="0" w:line="240" w:lineRule="auto"/>
        <w:jc w:val="both"/>
        <w:rPr>
          <w:rFonts w:ascii="Arial" w:hAnsi="Arial" w:cs="Arial"/>
          <w:sz w:val="18"/>
          <w:szCs w:val="18"/>
        </w:rPr>
      </w:pPr>
      <w:r w:rsidRPr="00413995">
        <w:rPr>
          <w:rFonts w:ascii="Arial" w:hAnsi="Arial" w:cs="Arial"/>
          <w:sz w:val="18"/>
          <w:szCs w:val="18"/>
        </w:rPr>
        <w:t>Libro 31, Juni</w:t>
      </w:r>
      <w:r>
        <w:rPr>
          <w:rFonts w:ascii="Arial" w:hAnsi="Arial" w:cs="Arial"/>
          <w:sz w:val="18"/>
          <w:szCs w:val="18"/>
        </w:rPr>
        <w:t>o de 2016, Tomo IV, página 2599</w:t>
      </w:r>
    </w:p>
    <w:p w14:paraId="139C36E7" w14:textId="77777777" w:rsidR="00413995" w:rsidRPr="00413995" w:rsidRDefault="00413995" w:rsidP="00413995">
      <w:pPr>
        <w:spacing w:after="0" w:line="240" w:lineRule="auto"/>
        <w:jc w:val="both"/>
        <w:rPr>
          <w:rFonts w:ascii="Arial" w:hAnsi="Arial" w:cs="Arial"/>
          <w:sz w:val="18"/>
          <w:szCs w:val="18"/>
        </w:rPr>
      </w:pPr>
      <w:r>
        <w:rPr>
          <w:rFonts w:ascii="Arial" w:hAnsi="Arial" w:cs="Arial"/>
          <w:sz w:val="18"/>
          <w:szCs w:val="18"/>
        </w:rPr>
        <w:t>Tipo: Jurisprudencia</w:t>
      </w:r>
    </w:p>
    <w:p w14:paraId="6AF306C5" w14:textId="77777777" w:rsidR="00413995" w:rsidRPr="00413995" w:rsidRDefault="00413995" w:rsidP="00413995">
      <w:pPr>
        <w:spacing w:after="0" w:line="240" w:lineRule="auto"/>
        <w:jc w:val="both"/>
        <w:rPr>
          <w:rFonts w:ascii="Arial" w:hAnsi="Arial" w:cs="Arial"/>
          <w:sz w:val="18"/>
          <w:szCs w:val="18"/>
        </w:rPr>
      </w:pPr>
      <w:r w:rsidRPr="00413995">
        <w:rPr>
          <w:rFonts w:ascii="Arial" w:hAnsi="Arial" w:cs="Arial"/>
          <w:sz w:val="18"/>
          <w:szCs w:val="18"/>
        </w:rPr>
        <w:t>INDIVIDUALIZACIÓN DE LA PENA. LA INCONSTITUCIONALIDAD DE LA PORCIÓN NORMATIVA DEL ÚLTIMO PÁRRAFO DEL ARTÍCULO 72 DEL CÓDIGO PENAL PARA EL DISTRITO FEDERAL, DECLARADA POR LA PRIMERA SALA DE LA SUPREMA CORTE DE JUSTICIA DE LA NACIÓN, QUE ORIGINÓ LA JURISPRUDENCIA 1a./J. 20/2014 (10a.), NO ES APLICABLE EN BENEFICIO DE LOS SENTENCIADOS A LOS QUE SE LES TOMÓ EN CONSIDERACIÓN SU ESTUDIO DE PERSONALIDAD PARA GRADUAR SU CULPABILIDAD, NI CON BASE EN EL PRINCIPIO PRO PE</w:t>
      </w:r>
      <w:r>
        <w:rPr>
          <w:rFonts w:ascii="Arial" w:hAnsi="Arial" w:cs="Arial"/>
          <w:sz w:val="18"/>
          <w:szCs w:val="18"/>
        </w:rPr>
        <w:t>RSONA, AL EXISTIR COSA JUZGADA.</w:t>
      </w:r>
    </w:p>
    <w:p w14:paraId="08579F04" w14:textId="77777777" w:rsidR="00413995" w:rsidRPr="00413995" w:rsidRDefault="00413995" w:rsidP="00413995">
      <w:pPr>
        <w:spacing w:after="0" w:line="240" w:lineRule="auto"/>
        <w:jc w:val="both"/>
        <w:rPr>
          <w:rFonts w:ascii="Arial" w:hAnsi="Arial" w:cs="Arial"/>
          <w:sz w:val="18"/>
          <w:szCs w:val="18"/>
        </w:rPr>
      </w:pPr>
      <w:r w:rsidRPr="00413995">
        <w:rPr>
          <w:rFonts w:ascii="Arial" w:hAnsi="Arial" w:cs="Arial"/>
          <w:sz w:val="18"/>
          <w:szCs w:val="18"/>
        </w:rPr>
        <w:t xml:space="preserve">La porción normativa del último párrafo del artículo 72 del Código Penal para el Distrito Federal, que permitía a la autoridad responsable tomar en cuenta los estudios de personalidad para graduar la penalidad, fue declarada inconstitucional por la Primera Sala de la Suprema Corte de Justicia de la Nación, bajo el argumento de que nuestro orden jurídico se decanta por el paradigma del derecho penal del acto y rechaza a su opuesto, el derecho penal del autor; además, porque de acuerdo con el principio de legalidad, ninguna persona puede ser castigada por quien es, sino únicamente por las conductas delictivas que comprobadamente comete; criterio que originó la jurisprudencia 1a./J. 20/2014 (10a.), publicada en el Semanario Judicial de la Federación del viernes 14 de marzo de 2014 a las 9:53 horas y en la Gaceta del Semanario Judicial de la Federación, Décima Época, Libro 4, Tomo I, marzo de 2014, página 376, de título y subtítulo: "INDIVIDUALIZACIÓN DE LA PENA TRATÁNDOSE DE DELITO NO CULPOSO. EL JUZGADOR NO DEBE TOMAR EN CONSIDERACIÓN LOS DICTÁMENES PERICIALES TENDENTES A CONOCER LA PERSONALIDAD DEL INCULPADO (LEGISLACIÓN DEL DISTRITO FEDERAL) [INTERRUPCIÓN DE LA JURISPRUDENCIA 1a./J. 175/2007].". Ahora bien, la inconstitucionalidad de la mencionada porción normativa es inaplicable en beneficio de quienes han sido </w:t>
      </w:r>
      <w:r w:rsidRPr="00413995">
        <w:rPr>
          <w:rFonts w:ascii="Arial" w:hAnsi="Arial" w:cs="Arial"/>
          <w:sz w:val="18"/>
          <w:szCs w:val="18"/>
        </w:rPr>
        <w:lastRenderedPageBreak/>
        <w:t xml:space="preserve">sentenciados y que, en su momento, para graduar su culpabilidad se tomó en consideración el estudio de personalidad practicado en el proceso, incidiendo en la pena impuesta en la sentencia definitiva dictada en su contra, pues no debe emprenderse una reevaluación del grado de culpabilidad determinado al sentenciado, toda vez que esa cuestión ya fue resuelta definitivamente desde antes de que se cambiara y estableciera el nuevo criterio de la Suprema Corte, de modo que no resulta admisible aplicar la nueva interpretación de la ley a una situación que ya tiene el carácter de cosa juzgada. Por tanto, cuando no se está en los supuestos que permiten emprender una adecuación de la pena, sino ante la pretensión de aplicar un criterio de jurisprudencia -que efectúa una nueva interpretación de la ley-, a un caso que ya ha sido resuelto definitivamente, no procede hacer esa aplicación, ni siquiera con base en el principio pro persona, pues para llevar a cabo un ejercicio de interpretación más favorable al gobernado, debe estarse en una fase procesal que permita la aplicación de dicha interpretación, ya que, de no ser así, el aludido principio no implica dejar de observar, entre otros, el de cosa juzgada </w:t>
      </w:r>
      <w:r>
        <w:rPr>
          <w:rFonts w:ascii="Arial" w:hAnsi="Arial" w:cs="Arial"/>
          <w:sz w:val="18"/>
          <w:szCs w:val="18"/>
        </w:rPr>
        <w:t>que impera en el caso concreto.</w:t>
      </w:r>
    </w:p>
    <w:p w14:paraId="247C2237" w14:textId="77777777" w:rsidR="00413995" w:rsidRPr="00413995" w:rsidRDefault="00413995" w:rsidP="00413995">
      <w:pPr>
        <w:spacing w:after="0" w:line="240" w:lineRule="auto"/>
        <w:jc w:val="both"/>
        <w:rPr>
          <w:rFonts w:ascii="Arial" w:hAnsi="Arial" w:cs="Arial"/>
          <w:sz w:val="18"/>
          <w:szCs w:val="18"/>
        </w:rPr>
      </w:pPr>
      <w:r w:rsidRPr="00413995">
        <w:rPr>
          <w:rFonts w:ascii="Arial" w:hAnsi="Arial" w:cs="Arial"/>
          <w:sz w:val="18"/>
          <w:szCs w:val="18"/>
        </w:rPr>
        <w:t>PRIMER TRIBUNAL COLEGIADO EN MAT</w:t>
      </w:r>
      <w:r>
        <w:rPr>
          <w:rFonts w:ascii="Arial" w:hAnsi="Arial" w:cs="Arial"/>
          <w:sz w:val="18"/>
          <w:szCs w:val="18"/>
        </w:rPr>
        <w:t>ERIA PENAL DEL PRIMER CIRCUITO.</w:t>
      </w:r>
    </w:p>
    <w:p w14:paraId="49394F94" w14:textId="77777777" w:rsidR="00413995" w:rsidRPr="00413995" w:rsidRDefault="00413995" w:rsidP="00413995">
      <w:pPr>
        <w:spacing w:after="0" w:line="240" w:lineRule="auto"/>
        <w:jc w:val="both"/>
        <w:rPr>
          <w:rFonts w:ascii="Arial" w:hAnsi="Arial" w:cs="Arial"/>
          <w:sz w:val="18"/>
          <w:szCs w:val="18"/>
        </w:rPr>
      </w:pPr>
      <w:r w:rsidRPr="00413995">
        <w:rPr>
          <w:rFonts w:ascii="Arial" w:hAnsi="Arial" w:cs="Arial"/>
          <w:sz w:val="18"/>
          <w:szCs w:val="18"/>
        </w:rPr>
        <w:t xml:space="preserve">Amparo en revisión 274/2015. 4 de diciembre de 2015. Unanimidad de votos. Ponente: Ricardo Paredes Calderón. </w:t>
      </w:r>
      <w:r>
        <w:rPr>
          <w:rFonts w:ascii="Arial" w:hAnsi="Arial" w:cs="Arial"/>
          <w:sz w:val="18"/>
          <w:szCs w:val="18"/>
        </w:rPr>
        <w:t>Secretario: Alan Güereña Leyva.</w:t>
      </w:r>
    </w:p>
    <w:p w14:paraId="36AEB210" w14:textId="77777777" w:rsidR="00413995" w:rsidRPr="00413995" w:rsidRDefault="00413995" w:rsidP="00413995">
      <w:pPr>
        <w:spacing w:after="0" w:line="240" w:lineRule="auto"/>
        <w:jc w:val="both"/>
        <w:rPr>
          <w:rFonts w:ascii="Arial" w:hAnsi="Arial" w:cs="Arial"/>
          <w:sz w:val="18"/>
          <w:szCs w:val="18"/>
        </w:rPr>
      </w:pPr>
      <w:r w:rsidRPr="00413995">
        <w:rPr>
          <w:rFonts w:ascii="Arial" w:hAnsi="Arial" w:cs="Arial"/>
          <w:sz w:val="18"/>
          <w:szCs w:val="18"/>
        </w:rPr>
        <w:t>Amparo en revisión 283/2015. 14 de enero de 2016. Unanimidad de votos. Ponente: Ricardo Paredes Calderón. Secretaria: Xucotzin Karla Montes Orte</w:t>
      </w:r>
      <w:r>
        <w:rPr>
          <w:rFonts w:ascii="Arial" w:hAnsi="Arial" w:cs="Arial"/>
          <w:sz w:val="18"/>
          <w:szCs w:val="18"/>
        </w:rPr>
        <w:t>ga.</w:t>
      </w:r>
    </w:p>
    <w:p w14:paraId="66F1ECB9" w14:textId="77777777" w:rsidR="00413995" w:rsidRPr="00413995" w:rsidRDefault="00413995" w:rsidP="00413995">
      <w:pPr>
        <w:spacing w:after="0" w:line="240" w:lineRule="auto"/>
        <w:jc w:val="both"/>
        <w:rPr>
          <w:rFonts w:ascii="Arial" w:hAnsi="Arial" w:cs="Arial"/>
          <w:sz w:val="18"/>
          <w:szCs w:val="18"/>
        </w:rPr>
      </w:pPr>
      <w:r w:rsidRPr="00413995">
        <w:rPr>
          <w:rFonts w:ascii="Arial" w:hAnsi="Arial" w:cs="Arial"/>
          <w:sz w:val="18"/>
          <w:szCs w:val="18"/>
        </w:rPr>
        <w:t>Amparo en revisión 301/2015. 14 de enero de 2016. Unanimidad de votos. Ponente: Francisco Javier Sarabia Ascencio. Secretario</w:t>
      </w:r>
      <w:r>
        <w:rPr>
          <w:rFonts w:ascii="Arial" w:hAnsi="Arial" w:cs="Arial"/>
          <w:sz w:val="18"/>
          <w:szCs w:val="18"/>
        </w:rPr>
        <w:t>: Edwin Antony Pazol Rodríguez.</w:t>
      </w:r>
    </w:p>
    <w:p w14:paraId="6A135809" w14:textId="77777777" w:rsidR="00413995" w:rsidRPr="00413995" w:rsidRDefault="00413995" w:rsidP="00413995">
      <w:pPr>
        <w:spacing w:after="0" w:line="240" w:lineRule="auto"/>
        <w:jc w:val="both"/>
        <w:rPr>
          <w:rFonts w:ascii="Arial" w:hAnsi="Arial" w:cs="Arial"/>
          <w:sz w:val="18"/>
          <w:szCs w:val="18"/>
        </w:rPr>
      </w:pPr>
      <w:r w:rsidRPr="00413995">
        <w:rPr>
          <w:rFonts w:ascii="Arial" w:hAnsi="Arial" w:cs="Arial"/>
          <w:sz w:val="18"/>
          <w:szCs w:val="18"/>
        </w:rPr>
        <w:t>Amparo en revisión 319/2015. 4 de febrero de 2016. Unanimidad de votos. Ponente: José Luis Villa Jiménez. Secretaria</w:t>
      </w:r>
      <w:r>
        <w:rPr>
          <w:rFonts w:ascii="Arial" w:hAnsi="Arial" w:cs="Arial"/>
          <w:sz w:val="18"/>
          <w:szCs w:val="18"/>
        </w:rPr>
        <w:t>: María Juana Hernández García.</w:t>
      </w:r>
    </w:p>
    <w:p w14:paraId="03254184" w14:textId="77777777" w:rsidR="00413995" w:rsidRPr="00413995" w:rsidRDefault="00413995" w:rsidP="00413995">
      <w:pPr>
        <w:spacing w:after="0" w:line="240" w:lineRule="auto"/>
        <w:jc w:val="both"/>
        <w:rPr>
          <w:rFonts w:ascii="Arial" w:hAnsi="Arial" w:cs="Arial"/>
          <w:sz w:val="18"/>
          <w:szCs w:val="18"/>
        </w:rPr>
      </w:pPr>
      <w:r w:rsidRPr="00413995">
        <w:rPr>
          <w:rFonts w:ascii="Arial" w:hAnsi="Arial" w:cs="Arial"/>
          <w:sz w:val="18"/>
          <w:szCs w:val="18"/>
        </w:rPr>
        <w:t>Amparo en revisión 350/2015. 2 de marzo de 2016. Unanimidad de votos. Ponente: Ricardo Paredes Calderón. Secretario: J</w:t>
      </w:r>
      <w:r>
        <w:rPr>
          <w:rFonts w:ascii="Arial" w:hAnsi="Arial" w:cs="Arial"/>
          <w:sz w:val="18"/>
          <w:szCs w:val="18"/>
        </w:rPr>
        <w:t>orge Emmanuel Aguilar Irigoyen.</w:t>
      </w:r>
    </w:p>
    <w:p w14:paraId="474F1C2D" w14:textId="77777777" w:rsidR="00413995" w:rsidRPr="00413995" w:rsidRDefault="00413995" w:rsidP="00413995">
      <w:pPr>
        <w:spacing w:after="0" w:line="240" w:lineRule="auto"/>
        <w:jc w:val="both"/>
        <w:rPr>
          <w:rFonts w:ascii="Arial" w:hAnsi="Arial" w:cs="Arial"/>
          <w:sz w:val="18"/>
          <w:szCs w:val="18"/>
        </w:rPr>
      </w:pPr>
      <w:r w:rsidRPr="00413995">
        <w:rPr>
          <w:rFonts w:ascii="Arial" w:hAnsi="Arial" w:cs="Arial"/>
          <w:sz w:val="18"/>
          <w:szCs w:val="18"/>
        </w:rPr>
        <w:t xml:space="preserve">Nota: Esta tesis fue objeto de la denuncia relativa a la contradicción de tesis 1/2016 del Pleno en Materia Penal del Primer Circuito de la que derivó la tesis jurisprudencial PC.I.P. J/25 P (10a.) de título y subtítulo: "INDIVIDUALIZACIÓN DE LA PENA. CONFORME A LOS PRINCIPIOS DE COSA JUZGADA Y DE SEGURIDAD JURÍDICA, ES INAPLICABLE LA JURISPRUDENCIA 1a./J. 20/2014 (10a.) DE LA PRIMERA SALA DE LA SUPREMA CORTE DE JUSTICIA DE LA NACIÓN, PARA REINDIVIDUALIZAR LA SANCIÓN, SI YA </w:t>
      </w:r>
      <w:r>
        <w:rPr>
          <w:rFonts w:ascii="Arial" w:hAnsi="Arial" w:cs="Arial"/>
          <w:sz w:val="18"/>
          <w:szCs w:val="18"/>
        </w:rPr>
        <w:t>EXISTE SENTENCIA EJECUTORIADA."</w:t>
      </w:r>
    </w:p>
    <w:p w14:paraId="40F8BF2B" w14:textId="77777777" w:rsidR="00413995" w:rsidRPr="00413995" w:rsidRDefault="00413995" w:rsidP="00413995">
      <w:pPr>
        <w:spacing w:after="0" w:line="240" w:lineRule="auto"/>
        <w:jc w:val="both"/>
        <w:rPr>
          <w:rFonts w:ascii="Arial" w:hAnsi="Arial" w:cs="Arial"/>
          <w:sz w:val="18"/>
          <w:szCs w:val="18"/>
        </w:rPr>
      </w:pPr>
      <w:r w:rsidRPr="00413995">
        <w:rPr>
          <w:rFonts w:ascii="Arial" w:hAnsi="Arial" w:cs="Arial"/>
          <w:sz w:val="18"/>
          <w:szCs w:val="18"/>
        </w:rPr>
        <w:t>Por ejecutoria del 19 de junio de 2018, el Pleno en Materia Penal del Primer Circuito declaró inexistente la contradicción de tesis 5/2018 derivada de la denuncia de la que fue objeto el criterio contenido en esta tesis, al estimarse que no son discrepantes los criterios mat</w:t>
      </w:r>
      <w:r>
        <w:rPr>
          <w:rFonts w:ascii="Arial" w:hAnsi="Arial" w:cs="Arial"/>
          <w:sz w:val="18"/>
          <w:szCs w:val="18"/>
        </w:rPr>
        <w:t>eria de la denuncia respectiva.</w:t>
      </w:r>
    </w:p>
    <w:p w14:paraId="21CAB6C8" w14:textId="77777777" w:rsidR="00413995" w:rsidRPr="00413995" w:rsidRDefault="00413995" w:rsidP="00413995">
      <w:pPr>
        <w:spacing w:after="0" w:line="240" w:lineRule="auto"/>
        <w:jc w:val="both"/>
        <w:rPr>
          <w:rFonts w:ascii="Arial" w:hAnsi="Arial" w:cs="Arial"/>
          <w:sz w:val="18"/>
          <w:szCs w:val="18"/>
        </w:rPr>
      </w:pPr>
      <w:r w:rsidRPr="00413995">
        <w:rPr>
          <w:rFonts w:ascii="Arial" w:hAnsi="Arial" w:cs="Arial"/>
          <w:sz w:val="18"/>
          <w:szCs w:val="18"/>
        </w:rPr>
        <w:t>Esta tesis se publicó el viernes 03 de junio de 2016 a las 10:03 horas en el Semanario Judicial de la Federación y, por ende, se considera de aplicación obligatoria a partir del lunes 06 de junio de 2016, para los efectos previstos en el punto séptimo del Acuerdo General Plenario 19/2013.</w:t>
      </w:r>
    </w:p>
    <w:p w14:paraId="78D2C82E" w14:textId="77777777" w:rsidR="00413995" w:rsidRDefault="00413995" w:rsidP="00413995">
      <w:pPr>
        <w:spacing w:after="0" w:line="240" w:lineRule="auto"/>
        <w:jc w:val="both"/>
        <w:rPr>
          <w:rFonts w:ascii="Arial" w:hAnsi="Arial" w:cs="Arial"/>
          <w:sz w:val="18"/>
          <w:szCs w:val="18"/>
        </w:rPr>
      </w:pPr>
    </w:p>
    <w:p w14:paraId="49568F63" w14:textId="77777777" w:rsidR="00413995" w:rsidRPr="00413995" w:rsidRDefault="00413995" w:rsidP="00413995">
      <w:pPr>
        <w:spacing w:after="0" w:line="240" w:lineRule="auto"/>
        <w:jc w:val="both"/>
        <w:rPr>
          <w:rFonts w:ascii="Arial" w:hAnsi="Arial" w:cs="Arial"/>
          <w:sz w:val="18"/>
          <w:szCs w:val="18"/>
        </w:rPr>
      </w:pPr>
      <w:r w:rsidRPr="00413995">
        <w:rPr>
          <w:rFonts w:ascii="Arial" w:hAnsi="Arial" w:cs="Arial"/>
          <w:sz w:val="18"/>
          <w:szCs w:val="18"/>
        </w:rPr>
        <w:t>Regis</w:t>
      </w:r>
      <w:r>
        <w:rPr>
          <w:rFonts w:ascii="Arial" w:hAnsi="Arial" w:cs="Arial"/>
          <w:sz w:val="18"/>
          <w:szCs w:val="18"/>
        </w:rPr>
        <w:t>tro digital: 2010905</w:t>
      </w:r>
    </w:p>
    <w:p w14:paraId="18C79A6A" w14:textId="77777777" w:rsidR="00413995" w:rsidRPr="00413995" w:rsidRDefault="00413995" w:rsidP="00413995">
      <w:pPr>
        <w:spacing w:after="0" w:line="240" w:lineRule="auto"/>
        <w:jc w:val="both"/>
        <w:rPr>
          <w:rFonts w:ascii="Arial" w:hAnsi="Arial" w:cs="Arial"/>
          <w:sz w:val="18"/>
          <w:szCs w:val="18"/>
        </w:rPr>
      </w:pPr>
      <w:r w:rsidRPr="00413995">
        <w:rPr>
          <w:rFonts w:ascii="Arial" w:hAnsi="Arial" w:cs="Arial"/>
          <w:sz w:val="18"/>
          <w:szCs w:val="18"/>
        </w:rPr>
        <w:t>Instancia: Tr</w:t>
      </w:r>
      <w:r>
        <w:rPr>
          <w:rFonts w:ascii="Arial" w:hAnsi="Arial" w:cs="Arial"/>
          <w:sz w:val="18"/>
          <w:szCs w:val="18"/>
        </w:rPr>
        <w:t>ibunales Colegiados de Circuito</w:t>
      </w:r>
    </w:p>
    <w:p w14:paraId="3C7B98FE" w14:textId="77777777" w:rsidR="00413995" w:rsidRPr="00413995" w:rsidRDefault="00413995" w:rsidP="00413995">
      <w:pPr>
        <w:spacing w:after="0" w:line="240" w:lineRule="auto"/>
        <w:jc w:val="both"/>
        <w:rPr>
          <w:rFonts w:ascii="Arial" w:hAnsi="Arial" w:cs="Arial"/>
          <w:sz w:val="18"/>
          <w:szCs w:val="18"/>
        </w:rPr>
      </w:pPr>
      <w:r>
        <w:rPr>
          <w:rFonts w:ascii="Arial" w:hAnsi="Arial" w:cs="Arial"/>
          <w:sz w:val="18"/>
          <w:szCs w:val="18"/>
        </w:rPr>
        <w:t>Décima Época</w:t>
      </w:r>
    </w:p>
    <w:p w14:paraId="6CA922DC" w14:textId="77777777" w:rsidR="00413995" w:rsidRPr="00413995" w:rsidRDefault="00413995" w:rsidP="00413995">
      <w:pPr>
        <w:spacing w:after="0" w:line="240" w:lineRule="auto"/>
        <w:jc w:val="both"/>
        <w:rPr>
          <w:rFonts w:ascii="Arial" w:hAnsi="Arial" w:cs="Arial"/>
          <w:sz w:val="18"/>
          <w:szCs w:val="18"/>
        </w:rPr>
      </w:pPr>
      <w:r>
        <w:rPr>
          <w:rFonts w:ascii="Arial" w:hAnsi="Arial" w:cs="Arial"/>
          <w:sz w:val="18"/>
          <w:szCs w:val="18"/>
        </w:rPr>
        <w:t>Materia(s): Penal</w:t>
      </w:r>
    </w:p>
    <w:p w14:paraId="2FAB42EA" w14:textId="77777777" w:rsidR="00413995" w:rsidRPr="00413995" w:rsidRDefault="00413995" w:rsidP="00413995">
      <w:pPr>
        <w:spacing w:after="0" w:line="240" w:lineRule="auto"/>
        <w:jc w:val="both"/>
        <w:rPr>
          <w:rFonts w:ascii="Arial" w:hAnsi="Arial" w:cs="Arial"/>
          <w:sz w:val="18"/>
          <w:szCs w:val="18"/>
        </w:rPr>
      </w:pPr>
      <w:r w:rsidRPr="00413995">
        <w:rPr>
          <w:rFonts w:ascii="Arial" w:hAnsi="Arial" w:cs="Arial"/>
          <w:sz w:val="18"/>
          <w:szCs w:val="18"/>
        </w:rPr>
        <w:t>Te</w:t>
      </w:r>
      <w:r>
        <w:rPr>
          <w:rFonts w:ascii="Arial" w:hAnsi="Arial" w:cs="Arial"/>
          <w:sz w:val="18"/>
          <w:szCs w:val="18"/>
        </w:rPr>
        <w:t>sis: (VIII Región)2o.5 P (10a.)</w:t>
      </w:r>
    </w:p>
    <w:p w14:paraId="5832E18D" w14:textId="77777777" w:rsidR="00413995" w:rsidRPr="00413995" w:rsidRDefault="00413995" w:rsidP="00413995">
      <w:pPr>
        <w:spacing w:after="0" w:line="240" w:lineRule="auto"/>
        <w:jc w:val="both"/>
        <w:rPr>
          <w:rFonts w:ascii="Arial" w:hAnsi="Arial" w:cs="Arial"/>
          <w:sz w:val="18"/>
          <w:szCs w:val="18"/>
        </w:rPr>
      </w:pPr>
      <w:r w:rsidRPr="00413995">
        <w:rPr>
          <w:rFonts w:ascii="Arial" w:hAnsi="Arial" w:cs="Arial"/>
          <w:sz w:val="18"/>
          <w:szCs w:val="18"/>
        </w:rPr>
        <w:t>Fuente: Gaceta del Semanario Judicial de la Federación.</w:t>
      </w:r>
    </w:p>
    <w:p w14:paraId="3303B032" w14:textId="77777777" w:rsidR="00413995" w:rsidRPr="00413995" w:rsidRDefault="00413995" w:rsidP="00413995">
      <w:pPr>
        <w:spacing w:after="0" w:line="240" w:lineRule="auto"/>
        <w:jc w:val="both"/>
        <w:rPr>
          <w:rFonts w:ascii="Arial" w:hAnsi="Arial" w:cs="Arial"/>
          <w:sz w:val="18"/>
          <w:szCs w:val="18"/>
        </w:rPr>
      </w:pPr>
      <w:r w:rsidRPr="00413995">
        <w:rPr>
          <w:rFonts w:ascii="Arial" w:hAnsi="Arial" w:cs="Arial"/>
          <w:sz w:val="18"/>
          <w:szCs w:val="18"/>
        </w:rPr>
        <w:t>Libro 26, Ener</w:t>
      </w:r>
      <w:r>
        <w:rPr>
          <w:rFonts w:ascii="Arial" w:hAnsi="Arial" w:cs="Arial"/>
          <w:sz w:val="18"/>
          <w:szCs w:val="18"/>
        </w:rPr>
        <w:t>o de 2016, Tomo IV, página 3368</w:t>
      </w:r>
    </w:p>
    <w:p w14:paraId="2F8B3D11" w14:textId="77777777" w:rsidR="00413995" w:rsidRPr="00413995" w:rsidRDefault="00413995" w:rsidP="00413995">
      <w:pPr>
        <w:spacing w:after="0" w:line="240" w:lineRule="auto"/>
        <w:jc w:val="both"/>
        <w:rPr>
          <w:rFonts w:ascii="Arial" w:hAnsi="Arial" w:cs="Arial"/>
          <w:sz w:val="18"/>
          <w:szCs w:val="18"/>
        </w:rPr>
      </w:pPr>
      <w:r>
        <w:rPr>
          <w:rFonts w:ascii="Arial" w:hAnsi="Arial" w:cs="Arial"/>
          <w:sz w:val="18"/>
          <w:szCs w:val="18"/>
        </w:rPr>
        <w:t>Tipo: Aislada</w:t>
      </w:r>
    </w:p>
    <w:p w14:paraId="0BB272EC" w14:textId="77777777" w:rsidR="00413995" w:rsidRPr="00413995" w:rsidRDefault="00413995" w:rsidP="00413995">
      <w:pPr>
        <w:spacing w:after="0" w:line="240" w:lineRule="auto"/>
        <w:jc w:val="both"/>
        <w:rPr>
          <w:rFonts w:ascii="Arial" w:hAnsi="Arial" w:cs="Arial"/>
          <w:sz w:val="18"/>
          <w:szCs w:val="18"/>
        </w:rPr>
      </w:pPr>
      <w:r w:rsidRPr="00413995">
        <w:rPr>
          <w:rFonts w:ascii="Arial" w:hAnsi="Arial" w:cs="Arial"/>
          <w:sz w:val="18"/>
          <w:szCs w:val="18"/>
        </w:rPr>
        <w:t>NOTIFICACIONES EN MATERIA PENAL. EN ATENCIÓN AL PRINCIPIO PRO PERSONA, SURTEN SUS EFECTOS AL DÍA SIGUIENTE AL EN QUE SE PRACTIQUEN (LEGISLACIÓN DEL ESTADO DE YUC</w:t>
      </w:r>
      <w:r>
        <w:rPr>
          <w:rFonts w:ascii="Arial" w:hAnsi="Arial" w:cs="Arial"/>
          <w:sz w:val="18"/>
          <w:szCs w:val="18"/>
        </w:rPr>
        <w:t>ATÁN, EN ABROGACIÓN PAULATINA).</w:t>
      </w:r>
    </w:p>
    <w:p w14:paraId="57EF6E9F" w14:textId="77777777" w:rsidR="00413995" w:rsidRPr="00413995" w:rsidRDefault="00413995" w:rsidP="00413995">
      <w:pPr>
        <w:spacing w:after="0" w:line="240" w:lineRule="auto"/>
        <w:jc w:val="both"/>
        <w:rPr>
          <w:rFonts w:ascii="Arial" w:hAnsi="Arial" w:cs="Arial"/>
          <w:sz w:val="18"/>
          <w:szCs w:val="18"/>
        </w:rPr>
      </w:pPr>
      <w:r w:rsidRPr="00413995">
        <w:rPr>
          <w:rFonts w:ascii="Arial" w:hAnsi="Arial" w:cs="Arial"/>
          <w:sz w:val="18"/>
          <w:szCs w:val="18"/>
        </w:rPr>
        <w:t xml:space="preserve">El artículo 56 del Código de Procedimientos en Materia Penal del Estado de Yucatán (en abrogación paulatina), contempla dos hipótesis distintas para que comiencen a transcurrir los términos pues, por una parte, señala que iniciarán desde el día siguiente al en que se hubiera hecho la notificación relativa y, por otra, que para cualquier otro que por disposición legal deba computarse por horas, los términos correrán de momento a momento y no podrán interrumpirse por ningún motivo; sin embargo, el problema que presenta la legislación mencionada, para efectos de realizar los cómputos respectivos, es que en su título primero, intitulado "Reglas generales del procedimiento en materia penal", capítulo XI, denominado "Notificaciones y citaciones", no precisa cuándo debe considerarse que surten efectos las notificaciones. De ahí que ante la falta de regulación sobre el tema y toda vez que se encuentra involucrado el alcance del derecho humano de acceso a la justicia, debe atenderse al mayor beneficio para las partes y, por ende, considerarse que en términos del artículo 1o. de la Constitución Política de los Estados Unidos Mexicanos, conforme al cual todas las autoridades deben aplicar el principio pro persona, esto es, realizar la interpretación que más favorezca a los derechos del quejoso, dichas notificaciones surten sus efectos al día siguiente al en que se practiquen, pues sólo de esta manera éste cuenta con un día más para hacer valer los medios de impugnación que considere en la forma y términos previstos en el </w:t>
      </w:r>
      <w:r>
        <w:rPr>
          <w:rFonts w:ascii="Arial" w:hAnsi="Arial" w:cs="Arial"/>
          <w:sz w:val="18"/>
          <w:szCs w:val="18"/>
        </w:rPr>
        <w:t>referido artículo 56.</w:t>
      </w:r>
    </w:p>
    <w:p w14:paraId="1773AE05" w14:textId="77777777" w:rsidR="00413995" w:rsidRPr="00413995" w:rsidRDefault="00413995" w:rsidP="00413995">
      <w:pPr>
        <w:spacing w:after="0" w:line="240" w:lineRule="auto"/>
        <w:jc w:val="both"/>
        <w:rPr>
          <w:rFonts w:ascii="Arial" w:hAnsi="Arial" w:cs="Arial"/>
          <w:sz w:val="18"/>
          <w:szCs w:val="18"/>
        </w:rPr>
      </w:pPr>
      <w:r w:rsidRPr="00413995">
        <w:rPr>
          <w:rFonts w:ascii="Arial" w:hAnsi="Arial" w:cs="Arial"/>
          <w:sz w:val="18"/>
          <w:szCs w:val="18"/>
        </w:rPr>
        <w:t>SEGUNDO TRIBUNAL COLEGIADO DE CIRCUITO DEL CENTR</w:t>
      </w:r>
      <w:r>
        <w:rPr>
          <w:rFonts w:ascii="Arial" w:hAnsi="Arial" w:cs="Arial"/>
          <w:sz w:val="18"/>
          <w:szCs w:val="18"/>
        </w:rPr>
        <w:t>O AUXILIAR DE LA OCTAVA REGIÓN.</w:t>
      </w:r>
    </w:p>
    <w:p w14:paraId="4BE7AAA4" w14:textId="77777777" w:rsidR="00413995" w:rsidRPr="00413995" w:rsidRDefault="00413995" w:rsidP="00413995">
      <w:pPr>
        <w:spacing w:after="0" w:line="240" w:lineRule="auto"/>
        <w:jc w:val="both"/>
        <w:rPr>
          <w:rFonts w:ascii="Arial" w:hAnsi="Arial" w:cs="Arial"/>
          <w:sz w:val="18"/>
          <w:szCs w:val="18"/>
        </w:rPr>
      </w:pPr>
      <w:r w:rsidRPr="00413995">
        <w:rPr>
          <w:rFonts w:ascii="Arial" w:hAnsi="Arial" w:cs="Arial"/>
          <w:sz w:val="18"/>
          <w:szCs w:val="18"/>
        </w:rPr>
        <w:t>Amparo en revisión 462/2015 (expediente auxiliar 1002/2015) del índice del Tribunal Colegiado en Materias Penal y Administrativa del Décimo Cuarto Circuito, con apoyo del Segundo Tribunal Colegiado de Circuito del Centro Auxiliar de la Octava Región, con residencia en Mérida, Yucatán. 29 de octubre de 2015. Unanimidad de votos. Ponente: José Atanacio Alpuche Marrufo. Secretario: Carlos Arturo Cano Reed.</w:t>
      </w:r>
    </w:p>
    <w:p w14:paraId="118A3198" w14:textId="77777777" w:rsidR="00413995" w:rsidRPr="00413995" w:rsidRDefault="00413995" w:rsidP="00413995">
      <w:pPr>
        <w:spacing w:after="0" w:line="240" w:lineRule="auto"/>
        <w:jc w:val="both"/>
        <w:rPr>
          <w:rFonts w:ascii="Arial" w:hAnsi="Arial" w:cs="Arial"/>
          <w:sz w:val="18"/>
          <w:szCs w:val="18"/>
        </w:rPr>
      </w:pPr>
      <w:r>
        <w:rPr>
          <w:rFonts w:ascii="Arial" w:hAnsi="Arial" w:cs="Arial"/>
          <w:sz w:val="18"/>
          <w:szCs w:val="18"/>
        </w:rPr>
        <w:t>Nota:</w:t>
      </w:r>
    </w:p>
    <w:p w14:paraId="7D9D49CA" w14:textId="77777777" w:rsidR="00413995" w:rsidRPr="00413995" w:rsidRDefault="00413995" w:rsidP="00413995">
      <w:pPr>
        <w:spacing w:after="0" w:line="240" w:lineRule="auto"/>
        <w:jc w:val="both"/>
        <w:rPr>
          <w:rFonts w:ascii="Arial" w:hAnsi="Arial" w:cs="Arial"/>
          <w:sz w:val="18"/>
          <w:szCs w:val="18"/>
        </w:rPr>
      </w:pPr>
      <w:r w:rsidRPr="00413995">
        <w:rPr>
          <w:rFonts w:ascii="Arial" w:hAnsi="Arial" w:cs="Arial"/>
          <w:sz w:val="18"/>
          <w:szCs w:val="18"/>
        </w:rPr>
        <w:t xml:space="preserve">La presente tesis aborda el mismo tema que la jurisprudencia VII.4o.P.T. J/2 (10a.), de título y subtítulo: "NOTIFICACIONES PERSONALES EN EL PROCESO PENAL. EN ATENCIÓN AL PRINCIPIO PRO PERSONA SURTEN SUS EFECTOS AL DÍA SIGUIENTE AL EN QUE SE PRACTIQUEN (LEGISLACIÓN DEL ESTADO DE VERACRUZ, EN ABROGACIÓN PAULATINA).", publicada en el Semanario Judicial de la Federación del viernes 30 de mayo de 2014 a las 10:40 horas y en la Gaceta del Semanario Judicial de la Federación, Décima Época, Libro 6, Tomo III, mayo de 2014, página 1805, que fue objeto de la denuncia relativa a la contradicción de tesis 259/2015, resuelta por el Pleno de la Suprema Corte de Justicia de la Nación el 8 de septiembre de 2016, la </w:t>
      </w:r>
      <w:r w:rsidRPr="00413995">
        <w:rPr>
          <w:rFonts w:ascii="Arial" w:hAnsi="Arial" w:cs="Arial"/>
          <w:sz w:val="18"/>
          <w:szCs w:val="18"/>
        </w:rPr>
        <w:lastRenderedPageBreak/>
        <w:t>cual fue declarada sin materia al existir las jurisprudencias P./J. 10/2017 (10a.) y P./J. 11/2017 (10a.) que resuelven el mismo problema jurídico, así como la contradicción de tesis 57/2015 resuelta el 8 de septiembre de 2016 por el Pleno de la Suprema Corte de Justicia de la Nación de la que derivaron las tesis de jurisprudencia P./J. 10/2017 (10a.) y P./J. 11/2017 (10a.) de títulos y subtítulos: "NOTIFICACIONES. POR REGLA GENERAL SURTEN SUS EFECTOS EN EL MOMENTO EN EL QUE SE PRACTICAN, SALVO DISPOSICIÓN LEGAL EXPRESA.", y "DEMANDA DE AMPARO. CUANDO LA LEY QUE RIGE EL ACTO RECLAMADO NO ESTABLECE EL MOMENTO EN EL CUAL SURTEN EFECTOS LAS NOTIFICACIONES, DEBE ESTIMARSE QUE ELLO OCURRE EN EL INSTANTE MISMO DE LA NOTIFICACIÓN, POR LO QUE EL CÓMPUTO PARA LA PRESENTACIÓN DE AQUÉLLA INICIA A PARTIR DEL DÍA SIGUIENTE AL EN QUE SE NOTIFICÓ EL ACTO Y ÉSTA SURTIÓ EFECTOS, INDEPENDIENTEMENTE DE LA MATERIA.", respectivamente, y la contradicción de tesis 278/2015 resuelta por la Primera Sala el 23 de noviembre de 2016, la cual fue declarada sin materia, al existir las jurisprudencias P./J. 10/2017 (10a.) y P./J. 11/2017 (10a.) que resuel</w:t>
      </w:r>
      <w:r>
        <w:rPr>
          <w:rFonts w:ascii="Arial" w:hAnsi="Arial" w:cs="Arial"/>
          <w:sz w:val="18"/>
          <w:szCs w:val="18"/>
        </w:rPr>
        <w:t>ven el mismo problema jurídico.</w:t>
      </w:r>
    </w:p>
    <w:p w14:paraId="1624C5B8" w14:textId="77777777" w:rsidR="00413995" w:rsidRPr="00413995" w:rsidRDefault="00413995" w:rsidP="00413995">
      <w:pPr>
        <w:spacing w:after="0" w:line="240" w:lineRule="auto"/>
        <w:jc w:val="both"/>
        <w:rPr>
          <w:rFonts w:ascii="Arial" w:hAnsi="Arial" w:cs="Arial"/>
          <w:sz w:val="18"/>
          <w:szCs w:val="18"/>
        </w:rPr>
      </w:pPr>
      <w:r w:rsidRPr="00413995">
        <w:rPr>
          <w:rFonts w:ascii="Arial" w:hAnsi="Arial" w:cs="Arial"/>
          <w:sz w:val="18"/>
          <w:szCs w:val="18"/>
        </w:rPr>
        <w:t>Por ejecutoria del 18 de enero de 2017, la Primera Sala declaró sin materia la contradicción de tesis 159/2016 derivada de la denuncia de la que fue objeto el criterio contenido en esta tesis, al existir las jurisprudencias P./J. 10/2017 (10a.) y P./J. 11/2017 (10a.) que resuel</w:t>
      </w:r>
      <w:r>
        <w:rPr>
          <w:rFonts w:ascii="Arial" w:hAnsi="Arial" w:cs="Arial"/>
          <w:sz w:val="18"/>
          <w:szCs w:val="18"/>
        </w:rPr>
        <w:t>ven el mismo problema jurídico.</w:t>
      </w:r>
    </w:p>
    <w:p w14:paraId="1BC1D6B9" w14:textId="77777777" w:rsidR="00413995" w:rsidRDefault="00413995" w:rsidP="00413995">
      <w:pPr>
        <w:spacing w:after="0" w:line="240" w:lineRule="auto"/>
        <w:jc w:val="both"/>
        <w:rPr>
          <w:rFonts w:ascii="Arial" w:hAnsi="Arial" w:cs="Arial"/>
          <w:sz w:val="18"/>
          <w:szCs w:val="18"/>
        </w:rPr>
      </w:pPr>
      <w:r w:rsidRPr="00413995">
        <w:rPr>
          <w:rFonts w:ascii="Arial" w:hAnsi="Arial" w:cs="Arial"/>
          <w:sz w:val="18"/>
          <w:szCs w:val="18"/>
        </w:rPr>
        <w:t>Esta tesis se publicó el viernes 22 de enero de 2016 a las 11:30 horas en el Semanario Judicial de la Federación.</w:t>
      </w:r>
    </w:p>
    <w:p w14:paraId="7657377E" w14:textId="77777777" w:rsidR="00413995" w:rsidRDefault="00413995" w:rsidP="00413995">
      <w:pPr>
        <w:spacing w:after="0" w:line="240" w:lineRule="auto"/>
        <w:jc w:val="both"/>
        <w:rPr>
          <w:rFonts w:ascii="Arial" w:hAnsi="Arial" w:cs="Arial"/>
          <w:sz w:val="18"/>
          <w:szCs w:val="18"/>
        </w:rPr>
      </w:pPr>
    </w:p>
    <w:p w14:paraId="0AF8D723" w14:textId="77777777" w:rsidR="00413995" w:rsidRPr="00413995" w:rsidRDefault="00413995" w:rsidP="00413995">
      <w:pPr>
        <w:spacing w:after="0" w:line="240" w:lineRule="auto"/>
        <w:jc w:val="both"/>
        <w:rPr>
          <w:rFonts w:ascii="Arial" w:hAnsi="Arial" w:cs="Arial"/>
          <w:sz w:val="18"/>
          <w:szCs w:val="18"/>
        </w:rPr>
      </w:pPr>
      <w:r>
        <w:rPr>
          <w:rFonts w:ascii="Arial" w:hAnsi="Arial" w:cs="Arial"/>
          <w:sz w:val="18"/>
          <w:szCs w:val="18"/>
        </w:rPr>
        <w:t>Registro digital: 2010780</w:t>
      </w:r>
    </w:p>
    <w:p w14:paraId="0761FEA9" w14:textId="77777777" w:rsidR="00413995" w:rsidRPr="00413995" w:rsidRDefault="00413995" w:rsidP="00413995">
      <w:pPr>
        <w:spacing w:after="0" w:line="240" w:lineRule="auto"/>
        <w:jc w:val="both"/>
        <w:rPr>
          <w:rFonts w:ascii="Arial" w:hAnsi="Arial" w:cs="Arial"/>
          <w:sz w:val="18"/>
          <w:szCs w:val="18"/>
        </w:rPr>
      </w:pPr>
      <w:r w:rsidRPr="00413995">
        <w:rPr>
          <w:rFonts w:ascii="Arial" w:hAnsi="Arial" w:cs="Arial"/>
          <w:sz w:val="18"/>
          <w:szCs w:val="18"/>
        </w:rPr>
        <w:t>Instancia: Tr</w:t>
      </w:r>
      <w:r>
        <w:rPr>
          <w:rFonts w:ascii="Arial" w:hAnsi="Arial" w:cs="Arial"/>
          <w:sz w:val="18"/>
          <w:szCs w:val="18"/>
        </w:rPr>
        <w:t>ibunales Colegiados de Circuito</w:t>
      </w:r>
    </w:p>
    <w:p w14:paraId="55733B90" w14:textId="77777777" w:rsidR="00413995" w:rsidRPr="00413995" w:rsidRDefault="00413995" w:rsidP="00413995">
      <w:pPr>
        <w:spacing w:after="0" w:line="240" w:lineRule="auto"/>
        <w:jc w:val="both"/>
        <w:rPr>
          <w:rFonts w:ascii="Arial" w:hAnsi="Arial" w:cs="Arial"/>
          <w:sz w:val="18"/>
          <w:szCs w:val="18"/>
        </w:rPr>
      </w:pPr>
      <w:r>
        <w:rPr>
          <w:rFonts w:ascii="Arial" w:hAnsi="Arial" w:cs="Arial"/>
          <w:sz w:val="18"/>
          <w:szCs w:val="18"/>
        </w:rPr>
        <w:t>Décima Época</w:t>
      </w:r>
    </w:p>
    <w:p w14:paraId="40C0D68F" w14:textId="77777777" w:rsidR="00413995" w:rsidRPr="00413995" w:rsidRDefault="00413995" w:rsidP="00413995">
      <w:pPr>
        <w:spacing w:after="0" w:line="240" w:lineRule="auto"/>
        <w:jc w:val="both"/>
        <w:rPr>
          <w:rFonts w:ascii="Arial" w:hAnsi="Arial" w:cs="Arial"/>
          <w:sz w:val="18"/>
          <w:szCs w:val="18"/>
        </w:rPr>
      </w:pPr>
      <w:r w:rsidRPr="00413995">
        <w:rPr>
          <w:rFonts w:ascii="Arial" w:hAnsi="Arial" w:cs="Arial"/>
          <w:sz w:val="18"/>
          <w:szCs w:val="18"/>
        </w:rPr>
        <w:t>Ma</w:t>
      </w:r>
      <w:r>
        <w:rPr>
          <w:rFonts w:ascii="Arial" w:hAnsi="Arial" w:cs="Arial"/>
          <w:sz w:val="18"/>
          <w:szCs w:val="18"/>
        </w:rPr>
        <w:t>teria(s): Constitucional, Penal</w:t>
      </w:r>
    </w:p>
    <w:p w14:paraId="40F3FE39" w14:textId="77777777" w:rsidR="00413995" w:rsidRPr="00413995" w:rsidRDefault="00413995" w:rsidP="00413995">
      <w:pPr>
        <w:spacing w:after="0" w:line="240" w:lineRule="auto"/>
        <w:jc w:val="both"/>
        <w:rPr>
          <w:rFonts w:ascii="Arial" w:hAnsi="Arial" w:cs="Arial"/>
          <w:sz w:val="18"/>
          <w:szCs w:val="18"/>
        </w:rPr>
      </w:pPr>
      <w:r>
        <w:rPr>
          <w:rFonts w:ascii="Arial" w:hAnsi="Arial" w:cs="Arial"/>
          <w:sz w:val="18"/>
          <w:szCs w:val="18"/>
        </w:rPr>
        <w:t>Tesis: XXXI.4 P (10a.)</w:t>
      </w:r>
    </w:p>
    <w:p w14:paraId="6B6C951D" w14:textId="77777777" w:rsidR="00413995" w:rsidRPr="00413995" w:rsidRDefault="00413995" w:rsidP="00413995">
      <w:pPr>
        <w:spacing w:after="0" w:line="240" w:lineRule="auto"/>
        <w:jc w:val="both"/>
        <w:rPr>
          <w:rFonts w:ascii="Arial" w:hAnsi="Arial" w:cs="Arial"/>
          <w:sz w:val="18"/>
          <w:szCs w:val="18"/>
        </w:rPr>
      </w:pPr>
      <w:r w:rsidRPr="00413995">
        <w:rPr>
          <w:rFonts w:ascii="Arial" w:hAnsi="Arial" w:cs="Arial"/>
          <w:sz w:val="18"/>
          <w:szCs w:val="18"/>
        </w:rPr>
        <w:t>Fuente: Gaceta del Semanario Judicial de la Federación.</w:t>
      </w:r>
    </w:p>
    <w:p w14:paraId="3FA17385" w14:textId="77777777" w:rsidR="00413995" w:rsidRPr="00413995" w:rsidRDefault="00413995" w:rsidP="00413995">
      <w:pPr>
        <w:spacing w:after="0" w:line="240" w:lineRule="auto"/>
        <w:jc w:val="both"/>
        <w:rPr>
          <w:rFonts w:ascii="Arial" w:hAnsi="Arial" w:cs="Arial"/>
          <w:sz w:val="18"/>
          <w:szCs w:val="18"/>
        </w:rPr>
      </w:pPr>
      <w:r w:rsidRPr="00413995">
        <w:rPr>
          <w:rFonts w:ascii="Arial" w:hAnsi="Arial" w:cs="Arial"/>
          <w:sz w:val="18"/>
          <w:szCs w:val="18"/>
        </w:rPr>
        <w:t>Libro 26, Ener</w:t>
      </w:r>
      <w:r>
        <w:rPr>
          <w:rFonts w:ascii="Arial" w:hAnsi="Arial" w:cs="Arial"/>
          <w:sz w:val="18"/>
          <w:szCs w:val="18"/>
        </w:rPr>
        <w:t>o de 2016, Tomo IV, página 3367</w:t>
      </w:r>
    </w:p>
    <w:p w14:paraId="2FD98411" w14:textId="77777777" w:rsidR="00413995" w:rsidRPr="00413995" w:rsidRDefault="00413995" w:rsidP="00413995">
      <w:pPr>
        <w:spacing w:after="0" w:line="240" w:lineRule="auto"/>
        <w:jc w:val="both"/>
        <w:rPr>
          <w:rFonts w:ascii="Arial" w:hAnsi="Arial" w:cs="Arial"/>
          <w:sz w:val="18"/>
          <w:szCs w:val="18"/>
        </w:rPr>
      </w:pPr>
      <w:r>
        <w:rPr>
          <w:rFonts w:ascii="Arial" w:hAnsi="Arial" w:cs="Arial"/>
          <w:sz w:val="18"/>
          <w:szCs w:val="18"/>
        </w:rPr>
        <w:t>Tipo: Aislada</w:t>
      </w:r>
    </w:p>
    <w:p w14:paraId="46AC5658" w14:textId="77777777" w:rsidR="00413995" w:rsidRPr="00413995" w:rsidRDefault="00413995" w:rsidP="00413995">
      <w:pPr>
        <w:spacing w:after="0" w:line="240" w:lineRule="auto"/>
        <w:jc w:val="both"/>
        <w:rPr>
          <w:rFonts w:ascii="Arial" w:hAnsi="Arial" w:cs="Arial"/>
          <w:sz w:val="18"/>
          <w:szCs w:val="18"/>
        </w:rPr>
      </w:pPr>
      <w:r w:rsidRPr="00413995">
        <w:rPr>
          <w:rFonts w:ascii="Arial" w:hAnsi="Arial" w:cs="Arial"/>
          <w:sz w:val="18"/>
          <w:szCs w:val="18"/>
        </w:rPr>
        <w:t>NOTIFICACIONES EN EL PROCESO PENAL. ARMONIZADO EL PRINCIPIO PRO PERSONA CON EL DERECHO DE ACCESO A LA JUSTICIA Y EN ATENCIÓN AL MAYOR BENEFICIO DE LAS PARTES, AQUÉLLAS SURTEN EFECTOS EL DÍA SIGUIENTE AL EN QUE SE PRACTIQUEN (LEGIS</w:t>
      </w:r>
      <w:r>
        <w:rPr>
          <w:rFonts w:ascii="Arial" w:hAnsi="Arial" w:cs="Arial"/>
          <w:sz w:val="18"/>
          <w:szCs w:val="18"/>
        </w:rPr>
        <w:t>LACIÓN DEL ESTADO DE CAMPECHE).</w:t>
      </w:r>
    </w:p>
    <w:p w14:paraId="5C794376" w14:textId="77777777" w:rsidR="00413995" w:rsidRPr="00413995" w:rsidRDefault="00413995" w:rsidP="00413995">
      <w:pPr>
        <w:spacing w:after="0" w:line="240" w:lineRule="auto"/>
        <w:jc w:val="both"/>
        <w:rPr>
          <w:rFonts w:ascii="Arial" w:hAnsi="Arial" w:cs="Arial"/>
          <w:sz w:val="18"/>
          <w:szCs w:val="18"/>
        </w:rPr>
      </w:pPr>
      <w:r w:rsidRPr="00413995">
        <w:rPr>
          <w:rFonts w:ascii="Arial" w:hAnsi="Arial" w:cs="Arial"/>
          <w:sz w:val="18"/>
          <w:szCs w:val="18"/>
        </w:rPr>
        <w:t xml:space="preserve">El artículo 60 del Código de Procedimientos Penales del Estado de Campeche dispone que los términos judiciales son improrrogables y empezarán a correr desde el día siguiente al en que se hubiere hecho la notificación, sin que se incluyan en ellos los domingos ni los días inhábiles, salvo que se trate de cuando se reciba una declaración preparatoria o se emita un auto de formal prisión; sin embargo, dicho ordenamiento no especifica cuándo surten efectos las notificaciones, como se advierte de sus capítulos V, denominado "Términos judiciales" y VIII, intitulado "Notificaciones". Por tanto, armonizado el principio pro persona contenido en el artículo 1o. de la Constitución Política de los Estados Unidos Mexicanos -relativo a que ante la existencia de varias posibilidades de solución a un problema, el Estado Mexicano, al interpretar tanto los ordenamientos internacionales como los provenientes del sistema jurídico del país, está obligado a optar por proteger en los términos más amplios a los gobernados-, con el derecho fundamental de acceso a la justicia, contemplado en el numeral 17 de la Constitución Federal, el cual puede definirse como el derecho público subjetivo que toda persona tiene para que dentro de los plazos y términos que fijen las leyes pueda acceder de manera expedita a tribunales independientes e imparciales a plantear una pretensión o a defenderse de ella, con el fin de que, a través de un proceso en el que se respeten ciertas formalidades, se decida sobre la pretensión o la defensa y, en su caso, se ejecute esa decisión, se concluye que aun cuando el código mencionado no establezca expresamente el día en que surten efectos las notificaciones en el proceso penal, en atención al mayor beneficio de las partes, debe entenderse que aquéllas surten efectos el día siguiente al en que se practiquen, pues sólo así el justiciable contará con un día más </w:t>
      </w:r>
      <w:r>
        <w:rPr>
          <w:rFonts w:ascii="Arial" w:hAnsi="Arial" w:cs="Arial"/>
          <w:sz w:val="18"/>
          <w:szCs w:val="18"/>
        </w:rPr>
        <w:t>para acceder a la jurisdicción.</w:t>
      </w:r>
    </w:p>
    <w:p w14:paraId="331DE960" w14:textId="77777777" w:rsidR="00413995" w:rsidRPr="00413995" w:rsidRDefault="00413995" w:rsidP="00413995">
      <w:pPr>
        <w:spacing w:after="0" w:line="240" w:lineRule="auto"/>
        <w:jc w:val="both"/>
        <w:rPr>
          <w:rFonts w:ascii="Arial" w:hAnsi="Arial" w:cs="Arial"/>
          <w:sz w:val="18"/>
          <w:szCs w:val="18"/>
        </w:rPr>
      </w:pPr>
      <w:r w:rsidRPr="00413995">
        <w:rPr>
          <w:rFonts w:ascii="Arial" w:hAnsi="Arial" w:cs="Arial"/>
          <w:sz w:val="18"/>
          <w:szCs w:val="18"/>
        </w:rPr>
        <w:t>TRIBUNAL COLEGIADO</w:t>
      </w:r>
      <w:r>
        <w:rPr>
          <w:rFonts w:ascii="Arial" w:hAnsi="Arial" w:cs="Arial"/>
          <w:sz w:val="18"/>
          <w:szCs w:val="18"/>
        </w:rPr>
        <w:t xml:space="preserve"> DEL TRIGÉSIMO PRIMER CIRCUITO.</w:t>
      </w:r>
    </w:p>
    <w:p w14:paraId="1D8EC3BF" w14:textId="77777777" w:rsidR="00413995" w:rsidRPr="00413995" w:rsidRDefault="00413995" w:rsidP="00413995">
      <w:pPr>
        <w:spacing w:after="0" w:line="240" w:lineRule="auto"/>
        <w:jc w:val="both"/>
        <w:rPr>
          <w:rFonts w:ascii="Arial" w:hAnsi="Arial" w:cs="Arial"/>
          <w:sz w:val="18"/>
          <w:szCs w:val="18"/>
        </w:rPr>
      </w:pPr>
      <w:r w:rsidRPr="00413995">
        <w:rPr>
          <w:rFonts w:ascii="Arial" w:hAnsi="Arial" w:cs="Arial"/>
          <w:sz w:val="18"/>
          <w:szCs w:val="18"/>
        </w:rPr>
        <w:t>Amparo en revisión 473/2014. 7 de octubre de 2015. Unanimidad de votos. Ponente: Freddy Gabriel Celis Fuentes. Secretar</w:t>
      </w:r>
      <w:r>
        <w:rPr>
          <w:rFonts w:ascii="Arial" w:hAnsi="Arial" w:cs="Arial"/>
          <w:sz w:val="18"/>
          <w:szCs w:val="18"/>
        </w:rPr>
        <w:t>io: José Javier Caamal Cáceres.</w:t>
      </w:r>
    </w:p>
    <w:p w14:paraId="08F82EE3" w14:textId="77777777" w:rsidR="00413995" w:rsidRPr="00413995" w:rsidRDefault="00413995" w:rsidP="00413995">
      <w:pPr>
        <w:spacing w:after="0" w:line="240" w:lineRule="auto"/>
        <w:jc w:val="both"/>
        <w:rPr>
          <w:rFonts w:ascii="Arial" w:hAnsi="Arial" w:cs="Arial"/>
          <w:sz w:val="18"/>
          <w:szCs w:val="18"/>
        </w:rPr>
      </w:pPr>
      <w:r>
        <w:rPr>
          <w:rFonts w:ascii="Arial" w:hAnsi="Arial" w:cs="Arial"/>
          <w:sz w:val="18"/>
          <w:szCs w:val="18"/>
        </w:rPr>
        <w:t>Nota:</w:t>
      </w:r>
    </w:p>
    <w:p w14:paraId="342B6C4B" w14:textId="77777777" w:rsidR="00413995" w:rsidRPr="00413995" w:rsidRDefault="00413995" w:rsidP="00413995">
      <w:pPr>
        <w:spacing w:after="0" w:line="240" w:lineRule="auto"/>
        <w:jc w:val="both"/>
        <w:rPr>
          <w:rFonts w:ascii="Arial" w:hAnsi="Arial" w:cs="Arial"/>
          <w:sz w:val="18"/>
          <w:szCs w:val="18"/>
        </w:rPr>
      </w:pPr>
      <w:r w:rsidRPr="00413995">
        <w:rPr>
          <w:rFonts w:ascii="Arial" w:hAnsi="Arial" w:cs="Arial"/>
          <w:sz w:val="18"/>
          <w:szCs w:val="18"/>
        </w:rPr>
        <w:t>La presente tesis aborda el mismo tema que la jurisprudencia VII.4o.P.T. J/2 (10a.), de título y subtítulo: "NOTIFICACIONES PERSONALES EN EL PROCESO PENAL. EN ATENCIÓN AL PRINCIPIO PRO PERSONA SURTEN SUS EFECTOS AL DÍA SIGUIENTE AL EN QUE SE PRACTIQUEN (LEGISLACIÓN DEL ESTADO DE VERACRUZ, EN ABROGACIÓN PAULATINA).", publicada en el Semanario Judicial de la Federación del viernes 30 de mayo de 2014 a las 10:40 horas y en la Gaceta del Semanario Judicial de la Federación, Décima Época, Libro 6, Tomo III, mayo de 2014, página 1805, que fue objeto de la denuncia relativa a la contradicción de tesis 259/2015, resuelta por el Pleno de la Suprema Corte de Justicia de la Nación el 8 de septiembre de 2016, la cual fue declarada sin materia al existir las jurisprudencias P./J. 10/2017 (10a.) y P./J. 11/2017 (10a.) que resuelven el mismo problema jurídico, así como la contradicción de tesis 57/2015 resuelta el 8 de septiembre de 2016 por el Pleno de la Suprema Corte de Justicia de la Nación de la que derivaron las tesis de jurisprudencia P./J. 10/2017 (10a.) y P./J. 11/2017 (10a.) de títulos y subtítulos: "NOTIFICACIONES. POR REGLA GENERAL SURTEN SUS EFECTOS EN EL MOMENTO EN EL QUE SE PRACTICAN, SALVO DISPOSICIÓN LEGAL EXPRESA.", y "DEMANDA DE AMPARO. CUANDO LA LEY QUE RIGE EL ACTO RECLAMADO NO ESTABLECE EL MOMENTO EN EL CUAL SURTEN EFECTOS LAS NOTIFICACIONES, DEBE ESTIMARSE QUE ELLO OCURRE EN EL INSTANTE MISMO DE LA NOTIFICACIÓN, POR LO QUE EL CÓMPUTO PARA LA PRESENTACIÓN DE AQUÉLLA INICIA A PARTIR DEL DÍA SIGUIENTE AL EN QUE SE NOTIFICÓ EL ACTO Y ÉSTA SURTIÓ EFECTOS, INDEPENDIENTEMENTE DE LA MATERIA.", respectivamente, y la contradicción de tesis 278/2015 resuelta por la Primera Sala el 23 de noviembre de 2016, la cual fue declarada sin materia, al existir las jurisprudencias P./J. 10/2017 (10a.) y P./J. 11/2017 (10a.) que resuel</w:t>
      </w:r>
      <w:r>
        <w:rPr>
          <w:rFonts w:ascii="Arial" w:hAnsi="Arial" w:cs="Arial"/>
          <w:sz w:val="18"/>
          <w:szCs w:val="18"/>
        </w:rPr>
        <w:t>ven el mismo problema jurídico.</w:t>
      </w:r>
    </w:p>
    <w:p w14:paraId="00E64B12" w14:textId="77777777" w:rsidR="00413995" w:rsidRPr="00413995" w:rsidRDefault="00413995" w:rsidP="00413995">
      <w:pPr>
        <w:spacing w:after="0" w:line="240" w:lineRule="auto"/>
        <w:jc w:val="both"/>
        <w:rPr>
          <w:rFonts w:ascii="Arial" w:hAnsi="Arial" w:cs="Arial"/>
          <w:sz w:val="18"/>
          <w:szCs w:val="18"/>
        </w:rPr>
      </w:pPr>
      <w:r w:rsidRPr="00413995">
        <w:rPr>
          <w:rFonts w:ascii="Arial" w:hAnsi="Arial" w:cs="Arial"/>
          <w:sz w:val="18"/>
          <w:szCs w:val="18"/>
        </w:rPr>
        <w:t>Por ejecutoria del 18 de enero de 2017, la Primera Sala declaró sin materia la contradicción de tesis 159/2016 derivada de la denuncia de la que fue objeto el criterio contenido en esta tesis, al existir las jurisprudencias P./J. 10/2017 (10a.) y P./J. 11/2017 (10a.) que resuel</w:t>
      </w:r>
      <w:r>
        <w:rPr>
          <w:rFonts w:ascii="Arial" w:hAnsi="Arial" w:cs="Arial"/>
          <w:sz w:val="18"/>
          <w:szCs w:val="18"/>
        </w:rPr>
        <w:t>ven el mismo problema jurídico.</w:t>
      </w:r>
    </w:p>
    <w:p w14:paraId="1DDAB281" w14:textId="77777777" w:rsidR="00413995" w:rsidRDefault="00413995" w:rsidP="00413995">
      <w:pPr>
        <w:spacing w:after="0" w:line="240" w:lineRule="auto"/>
        <w:jc w:val="both"/>
        <w:rPr>
          <w:rFonts w:ascii="Arial" w:hAnsi="Arial" w:cs="Arial"/>
          <w:sz w:val="18"/>
          <w:szCs w:val="18"/>
        </w:rPr>
      </w:pPr>
      <w:r w:rsidRPr="00413995">
        <w:rPr>
          <w:rFonts w:ascii="Arial" w:hAnsi="Arial" w:cs="Arial"/>
          <w:sz w:val="18"/>
          <w:szCs w:val="18"/>
        </w:rPr>
        <w:t>Esta tesis se publicó el viernes 08 de enero de 2016 a las 10:10 horas en el Semanario Judicial de la Federación.</w:t>
      </w:r>
    </w:p>
    <w:p w14:paraId="69FEC4D8" w14:textId="77777777" w:rsidR="00413995" w:rsidRDefault="00413995" w:rsidP="00413995">
      <w:pPr>
        <w:spacing w:after="0" w:line="240" w:lineRule="auto"/>
        <w:jc w:val="both"/>
        <w:rPr>
          <w:rFonts w:ascii="Arial" w:hAnsi="Arial" w:cs="Arial"/>
          <w:sz w:val="18"/>
          <w:szCs w:val="18"/>
        </w:rPr>
      </w:pPr>
    </w:p>
    <w:p w14:paraId="6DD290D5" w14:textId="77777777" w:rsidR="00413995" w:rsidRPr="00413995" w:rsidRDefault="00413995" w:rsidP="00413995">
      <w:pPr>
        <w:spacing w:after="0" w:line="240" w:lineRule="auto"/>
        <w:jc w:val="both"/>
        <w:rPr>
          <w:rFonts w:ascii="Arial" w:hAnsi="Arial" w:cs="Arial"/>
          <w:sz w:val="18"/>
          <w:szCs w:val="18"/>
        </w:rPr>
      </w:pPr>
      <w:r>
        <w:rPr>
          <w:rFonts w:ascii="Arial" w:hAnsi="Arial" w:cs="Arial"/>
          <w:sz w:val="18"/>
          <w:szCs w:val="18"/>
        </w:rPr>
        <w:t>Registro digital: 2008053</w:t>
      </w:r>
    </w:p>
    <w:p w14:paraId="420B355D" w14:textId="77777777" w:rsidR="00413995" w:rsidRPr="00413995" w:rsidRDefault="00413995" w:rsidP="00413995">
      <w:pPr>
        <w:spacing w:after="0" w:line="240" w:lineRule="auto"/>
        <w:jc w:val="both"/>
        <w:rPr>
          <w:rFonts w:ascii="Arial" w:hAnsi="Arial" w:cs="Arial"/>
          <w:sz w:val="18"/>
          <w:szCs w:val="18"/>
        </w:rPr>
      </w:pPr>
      <w:r w:rsidRPr="00413995">
        <w:rPr>
          <w:rFonts w:ascii="Arial" w:hAnsi="Arial" w:cs="Arial"/>
          <w:sz w:val="18"/>
          <w:szCs w:val="18"/>
        </w:rPr>
        <w:t>Instancia: Tr</w:t>
      </w:r>
      <w:r>
        <w:rPr>
          <w:rFonts w:ascii="Arial" w:hAnsi="Arial" w:cs="Arial"/>
          <w:sz w:val="18"/>
          <w:szCs w:val="18"/>
        </w:rPr>
        <w:t>ibunales Colegiados de Circuito</w:t>
      </w:r>
    </w:p>
    <w:p w14:paraId="430AFF89" w14:textId="77777777" w:rsidR="00413995" w:rsidRPr="00413995" w:rsidRDefault="00413995" w:rsidP="00413995">
      <w:pPr>
        <w:spacing w:after="0" w:line="240" w:lineRule="auto"/>
        <w:jc w:val="both"/>
        <w:rPr>
          <w:rFonts w:ascii="Arial" w:hAnsi="Arial" w:cs="Arial"/>
          <w:sz w:val="18"/>
          <w:szCs w:val="18"/>
        </w:rPr>
      </w:pPr>
      <w:r>
        <w:rPr>
          <w:rFonts w:ascii="Arial" w:hAnsi="Arial" w:cs="Arial"/>
          <w:sz w:val="18"/>
          <w:szCs w:val="18"/>
        </w:rPr>
        <w:t>Décima Época</w:t>
      </w:r>
    </w:p>
    <w:p w14:paraId="17FA00F1" w14:textId="77777777" w:rsidR="00413995" w:rsidRPr="00413995" w:rsidRDefault="00413995" w:rsidP="00413995">
      <w:pPr>
        <w:spacing w:after="0" w:line="240" w:lineRule="auto"/>
        <w:jc w:val="both"/>
        <w:rPr>
          <w:rFonts w:ascii="Arial" w:hAnsi="Arial" w:cs="Arial"/>
          <w:sz w:val="18"/>
          <w:szCs w:val="18"/>
        </w:rPr>
      </w:pPr>
      <w:r w:rsidRPr="00413995">
        <w:rPr>
          <w:rFonts w:ascii="Arial" w:hAnsi="Arial" w:cs="Arial"/>
          <w:sz w:val="18"/>
          <w:szCs w:val="18"/>
        </w:rPr>
        <w:t>Ma</w:t>
      </w:r>
      <w:r>
        <w:rPr>
          <w:rFonts w:ascii="Arial" w:hAnsi="Arial" w:cs="Arial"/>
          <w:sz w:val="18"/>
          <w:szCs w:val="18"/>
        </w:rPr>
        <w:t>teria(s): Constitucional, Penal</w:t>
      </w:r>
    </w:p>
    <w:p w14:paraId="6D02CCAE" w14:textId="77777777" w:rsidR="00413995" w:rsidRPr="00413995" w:rsidRDefault="00413995" w:rsidP="00413995">
      <w:pPr>
        <w:spacing w:after="0" w:line="240" w:lineRule="auto"/>
        <w:jc w:val="both"/>
        <w:rPr>
          <w:rFonts w:ascii="Arial" w:hAnsi="Arial" w:cs="Arial"/>
          <w:sz w:val="18"/>
          <w:szCs w:val="18"/>
          <w:lang w:val="en-US"/>
        </w:rPr>
      </w:pPr>
      <w:r>
        <w:rPr>
          <w:rFonts w:ascii="Arial" w:hAnsi="Arial" w:cs="Arial"/>
          <w:sz w:val="18"/>
          <w:szCs w:val="18"/>
          <w:lang w:val="en-US"/>
        </w:rPr>
        <w:t>Tesis: I.9o.P.69 P (10a.)</w:t>
      </w:r>
    </w:p>
    <w:p w14:paraId="1F7312B8" w14:textId="77777777" w:rsidR="00413995" w:rsidRPr="00413995" w:rsidRDefault="00413995" w:rsidP="00413995">
      <w:pPr>
        <w:spacing w:after="0" w:line="240" w:lineRule="auto"/>
        <w:jc w:val="both"/>
        <w:rPr>
          <w:rFonts w:ascii="Arial" w:hAnsi="Arial" w:cs="Arial"/>
          <w:sz w:val="18"/>
          <w:szCs w:val="18"/>
        </w:rPr>
      </w:pPr>
      <w:r w:rsidRPr="00413995">
        <w:rPr>
          <w:rFonts w:ascii="Arial" w:hAnsi="Arial" w:cs="Arial"/>
          <w:sz w:val="18"/>
          <w:szCs w:val="18"/>
        </w:rPr>
        <w:t>Fuente: Gaceta del Semanario Judicial de la Federación.</w:t>
      </w:r>
    </w:p>
    <w:p w14:paraId="1CA1D8B7" w14:textId="77777777" w:rsidR="00413995" w:rsidRPr="00413995" w:rsidRDefault="00413995" w:rsidP="00413995">
      <w:pPr>
        <w:spacing w:after="0" w:line="240" w:lineRule="auto"/>
        <w:jc w:val="both"/>
        <w:rPr>
          <w:rFonts w:ascii="Arial" w:hAnsi="Arial" w:cs="Arial"/>
          <w:sz w:val="18"/>
          <w:szCs w:val="18"/>
        </w:rPr>
      </w:pPr>
      <w:r w:rsidRPr="00413995">
        <w:rPr>
          <w:rFonts w:ascii="Arial" w:hAnsi="Arial" w:cs="Arial"/>
          <w:sz w:val="18"/>
          <w:szCs w:val="18"/>
        </w:rPr>
        <w:t>Libro 12, Noviembr</w:t>
      </w:r>
      <w:r>
        <w:rPr>
          <w:rFonts w:ascii="Arial" w:hAnsi="Arial" w:cs="Arial"/>
          <w:sz w:val="18"/>
          <w:szCs w:val="18"/>
        </w:rPr>
        <w:t>e de 2014, Tomo IV, página 2928</w:t>
      </w:r>
    </w:p>
    <w:p w14:paraId="08039CFB" w14:textId="77777777" w:rsidR="00413995" w:rsidRPr="00413995" w:rsidRDefault="00413995" w:rsidP="00413995">
      <w:pPr>
        <w:spacing w:after="0" w:line="240" w:lineRule="auto"/>
        <w:jc w:val="both"/>
        <w:rPr>
          <w:rFonts w:ascii="Arial" w:hAnsi="Arial" w:cs="Arial"/>
          <w:sz w:val="18"/>
          <w:szCs w:val="18"/>
        </w:rPr>
      </w:pPr>
      <w:r>
        <w:rPr>
          <w:rFonts w:ascii="Arial" w:hAnsi="Arial" w:cs="Arial"/>
          <w:sz w:val="18"/>
          <w:szCs w:val="18"/>
        </w:rPr>
        <w:t>Tipo: Aislada</w:t>
      </w:r>
    </w:p>
    <w:p w14:paraId="0DA9FB04" w14:textId="77777777" w:rsidR="00413995" w:rsidRPr="00413995" w:rsidRDefault="00413995" w:rsidP="00413995">
      <w:pPr>
        <w:spacing w:after="0" w:line="240" w:lineRule="auto"/>
        <w:jc w:val="both"/>
        <w:rPr>
          <w:rFonts w:ascii="Arial" w:hAnsi="Arial" w:cs="Arial"/>
          <w:sz w:val="18"/>
          <w:szCs w:val="18"/>
        </w:rPr>
      </w:pPr>
      <w:r w:rsidRPr="00413995">
        <w:rPr>
          <w:rFonts w:ascii="Arial" w:hAnsi="Arial" w:cs="Arial"/>
          <w:sz w:val="18"/>
          <w:szCs w:val="18"/>
        </w:rPr>
        <w:t>DERECHO DE ACCESO, DISPOSICIÓN Y SANEAMIENTO DEL AGUA PARA CONSUMO PERSONAL Y DOMÉSTICO, EN FORMA SUFICIENTE, SALUBRE, ACEPTABLE Y ASEQUIBLE. TRATÁNDOSE DE PERSONAS PRIVADAS DE LA LIBERTAD, AQUÉL DEBE ANALIZARSE A LA LUZ DE LOS PRINCIPIOS PLASMADOS EN LA CONSTITUCIÓN FEDERAL Y EN LOS TRATADOS INTERNACIONALES, A PARTIR DE UNA INTERPRETACIÓN MÁS AMPLIA QUE LES FAVOREZCA EN TODO MOMENTO (APLICACIÓN DEL PRINCIPIO PRO PERSONA PREVISTO EN EL ARTÍCULO 1</w:t>
      </w:r>
      <w:r>
        <w:rPr>
          <w:rFonts w:ascii="Arial" w:hAnsi="Arial" w:cs="Arial"/>
          <w:sz w:val="18"/>
          <w:szCs w:val="18"/>
        </w:rPr>
        <w:t>o. DE LA CONSTITUCIÓN FEDERAL).</w:t>
      </w:r>
    </w:p>
    <w:p w14:paraId="4D0F73E9" w14:textId="77777777" w:rsidR="00413995" w:rsidRPr="00413995" w:rsidRDefault="00413995" w:rsidP="00413995">
      <w:pPr>
        <w:spacing w:after="0" w:line="240" w:lineRule="auto"/>
        <w:jc w:val="both"/>
        <w:rPr>
          <w:rFonts w:ascii="Arial" w:hAnsi="Arial" w:cs="Arial"/>
          <w:sz w:val="18"/>
          <w:szCs w:val="18"/>
        </w:rPr>
      </w:pPr>
      <w:r w:rsidRPr="00413995">
        <w:rPr>
          <w:rFonts w:ascii="Arial" w:hAnsi="Arial" w:cs="Arial"/>
          <w:sz w:val="18"/>
          <w:szCs w:val="18"/>
        </w:rPr>
        <w:t>Con base en las reformas constitucionales en materia de derechos humanos, de 10 de junio de 2011, en vigor a partir del día siguiente, en términos del artículo 1o., todas las personas gozarán de los derechos humanos reconocidos en la Constitución y en los tratados internacionales de los que el Estado Mexicano sea parte. En relación con el derecho de acceso, disposición y saneamiento de agua para consumo personal y doméstico en forma suficiente, salubre, aceptable y asequible, el artículo 4o. constitucional establece que el Estado lo garantizará y la ley definirá las bases, apoyos y modalidades para el acceso y uso equitativo y sustentable de los recursos hídricos, estableciendo la participación de la Federación, las entidades federativas y los Municipios. Luego, respecto de las personas privadas de la libertad, este derecho está reconocido en instrumentos internacionales, informes y documentos de órganos autorizados como la Observación General No. 15 del Comité de Naciones Unidas de Derechos Económicos, Sociales y Culturales -sobre el derecho al agua-; las Reglas Mínimas para el tratamiento de los Reclusos; Principios y Buenas Prácticas sobre la Protección de las Personas Privadas de la Libertad en las Américas; el Informe sobre los Derechos Humanos de las Personas Privadas de la Libertad en las Américas; Comité Internacional de la Cruz Roja y Corte Interamericana de Derechos Humanos -Caso Vélez Loor vs. Panamá-. En concordancia, el Comité de Derechos Económicos, Sociales y Culturales elaboró la Observación General Número 15, de noviembre de 2002, en la que precisa que el vital líquido es un recurso natural limitado y un bien público fundamental para la vida y la salud, y que el derecho humano al agua es indispensable para vivir dignamente y condición previa para la realización de otros derechos humanos. En este sentido, y en correspondencia con el "principio pro persona", conforme al cual la interpretación jurídica siempre debe buscar el mayor beneficio para el hombre, el derecho humano al agua, es aquel a disponer de la suficiente, salubre, aceptable, accesible y asequible para el uso personal y doméstico; un abastecimiento adecuado es necesario para evitar la muerte, y para satisfacer las necesidades de consumo, cocina e higiene personal y doméstica, lo que se logra con el abastecimiento de agua que de cada persona debe ser continuo y suficiente para los usos personales y domésticos; la cantidad disponible para cada persona debería corresponder a las directrices de la Organización Mundial de la Salud; por lo que, el agua, las instalaciones y los servicios deben ser accesibles para todos, sin discriminación alguna, dentro de la jurisdicción del Estado Parte. Por ello, si el agua y los servicios e instalaciones deben ser accesibles a todos de hecho y de derecho, incluso a los sectores más vulnerables y marginados de la población, sin discriminación alguna, a fin de garantizar la tutela de ese derecho humano, los Estados Partes deben adoptar medidas para eliminar la discriminación cuando se prive a las personas de los medios o derechos necesarios para ejercer su derecho al agua; además, deben velar porque la asignación de los recursos de agua y las inversiones, faciliten su acceso a todos los miembros de la sociedad; pues las transformaciones no deben ser en beneficio de una fracción privilegiada de la población, sino invertirse en servicios e instalaciones que redunden a favor de un sector más amplio, conforme a una interpretación no restrictiva, atendiendo al principio pro homine, que permite acudir a una interpretación del derecho al agua acorde con los principios sustentados en la Constitución Federal y en los derechos humanos contenidos en los instrumentos internacionales referidos, a partir de una interpretación que favorezca en todo tiempo a las per</w:t>
      </w:r>
      <w:r>
        <w:rPr>
          <w:rFonts w:ascii="Arial" w:hAnsi="Arial" w:cs="Arial"/>
          <w:sz w:val="18"/>
          <w:szCs w:val="18"/>
        </w:rPr>
        <w:t>sonas la protección más amplia.</w:t>
      </w:r>
    </w:p>
    <w:p w14:paraId="64DE98F8" w14:textId="77777777" w:rsidR="00413995" w:rsidRPr="00413995" w:rsidRDefault="00413995" w:rsidP="00413995">
      <w:pPr>
        <w:spacing w:after="0" w:line="240" w:lineRule="auto"/>
        <w:jc w:val="both"/>
        <w:rPr>
          <w:rFonts w:ascii="Arial" w:hAnsi="Arial" w:cs="Arial"/>
          <w:sz w:val="18"/>
          <w:szCs w:val="18"/>
        </w:rPr>
      </w:pPr>
      <w:r w:rsidRPr="00413995">
        <w:rPr>
          <w:rFonts w:ascii="Arial" w:hAnsi="Arial" w:cs="Arial"/>
          <w:sz w:val="18"/>
          <w:szCs w:val="18"/>
        </w:rPr>
        <w:t>NOVENO TRIBUNAL COLEGIADO EN MAT</w:t>
      </w:r>
      <w:r>
        <w:rPr>
          <w:rFonts w:ascii="Arial" w:hAnsi="Arial" w:cs="Arial"/>
          <w:sz w:val="18"/>
          <w:szCs w:val="18"/>
        </w:rPr>
        <w:t>ERIA PENAL DEL PRIMER CIRCUITO.</w:t>
      </w:r>
    </w:p>
    <w:p w14:paraId="4A9F4E71" w14:textId="77777777" w:rsidR="00413995" w:rsidRPr="00413995" w:rsidRDefault="00413995" w:rsidP="00413995">
      <w:pPr>
        <w:spacing w:after="0" w:line="240" w:lineRule="auto"/>
        <w:jc w:val="both"/>
        <w:rPr>
          <w:rFonts w:ascii="Arial" w:hAnsi="Arial" w:cs="Arial"/>
          <w:sz w:val="18"/>
          <w:szCs w:val="18"/>
        </w:rPr>
      </w:pPr>
      <w:r w:rsidRPr="00413995">
        <w:rPr>
          <w:rFonts w:ascii="Arial" w:hAnsi="Arial" w:cs="Arial"/>
          <w:sz w:val="18"/>
          <w:szCs w:val="18"/>
        </w:rPr>
        <w:t xml:space="preserve">Amparo en revisión 158/2014. 2 de octubre de 2014. Unanimidad de votos. Ponente: Emma Meza Fonseca. </w:t>
      </w:r>
      <w:r>
        <w:rPr>
          <w:rFonts w:ascii="Arial" w:hAnsi="Arial" w:cs="Arial"/>
          <w:sz w:val="18"/>
          <w:szCs w:val="18"/>
        </w:rPr>
        <w:t>Secretario: Martín Muñoz Ortiz.</w:t>
      </w:r>
    </w:p>
    <w:p w14:paraId="5C91118D" w14:textId="77777777" w:rsidR="00413995" w:rsidRPr="00413995" w:rsidRDefault="00413995" w:rsidP="00413995">
      <w:pPr>
        <w:spacing w:after="0" w:line="240" w:lineRule="auto"/>
        <w:jc w:val="both"/>
        <w:rPr>
          <w:rFonts w:ascii="Arial" w:hAnsi="Arial" w:cs="Arial"/>
          <w:sz w:val="18"/>
          <w:szCs w:val="18"/>
        </w:rPr>
      </w:pPr>
      <w:r w:rsidRPr="00413995">
        <w:rPr>
          <w:rFonts w:ascii="Arial" w:hAnsi="Arial" w:cs="Arial"/>
          <w:sz w:val="18"/>
          <w:szCs w:val="18"/>
        </w:rPr>
        <w:t>Nota: Por ejecutoria del 31 de mayo de 2017, la Primera Sala declaró inexistente la contradicción de tesis 180/2016 derivada de la denuncia de la que fue objeto el criterio contenido en esta tesis, al estimarse que no son discrepantes los criterios mat</w:t>
      </w:r>
      <w:r>
        <w:rPr>
          <w:rFonts w:ascii="Arial" w:hAnsi="Arial" w:cs="Arial"/>
          <w:sz w:val="18"/>
          <w:szCs w:val="18"/>
        </w:rPr>
        <w:t>eria de la denuncia respectiva.</w:t>
      </w:r>
    </w:p>
    <w:p w14:paraId="445B3985" w14:textId="77777777" w:rsidR="00413995" w:rsidRDefault="00413995" w:rsidP="00413995">
      <w:pPr>
        <w:spacing w:after="0" w:line="240" w:lineRule="auto"/>
        <w:jc w:val="both"/>
        <w:rPr>
          <w:rFonts w:ascii="Arial" w:hAnsi="Arial" w:cs="Arial"/>
          <w:sz w:val="18"/>
          <w:szCs w:val="18"/>
        </w:rPr>
      </w:pPr>
      <w:r w:rsidRPr="00413995">
        <w:rPr>
          <w:rFonts w:ascii="Arial" w:hAnsi="Arial" w:cs="Arial"/>
          <w:sz w:val="18"/>
          <w:szCs w:val="18"/>
        </w:rPr>
        <w:t>Esta tesis se publicó el viernes 28 de noviembre de 2014 a las 10:05 horas en el Semanario Judicial de la Federación.</w:t>
      </w:r>
    </w:p>
    <w:p w14:paraId="7ABA8159" w14:textId="77777777" w:rsidR="00413995" w:rsidRDefault="00413995" w:rsidP="00413995">
      <w:pPr>
        <w:spacing w:after="0" w:line="240" w:lineRule="auto"/>
        <w:jc w:val="both"/>
        <w:rPr>
          <w:rFonts w:ascii="Arial" w:hAnsi="Arial" w:cs="Arial"/>
          <w:sz w:val="18"/>
          <w:szCs w:val="18"/>
        </w:rPr>
      </w:pPr>
    </w:p>
    <w:p w14:paraId="600131F6" w14:textId="77777777" w:rsidR="00413995" w:rsidRPr="00413995" w:rsidRDefault="00413995" w:rsidP="00413995">
      <w:pPr>
        <w:spacing w:after="0" w:line="240" w:lineRule="auto"/>
        <w:jc w:val="both"/>
        <w:rPr>
          <w:rFonts w:ascii="Arial" w:hAnsi="Arial" w:cs="Arial"/>
          <w:sz w:val="18"/>
          <w:szCs w:val="18"/>
        </w:rPr>
      </w:pPr>
      <w:r>
        <w:rPr>
          <w:rFonts w:ascii="Arial" w:hAnsi="Arial" w:cs="Arial"/>
          <w:sz w:val="18"/>
          <w:szCs w:val="18"/>
        </w:rPr>
        <w:t>Registro digital: 2006248</w:t>
      </w:r>
    </w:p>
    <w:p w14:paraId="28E6834F" w14:textId="77777777" w:rsidR="00413995" w:rsidRPr="00413995" w:rsidRDefault="00413995" w:rsidP="00413995">
      <w:pPr>
        <w:spacing w:after="0" w:line="240" w:lineRule="auto"/>
        <w:jc w:val="both"/>
        <w:rPr>
          <w:rFonts w:ascii="Arial" w:hAnsi="Arial" w:cs="Arial"/>
          <w:sz w:val="18"/>
          <w:szCs w:val="18"/>
        </w:rPr>
      </w:pPr>
      <w:r w:rsidRPr="00413995">
        <w:rPr>
          <w:rFonts w:ascii="Arial" w:hAnsi="Arial" w:cs="Arial"/>
          <w:sz w:val="18"/>
          <w:szCs w:val="18"/>
        </w:rPr>
        <w:t>Instancia: Prime</w:t>
      </w:r>
      <w:r>
        <w:rPr>
          <w:rFonts w:ascii="Arial" w:hAnsi="Arial" w:cs="Arial"/>
          <w:sz w:val="18"/>
          <w:szCs w:val="18"/>
        </w:rPr>
        <w:t>ra Sala</w:t>
      </w:r>
    </w:p>
    <w:p w14:paraId="2E48387B" w14:textId="77777777" w:rsidR="00413995" w:rsidRPr="00413995" w:rsidRDefault="00413995" w:rsidP="00413995">
      <w:pPr>
        <w:spacing w:after="0" w:line="240" w:lineRule="auto"/>
        <w:jc w:val="both"/>
        <w:rPr>
          <w:rFonts w:ascii="Arial" w:hAnsi="Arial" w:cs="Arial"/>
          <w:sz w:val="18"/>
          <w:szCs w:val="18"/>
        </w:rPr>
      </w:pPr>
      <w:r>
        <w:rPr>
          <w:rFonts w:ascii="Arial" w:hAnsi="Arial" w:cs="Arial"/>
          <w:sz w:val="18"/>
          <w:szCs w:val="18"/>
        </w:rPr>
        <w:t>Décima Época</w:t>
      </w:r>
    </w:p>
    <w:p w14:paraId="23AB84CD" w14:textId="77777777" w:rsidR="00413995" w:rsidRPr="00413995" w:rsidRDefault="00413995" w:rsidP="00413995">
      <w:pPr>
        <w:spacing w:after="0" w:line="240" w:lineRule="auto"/>
        <w:jc w:val="both"/>
        <w:rPr>
          <w:rFonts w:ascii="Arial" w:hAnsi="Arial" w:cs="Arial"/>
          <w:sz w:val="18"/>
          <w:szCs w:val="18"/>
        </w:rPr>
      </w:pPr>
      <w:r w:rsidRPr="00413995">
        <w:rPr>
          <w:rFonts w:ascii="Arial" w:hAnsi="Arial" w:cs="Arial"/>
          <w:sz w:val="18"/>
          <w:szCs w:val="18"/>
        </w:rPr>
        <w:t>Ma</w:t>
      </w:r>
      <w:r>
        <w:rPr>
          <w:rFonts w:ascii="Arial" w:hAnsi="Arial" w:cs="Arial"/>
          <w:sz w:val="18"/>
          <w:szCs w:val="18"/>
        </w:rPr>
        <w:t>teria(s): Constitucional, Penal</w:t>
      </w:r>
    </w:p>
    <w:p w14:paraId="06127635" w14:textId="77777777" w:rsidR="00413995" w:rsidRPr="00413995" w:rsidRDefault="00413995" w:rsidP="00413995">
      <w:pPr>
        <w:spacing w:after="0" w:line="240" w:lineRule="auto"/>
        <w:jc w:val="both"/>
        <w:rPr>
          <w:rFonts w:ascii="Arial" w:hAnsi="Arial" w:cs="Arial"/>
          <w:sz w:val="18"/>
          <w:szCs w:val="18"/>
        </w:rPr>
      </w:pPr>
      <w:r>
        <w:rPr>
          <w:rFonts w:ascii="Arial" w:hAnsi="Arial" w:cs="Arial"/>
          <w:sz w:val="18"/>
          <w:szCs w:val="18"/>
        </w:rPr>
        <w:t>Tesis: 1a. CLXIV/2014 (10a.)</w:t>
      </w:r>
    </w:p>
    <w:p w14:paraId="0D4D788B" w14:textId="77777777" w:rsidR="00413995" w:rsidRPr="00413995" w:rsidRDefault="00413995" w:rsidP="00413995">
      <w:pPr>
        <w:spacing w:after="0" w:line="240" w:lineRule="auto"/>
        <w:jc w:val="both"/>
        <w:rPr>
          <w:rFonts w:ascii="Arial" w:hAnsi="Arial" w:cs="Arial"/>
          <w:sz w:val="18"/>
          <w:szCs w:val="18"/>
        </w:rPr>
      </w:pPr>
      <w:r w:rsidRPr="00413995">
        <w:rPr>
          <w:rFonts w:ascii="Arial" w:hAnsi="Arial" w:cs="Arial"/>
          <w:sz w:val="18"/>
          <w:szCs w:val="18"/>
        </w:rPr>
        <w:t>Fuente: Gaceta del Semanario Judicial de la Federación.</w:t>
      </w:r>
    </w:p>
    <w:p w14:paraId="70162331" w14:textId="77777777" w:rsidR="00413995" w:rsidRPr="00413995" w:rsidRDefault="00413995" w:rsidP="00413995">
      <w:pPr>
        <w:spacing w:after="0" w:line="240" w:lineRule="auto"/>
        <w:jc w:val="both"/>
        <w:rPr>
          <w:rFonts w:ascii="Arial" w:hAnsi="Arial" w:cs="Arial"/>
          <w:sz w:val="18"/>
          <w:szCs w:val="18"/>
        </w:rPr>
      </w:pPr>
      <w:r w:rsidRPr="00413995">
        <w:rPr>
          <w:rFonts w:ascii="Arial" w:hAnsi="Arial" w:cs="Arial"/>
          <w:sz w:val="18"/>
          <w:szCs w:val="18"/>
        </w:rPr>
        <w:t>Libro 5, Ab</w:t>
      </w:r>
      <w:r>
        <w:rPr>
          <w:rFonts w:ascii="Arial" w:hAnsi="Arial" w:cs="Arial"/>
          <w:sz w:val="18"/>
          <w:szCs w:val="18"/>
        </w:rPr>
        <w:t>ril de 2014, Tomo I, página 812</w:t>
      </w:r>
    </w:p>
    <w:p w14:paraId="1C50FF92" w14:textId="77777777" w:rsidR="00413995" w:rsidRPr="00413995" w:rsidRDefault="00413995" w:rsidP="00413995">
      <w:pPr>
        <w:spacing w:after="0" w:line="240" w:lineRule="auto"/>
        <w:jc w:val="both"/>
        <w:rPr>
          <w:rFonts w:ascii="Arial" w:hAnsi="Arial" w:cs="Arial"/>
          <w:sz w:val="18"/>
          <w:szCs w:val="18"/>
        </w:rPr>
      </w:pPr>
      <w:r>
        <w:rPr>
          <w:rFonts w:ascii="Arial" w:hAnsi="Arial" w:cs="Arial"/>
          <w:sz w:val="18"/>
          <w:szCs w:val="18"/>
        </w:rPr>
        <w:t>Tipo: Aislada</w:t>
      </w:r>
    </w:p>
    <w:p w14:paraId="6A6945C0" w14:textId="77777777" w:rsidR="00413995" w:rsidRPr="00413995" w:rsidRDefault="00413995" w:rsidP="00413995">
      <w:pPr>
        <w:spacing w:after="0" w:line="240" w:lineRule="auto"/>
        <w:jc w:val="both"/>
        <w:rPr>
          <w:rFonts w:ascii="Arial" w:hAnsi="Arial" w:cs="Arial"/>
          <w:sz w:val="18"/>
          <w:szCs w:val="18"/>
        </w:rPr>
      </w:pPr>
      <w:r w:rsidRPr="00413995">
        <w:rPr>
          <w:rFonts w:ascii="Arial" w:hAnsi="Arial" w:cs="Arial"/>
          <w:sz w:val="18"/>
          <w:szCs w:val="18"/>
        </w:rPr>
        <w:t>REDUCCIÓN DE LA PENA. EL BENEFICIO PREVISTO EN EL ARTÍCULO 71 TER DEL CÓDIGO PENAL PARA EL DISTRITO FEDERAL, ES ACORD</w:t>
      </w:r>
      <w:r>
        <w:rPr>
          <w:rFonts w:ascii="Arial" w:hAnsi="Arial" w:cs="Arial"/>
          <w:sz w:val="18"/>
          <w:szCs w:val="18"/>
        </w:rPr>
        <w:t>E CON EL PRINCIPIO PRO PERSONA.</w:t>
      </w:r>
    </w:p>
    <w:p w14:paraId="63A5BC0D" w14:textId="77777777" w:rsidR="00413995" w:rsidRPr="00413995" w:rsidRDefault="00413995" w:rsidP="00413995">
      <w:pPr>
        <w:spacing w:after="0" w:line="240" w:lineRule="auto"/>
        <w:jc w:val="both"/>
        <w:rPr>
          <w:rFonts w:ascii="Arial" w:hAnsi="Arial" w:cs="Arial"/>
          <w:sz w:val="18"/>
          <w:szCs w:val="18"/>
        </w:rPr>
      </w:pPr>
      <w:r w:rsidRPr="00413995">
        <w:rPr>
          <w:rFonts w:ascii="Arial" w:hAnsi="Arial" w:cs="Arial"/>
          <w:sz w:val="18"/>
          <w:szCs w:val="18"/>
        </w:rPr>
        <w:t xml:space="preserve">El artículo 1o., párrafo segundo, de la Constitución Política de los Estados Unidos Mexicanos prevé que las normas en materia de derechos humanos se interpretarán de conformidad con la propia Constitución y con los tratados internacionales en la materia, procurando favorecer en todo tiempo a las personas con la protección más amplia, esto es, el principio pro persona consiste en ponderar en cada caso el peso de los derechos humanos, para estar siempre a favor de la persona, lo que implica que debe acudirse a la norma más amplia o a la interpretación más extensiva cuando se trate de derechos protegidos y, por el contrario, a la norma o a </w:t>
      </w:r>
      <w:r w:rsidRPr="00413995">
        <w:rPr>
          <w:rFonts w:ascii="Arial" w:hAnsi="Arial" w:cs="Arial"/>
          <w:sz w:val="18"/>
          <w:szCs w:val="18"/>
        </w:rPr>
        <w:lastRenderedPageBreak/>
        <w:t>la interpretación más restringida, si se busca establecer límites a su ejercicio. Ahora bien, la circunstancia de que el artículo 71 Ter del Código Penal para el Distrito Federal establezca que para acceder al beneficio de la reducción de la pena en una tercera parte con motivo de la confesión del imputado, tratándose de delito grave, ésta deba realizarse ante el Ministerio Público y ratificarse ante el juez en la declaración preparatoria, obedece a que el legislador estimó que con ello se podría obtener mayor información respecto de la identidad de otros participantes en el delito y/o de los integrantes del grupo delictivo al que perteneciere el sujeto activo confeso, además de reducir los tiempos de los procesos judiciales y aminorar las cargas de trabajo de los juzgados, estimando que así se evitarían apelaciones innecesarias, que lejos de corresponder a reclamos de justicia, atañen a la estrategia de la defensa; así como evitar un gasto innecesario de recursos humanos y económicos. Por tanto, la citada medida constituye una restricción válida conforme al principio pro persona, pues la condición para acceder al beneficio de reducción de la pena de prisión, atiende a los objetivos que el legislador estableció al emitir la norma citada; de ahí que el hecho de estimar válida la confesión rendida posteriormente a esas etapas procesales, como lo es la instrucción, implicaría dejar de lado tales objetivos; además, una vez iniciada la fase procesal correspondiente a la instrucción, aun en el caso de que el imputado aceptara su participación en la comisión del delito de que se trate, ello de suyo impediría que el proceso pudiera d</w:t>
      </w:r>
      <w:r>
        <w:rPr>
          <w:rFonts w:ascii="Arial" w:hAnsi="Arial" w:cs="Arial"/>
          <w:sz w:val="18"/>
          <w:szCs w:val="18"/>
        </w:rPr>
        <w:t>esarrollarse en la vía sumaria.</w:t>
      </w:r>
    </w:p>
    <w:p w14:paraId="682C2EBD" w14:textId="77777777" w:rsidR="00413995" w:rsidRPr="00413995" w:rsidRDefault="00413995" w:rsidP="00413995">
      <w:pPr>
        <w:spacing w:after="0" w:line="240" w:lineRule="auto"/>
        <w:jc w:val="both"/>
        <w:rPr>
          <w:rFonts w:ascii="Arial" w:hAnsi="Arial" w:cs="Arial"/>
          <w:sz w:val="18"/>
          <w:szCs w:val="18"/>
        </w:rPr>
      </w:pPr>
      <w:r w:rsidRPr="00413995">
        <w:rPr>
          <w:rFonts w:ascii="Arial" w:hAnsi="Arial" w:cs="Arial"/>
          <w:sz w:val="18"/>
          <w:szCs w:val="18"/>
        </w:rPr>
        <w:t>Amparo directo en revisión 3192/2013. 29 de enero de 2014. Mayoría de cuatro votos de los Ministros Arturo Zaldívar Lelo de Larrea, Alfredo Gutiérrez Ortiz Mena, Olga Sánchez Cordero de García Villegas y Jorge Mario Pardo Rebolledo. Disidente: José Ramón Cossío Díaz, quien reservó su derecho para formular voto particular. Ponente: Olga Sánchez Cordero de García Villegas. Secret</w:t>
      </w:r>
      <w:r>
        <w:rPr>
          <w:rFonts w:ascii="Arial" w:hAnsi="Arial" w:cs="Arial"/>
          <w:sz w:val="18"/>
          <w:szCs w:val="18"/>
        </w:rPr>
        <w:t>ario: Octavio Joel Flores Díaz.</w:t>
      </w:r>
    </w:p>
    <w:p w14:paraId="0209F7B5" w14:textId="77777777" w:rsidR="00413995" w:rsidRPr="00413995" w:rsidRDefault="00413995" w:rsidP="00413995">
      <w:pPr>
        <w:spacing w:after="0" w:line="240" w:lineRule="auto"/>
        <w:jc w:val="both"/>
        <w:rPr>
          <w:rFonts w:ascii="Arial" w:hAnsi="Arial" w:cs="Arial"/>
          <w:sz w:val="18"/>
          <w:szCs w:val="18"/>
        </w:rPr>
      </w:pPr>
      <w:r w:rsidRPr="00413995">
        <w:rPr>
          <w:rFonts w:ascii="Arial" w:hAnsi="Arial" w:cs="Arial"/>
          <w:sz w:val="18"/>
          <w:szCs w:val="18"/>
        </w:rPr>
        <w:t>Esta tesis se publicó el viernes 25 de abril de 2014 a las 09:32 horas en el Semanario Judicial de la Federación.</w:t>
      </w:r>
    </w:p>
    <w:p w14:paraId="53709592" w14:textId="77777777" w:rsidR="00413995" w:rsidRPr="00413995" w:rsidRDefault="00413995" w:rsidP="00413995">
      <w:pPr>
        <w:spacing w:after="0" w:line="240" w:lineRule="auto"/>
        <w:jc w:val="both"/>
        <w:rPr>
          <w:rFonts w:ascii="Arial" w:hAnsi="Arial" w:cs="Arial"/>
          <w:sz w:val="18"/>
          <w:szCs w:val="18"/>
        </w:rPr>
      </w:pPr>
    </w:p>
    <w:p w14:paraId="2126F270" w14:textId="77777777" w:rsidR="0047733D" w:rsidRPr="00B33EAF" w:rsidRDefault="0047733D" w:rsidP="00413995">
      <w:pPr>
        <w:spacing w:after="0" w:line="240" w:lineRule="auto"/>
        <w:jc w:val="both"/>
        <w:rPr>
          <w:rFonts w:ascii="Arial" w:hAnsi="Arial" w:cs="Arial"/>
          <w:sz w:val="18"/>
          <w:szCs w:val="18"/>
        </w:rPr>
      </w:pPr>
      <w:r w:rsidRPr="00B33EAF">
        <w:rPr>
          <w:rFonts w:ascii="Arial" w:hAnsi="Arial" w:cs="Arial"/>
          <w:sz w:val="18"/>
          <w:szCs w:val="18"/>
        </w:rPr>
        <w:t xml:space="preserve">Época: Décima Época </w:t>
      </w:r>
    </w:p>
    <w:p w14:paraId="6E2F687C" w14:textId="77777777" w:rsidR="0047733D" w:rsidRPr="00B33EAF" w:rsidRDefault="0047733D" w:rsidP="0047733D">
      <w:pPr>
        <w:spacing w:after="0" w:line="240" w:lineRule="auto"/>
        <w:jc w:val="both"/>
        <w:rPr>
          <w:rFonts w:ascii="Arial" w:hAnsi="Arial" w:cs="Arial"/>
          <w:sz w:val="18"/>
          <w:szCs w:val="18"/>
        </w:rPr>
      </w:pPr>
      <w:r w:rsidRPr="00B33EAF">
        <w:rPr>
          <w:rFonts w:ascii="Arial" w:hAnsi="Arial" w:cs="Arial"/>
          <w:sz w:val="18"/>
          <w:szCs w:val="18"/>
        </w:rPr>
        <w:t xml:space="preserve">Registro: 2005477 </w:t>
      </w:r>
    </w:p>
    <w:p w14:paraId="2BC846EC" w14:textId="77777777" w:rsidR="0047733D" w:rsidRPr="00B33EAF" w:rsidRDefault="0047733D" w:rsidP="0047733D">
      <w:pPr>
        <w:spacing w:after="0" w:line="240" w:lineRule="auto"/>
        <w:jc w:val="both"/>
        <w:rPr>
          <w:rFonts w:ascii="Arial" w:hAnsi="Arial" w:cs="Arial"/>
          <w:sz w:val="18"/>
          <w:szCs w:val="18"/>
        </w:rPr>
      </w:pPr>
      <w:r w:rsidRPr="00B33EAF">
        <w:rPr>
          <w:rFonts w:ascii="Arial" w:hAnsi="Arial" w:cs="Arial"/>
          <w:sz w:val="18"/>
          <w:szCs w:val="18"/>
        </w:rPr>
        <w:t xml:space="preserve">Instancia: Tribunales Colegiados de Circuito </w:t>
      </w:r>
    </w:p>
    <w:p w14:paraId="3D559889" w14:textId="77777777" w:rsidR="0047733D" w:rsidRPr="00B33EAF" w:rsidRDefault="0047733D" w:rsidP="0047733D">
      <w:pPr>
        <w:spacing w:after="0" w:line="240" w:lineRule="auto"/>
        <w:jc w:val="both"/>
        <w:rPr>
          <w:rFonts w:ascii="Arial" w:hAnsi="Arial" w:cs="Arial"/>
          <w:sz w:val="18"/>
          <w:szCs w:val="18"/>
        </w:rPr>
      </w:pPr>
      <w:r w:rsidRPr="00B33EAF">
        <w:rPr>
          <w:rFonts w:ascii="Arial" w:hAnsi="Arial" w:cs="Arial"/>
          <w:sz w:val="18"/>
          <w:szCs w:val="18"/>
        </w:rPr>
        <w:t xml:space="preserve">Tipo de Tesis: Jurisprudencia </w:t>
      </w:r>
    </w:p>
    <w:p w14:paraId="17C9A094" w14:textId="77777777" w:rsidR="0047733D" w:rsidRPr="00B33EAF" w:rsidRDefault="0047733D" w:rsidP="0047733D">
      <w:pPr>
        <w:spacing w:after="0" w:line="240" w:lineRule="auto"/>
        <w:jc w:val="both"/>
        <w:rPr>
          <w:rFonts w:ascii="Arial" w:hAnsi="Arial" w:cs="Arial"/>
          <w:sz w:val="18"/>
          <w:szCs w:val="18"/>
        </w:rPr>
      </w:pPr>
      <w:r w:rsidRPr="00B33EAF">
        <w:rPr>
          <w:rFonts w:ascii="Arial" w:hAnsi="Arial" w:cs="Arial"/>
          <w:sz w:val="18"/>
          <w:szCs w:val="18"/>
        </w:rPr>
        <w:t xml:space="preserve">Fuente: Gaceta del Semanario Judicial de la Federación </w:t>
      </w:r>
    </w:p>
    <w:p w14:paraId="2D221B51" w14:textId="77777777" w:rsidR="0047733D" w:rsidRPr="00B33EAF" w:rsidRDefault="0047733D" w:rsidP="0047733D">
      <w:pPr>
        <w:spacing w:after="0" w:line="240" w:lineRule="auto"/>
        <w:jc w:val="both"/>
        <w:rPr>
          <w:rFonts w:ascii="Arial" w:hAnsi="Arial" w:cs="Arial"/>
          <w:sz w:val="18"/>
          <w:szCs w:val="18"/>
        </w:rPr>
      </w:pPr>
      <w:r w:rsidRPr="00B33EAF">
        <w:rPr>
          <w:rFonts w:ascii="Arial" w:hAnsi="Arial" w:cs="Arial"/>
          <w:sz w:val="18"/>
          <w:szCs w:val="18"/>
        </w:rPr>
        <w:t xml:space="preserve">Libro 3, Febrero de 2014, Tomo III </w:t>
      </w:r>
    </w:p>
    <w:p w14:paraId="107ECC31" w14:textId="77777777" w:rsidR="0047733D" w:rsidRPr="00B33EAF" w:rsidRDefault="0047733D" w:rsidP="0047733D">
      <w:pPr>
        <w:spacing w:after="0" w:line="240" w:lineRule="auto"/>
        <w:jc w:val="both"/>
        <w:rPr>
          <w:rFonts w:ascii="Arial" w:hAnsi="Arial" w:cs="Arial"/>
          <w:sz w:val="18"/>
          <w:szCs w:val="18"/>
        </w:rPr>
      </w:pPr>
      <w:r w:rsidRPr="00B33EAF">
        <w:rPr>
          <w:rFonts w:ascii="Arial" w:hAnsi="Arial" w:cs="Arial"/>
          <w:sz w:val="18"/>
          <w:szCs w:val="18"/>
        </w:rPr>
        <w:t xml:space="preserve">Materia(s): Constitucional </w:t>
      </w:r>
    </w:p>
    <w:p w14:paraId="6B6C3E81" w14:textId="77777777" w:rsidR="0047733D" w:rsidRPr="00B33EAF" w:rsidRDefault="0047733D" w:rsidP="0047733D">
      <w:pPr>
        <w:spacing w:after="0" w:line="240" w:lineRule="auto"/>
        <w:jc w:val="both"/>
        <w:rPr>
          <w:rFonts w:ascii="Arial" w:hAnsi="Arial" w:cs="Arial"/>
          <w:sz w:val="18"/>
          <w:szCs w:val="18"/>
        </w:rPr>
      </w:pPr>
      <w:r w:rsidRPr="00B33EAF">
        <w:rPr>
          <w:rFonts w:ascii="Arial" w:hAnsi="Arial" w:cs="Arial"/>
          <w:sz w:val="18"/>
          <w:szCs w:val="18"/>
        </w:rPr>
        <w:t xml:space="preserve">Tesis: II.3o.P. J/3 (10a.) </w:t>
      </w:r>
    </w:p>
    <w:p w14:paraId="32A6B860" w14:textId="77777777" w:rsidR="0047733D" w:rsidRPr="00B33EAF" w:rsidRDefault="0047733D" w:rsidP="0047733D">
      <w:pPr>
        <w:spacing w:after="0" w:line="240" w:lineRule="auto"/>
        <w:jc w:val="both"/>
        <w:rPr>
          <w:rFonts w:ascii="Arial" w:hAnsi="Arial" w:cs="Arial"/>
          <w:sz w:val="18"/>
          <w:szCs w:val="18"/>
        </w:rPr>
      </w:pPr>
      <w:r w:rsidRPr="00B33EAF">
        <w:rPr>
          <w:rFonts w:ascii="Arial" w:hAnsi="Arial" w:cs="Arial"/>
          <w:sz w:val="18"/>
          <w:szCs w:val="18"/>
        </w:rPr>
        <w:t xml:space="preserve">Página: 2019 </w:t>
      </w:r>
    </w:p>
    <w:p w14:paraId="40FC08BA" w14:textId="77777777" w:rsidR="0047733D" w:rsidRPr="00B33EAF" w:rsidRDefault="0047733D" w:rsidP="0047733D">
      <w:pPr>
        <w:spacing w:after="0" w:line="240" w:lineRule="auto"/>
        <w:jc w:val="both"/>
        <w:rPr>
          <w:rFonts w:ascii="Arial" w:hAnsi="Arial" w:cs="Arial"/>
          <w:sz w:val="18"/>
          <w:szCs w:val="18"/>
        </w:rPr>
      </w:pPr>
      <w:r w:rsidRPr="00B33EAF">
        <w:rPr>
          <w:rFonts w:ascii="Arial" w:hAnsi="Arial" w:cs="Arial"/>
          <w:sz w:val="18"/>
          <w:szCs w:val="18"/>
        </w:rPr>
        <w:t>PRINCIPIO PRO HOMINE O PRO PERSONA. SI EN UN CASO CONCRETO NO SE ACTUALIZA LA ANTINOMIA DE DOS NORMAS QUE TUTELAN DERECHOS HUMANOS PARA QUE EL JUZGADOR INTERPRETE CUÁL ES LA QUE RESULTA DE MAYOR BENEFICIO PARA LA PERSONA, AQUÉL NO ES EL IDÓNEO PARA RESOLVERLO.</w:t>
      </w:r>
    </w:p>
    <w:p w14:paraId="1FE796D9" w14:textId="77777777" w:rsidR="0047733D" w:rsidRPr="00B33EAF" w:rsidRDefault="0047733D" w:rsidP="0047733D">
      <w:pPr>
        <w:spacing w:after="0" w:line="240" w:lineRule="auto"/>
        <w:jc w:val="both"/>
        <w:rPr>
          <w:rFonts w:ascii="Arial" w:hAnsi="Arial" w:cs="Arial"/>
          <w:sz w:val="18"/>
          <w:szCs w:val="18"/>
        </w:rPr>
      </w:pPr>
      <w:r w:rsidRPr="00B33EAF">
        <w:rPr>
          <w:rFonts w:ascii="Arial" w:hAnsi="Arial" w:cs="Arial"/>
          <w:sz w:val="18"/>
          <w:szCs w:val="18"/>
        </w:rPr>
        <w:t>La Corte Interamericana de Derechos Humanos, al explicar el alcance de este principio, en relación con las restricciones de los derechos humanos, expresó que "entre varias opciones para alcanzar ese objetivo debe escogerse aquella que restrinja en menor escala el derecho protegido". Así, cuando esa regla se manifiesta mediante la preferencia interpretativa extensiva, implica que ante diferentes interpretaciones de un dispositivo legal, debe optarse por aquella que conduzca a una mejor y más amplia protección de los derechos fundamentales, descartando así las que restrinjan o limiten su ejercicio. Bajo este contexto, resulta improcedente que, a la luz del principio pro homine o pro persona, pretendan enfrentarse normas de naturaleza y finalidad distintas, sobre todo, si no tutelan derechos humanos (regulan cuestiones procesales), pues su contenido no conlleva oposición alguna en materia de derechos fundamentales, de modo que el juzgador pudiera interpretar cuál es la que resulta de mayor beneficio para la persona; de ahí que si entre esas dos normas no se actualiza la antinomia sobre dicha materia, el citado principio no es el idóneo para resolver el caso concreto.</w:t>
      </w:r>
    </w:p>
    <w:p w14:paraId="1292BD0E" w14:textId="77777777" w:rsidR="0047733D" w:rsidRPr="00B33EAF" w:rsidRDefault="0047733D" w:rsidP="0047733D">
      <w:pPr>
        <w:spacing w:after="0" w:line="240" w:lineRule="auto"/>
        <w:jc w:val="both"/>
        <w:rPr>
          <w:rFonts w:ascii="Arial" w:hAnsi="Arial" w:cs="Arial"/>
          <w:sz w:val="18"/>
          <w:szCs w:val="18"/>
        </w:rPr>
      </w:pPr>
      <w:r w:rsidRPr="00B33EAF">
        <w:rPr>
          <w:rFonts w:ascii="Arial" w:hAnsi="Arial" w:cs="Arial"/>
          <w:sz w:val="18"/>
          <w:szCs w:val="18"/>
        </w:rPr>
        <w:t>TERCER TRIBUNAL COLEGIADO EN MATERIA PENAL DEL SEGUNDO CIRCUITO.</w:t>
      </w:r>
    </w:p>
    <w:p w14:paraId="226B7ABC" w14:textId="77777777" w:rsidR="0047733D" w:rsidRPr="00B33EAF" w:rsidRDefault="0047733D" w:rsidP="0047733D">
      <w:pPr>
        <w:spacing w:after="0" w:line="240" w:lineRule="auto"/>
        <w:jc w:val="both"/>
        <w:rPr>
          <w:rFonts w:ascii="Arial" w:hAnsi="Arial" w:cs="Arial"/>
          <w:sz w:val="18"/>
          <w:szCs w:val="18"/>
        </w:rPr>
      </w:pPr>
      <w:r w:rsidRPr="00B33EAF">
        <w:rPr>
          <w:rFonts w:ascii="Arial" w:hAnsi="Arial" w:cs="Arial"/>
          <w:sz w:val="18"/>
          <w:szCs w:val="18"/>
        </w:rPr>
        <w:t xml:space="preserve">Amparo en revisión 35/2012. 3 de agosto de 2012. Unanimidad de votos. Ponente: José Valle Hernández. Secretaria: Gabriela Bravo Hernández. </w:t>
      </w:r>
    </w:p>
    <w:p w14:paraId="10503E10" w14:textId="77777777" w:rsidR="0047733D" w:rsidRPr="00B33EAF" w:rsidRDefault="0047733D" w:rsidP="0047733D">
      <w:pPr>
        <w:spacing w:after="0" w:line="240" w:lineRule="auto"/>
        <w:jc w:val="both"/>
        <w:rPr>
          <w:rFonts w:ascii="Arial" w:hAnsi="Arial" w:cs="Arial"/>
          <w:sz w:val="18"/>
          <w:szCs w:val="18"/>
        </w:rPr>
      </w:pPr>
    </w:p>
    <w:p w14:paraId="7169B564" w14:textId="77777777" w:rsidR="00AD756A" w:rsidRPr="00B33EAF" w:rsidRDefault="00AD756A" w:rsidP="0047733D">
      <w:pPr>
        <w:spacing w:after="0" w:line="240" w:lineRule="auto"/>
        <w:jc w:val="both"/>
        <w:rPr>
          <w:rFonts w:ascii="Arial" w:hAnsi="Arial" w:cs="Arial"/>
          <w:sz w:val="18"/>
          <w:szCs w:val="18"/>
        </w:rPr>
      </w:pPr>
      <w:r w:rsidRPr="00B33EAF">
        <w:rPr>
          <w:rFonts w:ascii="Arial" w:hAnsi="Arial" w:cs="Arial"/>
          <w:sz w:val="18"/>
          <w:szCs w:val="18"/>
        </w:rPr>
        <w:t>Décima Época</w:t>
      </w:r>
    </w:p>
    <w:p w14:paraId="7F60A566" w14:textId="77777777" w:rsidR="00AD756A" w:rsidRPr="00B33EAF" w:rsidRDefault="00AD756A" w:rsidP="00AD756A">
      <w:pPr>
        <w:spacing w:after="0" w:line="240" w:lineRule="auto"/>
        <w:jc w:val="both"/>
        <w:rPr>
          <w:rFonts w:ascii="Arial" w:hAnsi="Arial" w:cs="Arial"/>
          <w:sz w:val="18"/>
          <w:szCs w:val="18"/>
        </w:rPr>
      </w:pPr>
      <w:r w:rsidRPr="00B33EAF">
        <w:rPr>
          <w:rFonts w:ascii="Arial" w:hAnsi="Arial" w:cs="Arial"/>
          <w:sz w:val="18"/>
          <w:szCs w:val="18"/>
        </w:rPr>
        <w:t>Registro: 2003109</w:t>
      </w:r>
    </w:p>
    <w:p w14:paraId="39B645CC" w14:textId="77777777" w:rsidR="00AD756A" w:rsidRPr="00B33EAF" w:rsidRDefault="00AD756A" w:rsidP="00AD756A">
      <w:pPr>
        <w:spacing w:after="0" w:line="240" w:lineRule="auto"/>
        <w:jc w:val="both"/>
        <w:rPr>
          <w:rFonts w:ascii="Arial" w:hAnsi="Arial" w:cs="Arial"/>
          <w:sz w:val="18"/>
          <w:szCs w:val="18"/>
        </w:rPr>
      </w:pPr>
      <w:r w:rsidRPr="00B33EAF">
        <w:rPr>
          <w:rFonts w:ascii="Arial" w:hAnsi="Arial" w:cs="Arial"/>
          <w:sz w:val="18"/>
          <w:szCs w:val="18"/>
        </w:rPr>
        <w:t>Instancia: Primera Sala</w:t>
      </w:r>
    </w:p>
    <w:p w14:paraId="20A073CF" w14:textId="77777777" w:rsidR="00AD756A" w:rsidRPr="00B33EAF" w:rsidRDefault="00AD756A" w:rsidP="00AD756A">
      <w:pPr>
        <w:spacing w:after="0" w:line="240" w:lineRule="auto"/>
        <w:jc w:val="both"/>
        <w:rPr>
          <w:rFonts w:ascii="Arial" w:hAnsi="Arial" w:cs="Arial"/>
          <w:sz w:val="18"/>
          <w:szCs w:val="18"/>
        </w:rPr>
      </w:pPr>
      <w:r w:rsidRPr="00B33EAF">
        <w:rPr>
          <w:rFonts w:ascii="Arial" w:hAnsi="Arial" w:cs="Arial"/>
          <w:sz w:val="18"/>
          <w:szCs w:val="18"/>
        </w:rPr>
        <w:t>Tesis Aislada</w:t>
      </w:r>
    </w:p>
    <w:p w14:paraId="468797BA" w14:textId="77777777" w:rsidR="00AD756A" w:rsidRPr="00B33EAF" w:rsidRDefault="00AD756A" w:rsidP="00AD756A">
      <w:pPr>
        <w:spacing w:after="0" w:line="240" w:lineRule="auto"/>
        <w:jc w:val="both"/>
        <w:rPr>
          <w:rFonts w:ascii="Arial" w:hAnsi="Arial" w:cs="Arial"/>
          <w:sz w:val="18"/>
          <w:szCs w:val="18"/>
        </w:rPr>
      </w:pPr>
      <w:r w:rsidRPr="00B33EAF">
        <w:rPr>
          <w:rFonts w:ascii="Arial" w:hAnsi="Arial" w:cs="Arial"/>
          <w:sz w:val="18"/>
          <w:szCs w:val="18"/>
        </w:rPr>
        <w:t>Fuente: Semanario Judicial de la Federación y su Gaceta</w:t>
      </w:r>
    </w:p>
    <w:p w14:paraId="5AD49801" w14:textId="77777777" w:rsidR="00AD756A" w:rsidRPr="00B33EAF" w:rsidRDefault="00AD756A" w:rsidP="00AD756A">
      <w:pPr>
        <w:spacing w:after="0" w:line="240" w:lineRule="auto"/>
        <w:jc w:val="both"/>
        <w:rPr>
          <w:rFonts w:ascii="Arial" w:hAnsi="Arial" w:cs="Arial"/>
          <w:sz w:val="18"/>
          <w:szCs w:val="18"/>
        </w:rPr>
      </w:pPr>
      <w:r w:rsidRPr="00B33EAF">
        <w:rPr>
          <w:rFonts w:ascii="Arial" w:hAnsi="Arial" w:cs="Arial"/>
          <w:sz w:val="18"/>
          <w:szCs w:val="18"/>
        </w:rPr>
        <w:t>Libro XVIII, Marzo de 2013, Tomo 1</w:t>
      </w:r>
    </w:p>
    <w:p w14:paraId="28D84B9C" w14:textId="77777777" w:rsidR="00AD756A" w:rsidRPr="00B33EAF" w:rsidRDefault="00AD756A" w:rsidP="00AD756A">
      <w:pPr>
        <w:spacing w:after="0" w:line="240" w:lineRule="auto"/>
        <w:jc w:val="both"/>
        <w:rPr>
          <w:rFonts w:ascii="Arial" w:hAnsi="Arial" w:cs="Arial"/>
          <w:sz w:val="18"/>
          <w:szCs w:val="18"/>
        </w:rPr>
      </w:pPr>
      <w:r w:rsidRPr="00B33EAF">
        <w:rPr>
          <w:rFonts w:ascii="Arial" w:hAnsi="Arial" w:cs="Arial"/>
          <w:sz w:val="18"/>
          <w:szCs w:val="18"/>
        </w:rPr>
        <w:t>Materia(s): Constitucional</w:t>
      </w:r>
    </w:p>
    <w:p w14:paraId="0CD97312" w14:textId="77777777" w:rsidR="00AD756A" w:rsidRPr="00B33EAF" w:rsidRDefault="00AD756A" w:rsidP="00AD756A">
      <w:pPr>
        <w:spacing w:after="0" w:line="240" w:lineRule="auto"/>
        <w:jc w:val="both"/>
        <w:rPr>
          <w:rFonts w:ascii="Arial" w:hAnsi="Arial" w:cs="Arial"/>
          <w:sz w:val="18"/>
          <w:szCs w:val="18"/>
        </w:rPr>
      </w:pPr>
      <w:r w:rsidRPr="00B33EAF">
        <w:rPr>
          <w:rFonts w:ascii="Arial" w:hAnsi="Arial" w:cs="Arial"/>
          <w:sz w:val="18"/>
          <w:szCs w:val="18"/>
        </w:rPr>
        <w:t>Tesis: 1a. LXXXIV/2013 (10a.)</w:t>
      </w:r>
    </w:p>
    <w:p w14:paraId="0D203363" w14:textId="77777777" w:rsidR="00AD756A" w:rsidRPr="00B33EAF" w:rsidRDefault="00AD756A" w:rsidP="00AD756A">
      <w:pPr>
        <w:spacing w:after="0" w:line="240" w:lineRule="auto"/>
        <w:jc w:val="both"/>
        <w:rPr>
          <w:rFonts w:ascii="Arial" w:hAnsi="Arial" w:cs="Arial"/>
          <w:sz w:val="18"/>
          <w:szCs w:val="18"/>
        </w:rPr>
      </w:pPr>
      <w:r w:rsidRPr="00B33EAF">
        <w:rPr>
          <w:rFonts w:ascii="Arial" w:hAnsi="Arial" w:cs="Arial"/>
          <w:sz w:val="18"/>
          <w:szCs w:val="18"/>
        </w:rPr>
        <w:t>Página:   890</w:t>
      </w:r>
    </w:p>
    <w:p w14:paraId="27601922" w14:textId="77777777" w:rsidR="00AD756A" w:rsidRPr="00B33EAF" w:rsidRDefault="00AD756A" w:rsidP="00AD756A">
      <w:pPr>
        <w:spacing w:after="0" w:line="240" w:lineRule="auto"/>
        <w:jc w:val="both"/>
        <w:rPr>
          <w:rFonts w:ascii="Arial" w:hAnsi="Arial" w:cs="Arial"/>
          <w:sz w:val="18"/>
          <w:szCs w:val="18"/>
        </w:rPr>
      </w:pPr>
      <w:r w:rsidRPr="00B33EAF">
        <w:rPr>
          <w:rFonts w:ascii="Arial" w:hAnsi="Arial" w:cs="Arial"/>
          <w:sz w:val="18"/>
          <w:szCs w:val="18"/>
        </w:rPr>
        <w:t>PRINCIPIO PRO PERSONA Y RECURSO EFECTIVO. EL GOBERNADO NO ESTÁ EXIMIDO DE RESPETAR LOS REQUISITOS DE PROCEDENCIA PREVISTOS EN LAS LEYES PARA INTERPONER UN MEDIO DE DEFENSA.</w:t>
      </w:r>
    </w:p>
    <w:p w14:paraId="2CB101B9" w14:textId="77777777" w:rsidR="00AD756A" w:rsidRPr="00B33EAF" w:rsidRDefault="00AD756A" w:rsidP="00AD756A">
      <w:pPr>
        <w:spacing w:after="0" w:line="240" w:lineRule="auto"/>
        <w:jc w:val="both"/>
        <w:rPr>
          <w:rFonts w:ascii="Arial" w:hAnsi="Arial" w:cs="Arial"/>
          <w:sz w:val="18"/>
          <w:szCs w:val="18"/>
        </w:rPr>
      </w:pPr>
      <w:r w:rsidRPr="00B33EAF">
        <w:rPr>
          <w:rFonts w:ascii="Arial" w:hAnsi="Arial" w:cs="Arial"/>
          <w:sz w:val="18"/>
          <w:szCs w:val="18"/>
        </w:rPr>
        <w:t>Si bien la reforma al artículo 1o. de la Constitución Política de los Estados Unidos Mexicanos, de 10 de junio de 2011, implicó la modificación del sistema jurídico mexicano para incorporar el denominado principio pro persona, el cual consiste en brindar la protección más amplia al gobernado, así como los tratados internacionales en materia de derechos humanos, entre ellos el derecho a un recurso efectivo, previsto en el artículo 25 de la Convención Americana sobre Derechos Humanos, ello no significa que en cualquier caso el órgano jurisdiccional deba resolver el fondo del asunto, sin que importe la verificación de los requisitos de procedencia previstos en las leyes nacionales para la interposición de cualquier medio de defensa, ya que las formalidades procesales son la vía que hace posible arribar a una adecuada resolución, por lo que tales aspectos, por sí mismos, son insuficientes para declarar procedente lo improcedente.</w:t>
      </w:r>
    </w:p>
    <w:p w14:paraId="1D9BDDEA" w14:textId="77777777" w:rsidR="00AD756A" w:rsidRPr="00B33EAF" w:rsidRDefault="00AD756A" w:rsidP="00AD756A">
      <w:pPr>
        <w:spacing w:after="0" w:line="240" w:lineRule="auto"/>
        <w:jc w:val="both"/>
        <w:rPr>
          <w:rFonts w:ascii="Arial" w:hAnsi="Arial" w:cs="Arial"/>
          <w:sz w:val="18"/>
          <w:szCs w:val="18"/>
        </w:rPr>
      </w:pPr>
      <w:r w:rsidRPr="00B33EAF">
        <w:rPr>
          <w:rFonts w:ascii="Arial" w:hAnsi="Arial" w:cs="Arial"/>
          <w:sz w:val="18"/>
          <w:szCs w:val="18"/>
        </w:rPr>
        <w:t>Amparo directo en revisión 3103/2012. Centro Mexicano para la Defensa del Medio Ambiente, A.C. 28 de noviembre de 2012. Cinco votos. Ponente: Jorge Mario Pardo Rebolledo. Secretario: Alejandro Castañón Ramírez.</w:t>
      </w:r>
    </w:p>
    <w:p w14:paraId="7F9D2D53" w14:textId="77777777" w:rsidR="00AD756A" w:rsidRPr="00B33EAF" w:rsidRDefault="00AD756A" w:rsidP="00AD756A">
      <w:pPr>
        <w:spacing w:after="0" w:line="240" w:lineRule="auto"/>
        <w:jc w:val="both"/>
        <w:rPr>
          <w:rFonts w:ascii="Arial" w:hAnsi="Arial" w:cs="Arial"/>
          <w:sz w:val="18"/>
          <w:szCs w:val="18"/>
        </w:rPr>
      </w:pPr>
    </w:p>
    <w:p w14:paraId="4BE0C8C1" w14:textId="77777777" w:rsidR="00AD756A" w:rsidRPr="00B33EAF" w:rsidRDefault="00AD756A" w:rsidP="00AD756A">
      <w:pPr>
        <w:spacing w:after="0" w:line="240" w:lineRule="auto"/>
        <w:jc w:val="both"/>
        <w:rPr>
          <w:rFonts w:ascii="Arial" w:hAnsi="Arial" w:cs="Arial"/>
          <w:sz w:val="18"/>
          <w:szCs w:val="18"/>
        </w:rPr>
      </w:pPr>
      <w:r w:rsidRPr="00B33EAF">
        <w:rPr>
          <w:rFonts w:ascii="Arial" w:hAnsi="Arial" w:cs="Arial"/>
          <w:sz w:val="18"/>
          <w:szCs w:val="18"/>
        </w:rPr>
        <w:lastRenderedPageBreak/>
        <w:t>Décima Época</w:t>
      </w:r>
    </w:p>
    <w:p w14:paraId="09827AD8" w14:textId="77777777" w:rsidR="00AD756A" w:rsidRPr="00B33EAF" w:rsidRDefault="00AD756A" w:rsidP="00AD756A">
      <w:pPr>
        <w:spacing w:after="0" w:line="240" w:lineRule="auto"/>
        <w:jc w:val="both"/>
        <w:rPr>
          <w:rFonts w:ascii="Arial" w:hAnsi="Arial" w:cs="Arial"/>
          <w:sz w:val="18"/>
          <w:szCs w:val="18"/>
        </w:rPr>
      </w:pPr>
      <w:r w:rsidRPr="00B33EAF">
        <w:rPr>
          <w:rFonts w:ascii="Arial" w:hAnsi="Arial" w:cs="Arial"/>
          <w:sz w:val="18"/>
          <w:szCs w:val="18"/>
        </w:rPr>
        <w:t>Registro: 2002861</w:t>
      </w:r>
    </w:p>
    <w:p w14:paraId="6DAF6511" w14:textId="77777777" w:rsidR="00AD756A" w:rsidRPr="00B33EAF" w:rsidRDefault="00AD756A" w:rsidP="00AD756A">
      <w:pPr>
        <w:spacing w:after="0" w:line="240" w:lineRule="auto"/>
        <w:jc w:val="both"/>
        <w:rPr>
          <w:rFonts w:ascii="Arial" w:hAnsi="Arial" w:cs="Arial"/>
          <w:sz w:val="18"/>
          <w:szCs w:val="18"/>
        </w:rPr>
      </w:pPr>
      <w:r w:rsidRPr="00B33EAF">
        <w:rPr>
          <w:rFonts w:ascii="Arial" w:hAnsi="Arial" w:cs="Arial"/>
          <w:sz w:val="18"/>
          <w:szCs w:val="18"/>
        </w:rPr>
        <w:t>Instancia: Tribunales Colegiados de Circuito</w:t>
      </w:r>
    </w:p>
    <w:p w14:paraId="7CC52AA5" w14:textId="77777777" w:rsidR="00AD756A" w:rsidRPr="00B33EAF" w:rsidRDefault="00AD756A" w:rsidP="00AD756A">
      <w:pPr>
        <w:spacing w:after="0" w:line="240" w:lineRule="auto"/>
        <w:jc w:val="both"/>
        <w:rPr>
          <w:rFonts w:ascii="Arial" w:hAnsi="Arial" w:cs="Arial"/>
          <w:sz w:val="18"/>
          <w:szCs w:val="18"/>
        </w:rPr>
      </w:pPr>
      <w:r w:rsidRPr="00B33EAF">
        <w:rPr>
          <w:rFonts w:ascii="Arial" w:hAnsi="Arial" w:cs="Arial"/>
          <w:sz w:val="18"/>
          <w:szCs w:val="18"/>
        </w:rPr>
        <w:t>Jurisprudencia</w:t>
      </w:r>
    </w:p>
    <w:p w14:paraId="3301E451" w14:textId="77777777" w:rsidR="00AD756A" w:rsidRPr="00B33EAF" w:rsidRDefault="00AD756A" w:rsidP="00AD756A">
      <w:pPr>
        <w:spacing w:after="0" w:line="240" w:lineRule="auto"/>
        <w:jc w:val="both"/>
        <w:rPr>
          <w:rFonts w:ascii="Arial" w:hAnsi="Arial" w:cs="Arial"/>
          <w:sz w:val="18"/>
          <w:szCs w:val="18"/>
        </w:rPr>
      </w:pPr>
      <w:r w:rsidRPr="00B33EAF">
        <w:rPr>
          <w:rFonts w:ascii="Arial" w:hAnsi="Arial" w:cs="Arial"/>
          <w:sz w:val="18"/>
          <w:szCs w:val="18"/>
        </w:rPr>
        <w:t>Fuente: Semanario Judicial de la Federación y su Gaceta</w:t>
      </w:r>
    </w:p>
    <w:p w14:paraId="6AA0D250" w14:textId="77777777" w:rsidR="00AD756A" w:rsidRPr="00B33EAF" w:rsidRDefault="00AD756A" w:rsidP="00AD756A">
      <w:pPr>
        <w:spacing w:after="0" w:line="240" w:lineRule="auto"/>
        <w:jc w:val="both"/>
        <w:rPr>
          <w:rFonts w:ascii="Arial" w:hAnsi="Arial" w:cs="Arial"/>
          <w:sz w:val="18"/>
          <w:szCs w:val="18"/>
        </w:rPr>
      </w:pPr>
      <w:r w:rsidRPr="00B33EAF">
        <w:rPr>
          <w:rFonts w:ascii="Arial" w:hAnsi="Arial" w:cs="Arial"/>
          <w:sz w:val="18"/>
          <w:szCs w:val="18"/>
        </w:rPr>
        <w:t>Libro XVII, Febrero de 2013, Tomo 2</w:t>
      </w:r>
    </w:p>
    <w:p w14:paraId="36B12D91" w14:textId="77777777" w:rsidR="00AD756A" w:rsidRPr="00B33EAF" w:rsidRDefault="00AD756A" w:rsidP="00AD756A">
      <w:pPr>
        <w:spacing w:after="0" w:line="240" w:lineRule="auto"/>
        <w:jc w:val="both"/>
        <w:rPr>
          <w:rFonts w:ascii="Arial" w:hAnsi="Arial" w:cs="Arial"/>
          <w:sz w:val="18"/>
          <w:szCs w:val="18"/>
        </w:rPr>
      </w:pPr>
      <w:r w:rsidRPr="00B33EAF">
        <w:rPr>
          <w:rFonts w:ascii="Arial" w:hAnsi="Arial" w:cs="Arial"/>
          <w:sz w:val="18"/>
          <w:szCs w:val="18"/>
        </w:rPr>
        <w:t>Materia(s): Común</w:t>
      </w:r>
    </w:p>
    <w:p w14:paraId="462DD9BC" w14:textId="77777777" w:rsidR="00AD756A" w:rsidRPr="00B33EAF" w:rsidRDefault="00AD756A" w:rsidP="00AD756A">
      <w:pPr>
        <w:spacing w:after="0" w:line="240" w:lineRule="auto"/>
        <w:jc w:val="both"/>
        <w:rPr>
          <w:rFonts w:ascii="Arial" w:hAnsi="Arial" w:cs="Arial"/>
          <w:sz w:val="18"/>
          <w:szCs w:val="18"/>
        </w:rPr>
      </w:pPr>
      <w:r w:rsidRPr="00B33EAF">
        <w:rPr>
          <w:rFonts w:ascii="Arial" w:hAnsi="Arial" w:cs="Arial"/>
          <w:sz w:val="18"/>
          <w:szCs w:val="18"/>
        </w:rPr>
        <w:t>Tesis: VI.3o.A. J/2 (10a.)</w:t>
      </w:r>
    </w:p>
    <w:p w14:paraId="6806D4C4" w14:textId="77777777" w:rsidR="00AD756A" w:rsidRPr="00B33EAF" w:rsidRDefault="00AD756A" w:rsidP="00AD756A">
      <w:pPr>
        <w:spacing w:after="0" w:line="240" w:lineRule="auto"/>
        <w:jc w:val="both"/>
        <w:rPr>
          <w:rFonts w:ascii="Arial" w:hAnsi="Arial" w:cs="Arial"/>
          <w:sz w:val="18"/>
          <w:szCs w:val="18"/>
        </w:rPr>
      </w:pPr>
      <w:r w:rsidRPr="00B33EAF">
        <w:rPr>
          <w:rFonts w:ascii="Arial" w:hAnsi="Arial" w:cs="Arial"/>
          <w:sz w:val="18"/>
          <w:szCs w:val="18"/>
        </w:rPr>
        <w:t>Página:  1241</w:t>
      </w:r>
    </w:p>
    <w:p w14:paraId="691D4A61" w14:textId="77777777" w:rsidR="00AD756A" w:rsidRPr="00B33EAF" w:rsidRDefault="00AD756A" w:rsidP="00AD756A">
      <w:pPr>
        <w:spacing w:after="0" w:line="240" w:lineRule="auto"/>
        <w:jc w:val="both"/>
        <w:rPr>
          <w:rFonts w:ascii="Arial" w:hAnsi="Arial" w:cs="Arial"/>
          <w:sz w:val="18"/>
          <w:szCs w:val="18"/>
        </w:rPr>
      </w:pPr>
      <w:r w:rsidRPr="00B33EAF">
        <w:rPr>
          <w:rFonts w:ascii="Arial" w:hAnsi="Arial" w:cs="Arial"/>
          <w:sz w:val="18"/>
          <w:szCs w:val="18"/>
        </w:rPr>
        <w:t>PRINCIPIO PRO HOMINE Y CONTROL DE CONVENCIONALIDAD. SU APLICACIÓN NO IMPLICA EL DESCONOCIMIENTO DE LOS PRESUPUESTOS FORMALES Y MATERIALES DE ADMISIBILIDAD Y PROCEDENCIA DE LAS ACCIONES.</w:t>
      </w:r>
    </w:p>
    <w:p w14:paraId="23BB49A6" w14:textId="77777777" w:rsidR="00AD756A" w:rsidRPr="00B33EAF" w:rsidRDefault="00AD756A" w:rsidP="00AD756A">
      <w:pPr>
        <w:spacing w:after="0" w:line="240" w:lineRule="auto"/>
        <w:jc w:val="both"/>
        <w:rPr>
          <w:rFonts w:ascii="Arial" w:hAnsi="Arial" w:cs="Arial"/>
          <w:sz w:val="18"/>
          <w:szCs w:val="18"/>
        </w:rPr>
      </w:pPr>
      <w:r w:rsidRPr="00B33EAF">
        <w:rPr>
          <w:rFonts w:ascii="Arial" w:hAnsi="Arial" w:cs="Arial"/>
          <w:sz w:val="18"/>
          <w:szCs w:val="18"/>
        </w:rPr>
        <w:t>El principio pro homine y el control de convencionalidad se encuentran tutelados por el artículo 1o. de la Constitución Política de  los Estados Unidos Mexicanos, a partir de la entrada en vigor de su reforma publicada en el Diario Oficial de la Federación el 10 de junio de 2011. El principio pro homine es aplicable en dos vertientes, a saber, el de preferencia de normas y de preferencia interpretativa, ello implica que el juzgador deberá privilegiar la norma y la interpretación que favorezca en mayor medida la protección de las personas. Por su parte, el "control de convencionalidad" dispone la obligación de los juzgadores de interpretar las normas relativas a los derechos humanos, de conformidad con la Constitución y con los tratados internacionales de la materia, favoreciendo la protección más amplia a las personas. Sin embargo, su aplicación no implica desconocer los presupuestos formales y materiales de admisibilidad y procedencia de las acciones, pues para la correcta y funcional administración de justicia y la efectiva protección de los derechos de las personas, el Estado puede y debe establecer presupuestos y criterios de admisibilidad de los medios de defensa, los cuales no pueden ser superados, por regla general, con la mera invocación de estos principios rectores de aplicación e interpretación de normas.</w:t>
      </w:r>
      <w:r w:rsidRPr="00B33EAF">
        <w:rPr>
          <w:rFonts w:ascii="Arial" w:hAnsi="Arial" w:cs="Arial"/>
          <w:sz w:val="18"/>
          <w:szCs w:val="18"/>
        </w:rPr>
        <w:cr/>
        <w:t>TERCER TRIBUNAL COLEGIADO EN MATERIA ADMINISTRATIVA DEL SEXTO CIRCUITO.</w:t>
      </w:r>
    </w:p>
    <w:p w14:paraId="63053A0C" w14:textId="77777777" w:rsidR="00AD756A" w:rsidRPr="00B33EAF" w:rsidRDefault="00AD756A" w:rsidP="00C66E56">
      <w:pPr>
        <w:spacing w:after="0" w:line="240" w:lineRule="auto"/>
        <w:jc w:val="both"/>
        <w:rPr>
          <w:rFonts w:ascii="Arial" w:hAnsi="Arial" w:cs="Arial"/>
          <w:sz w:val="18"/>
          <w:szCs w:val="18"/>
        </w:rPr>
      </w:pPr>
      <w:r w:rsidRPr="00B33EAF">
        <w:rPr>
          <w:rFonts w:ascii="Arial" w:hAnsi="Arial" w:cs="Arial"/>
          <w:sz w:val="18"/>
          <w:szCs w:val="18"/>
        </w:rPr>
        <w:t>Amparo directo 381/2011. Mónica Sabrina Balderas Herrera. 29 de marzo de 2012. Unanimidad de votos. Ponente: Manuel Rojas Fonseca. Secretario: Juan Carlos Carrillo Quintero.</w:t>
      </w:r>
      <w:r w:rsidRPr="00B33EAF">
        <w:rPr>
          <w:rFonts w:ascii="Arial" w:hAnsi="Arial" w:cs="Arial"/>
          <w:sz w:val="18"/>
          <w:szCs w:val="18"/>
        </w:rPr>
        <w:cr/>
      </w:r>
    </w:p>
    <w:p w14:paraId="5A90C8E8"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Décima Época</w:t>
      </w:r>
    </w:p>
    <w:p w14:paraId="7F78515B"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Registro: 2002747</w:t>
      </w:r>
    </w:p>
    <w:p w14:paraId="45D61189"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Instancia: Segunda Sala</w:t>
      </w:r>
    </w:p>
    <w:p w14:paraId="406B89D0"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Jurisprudencia</w:t>
      </w:r>
    </w:p>
    <w:p w14:paraId="7892D09E"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Fuente: Semanario Judicial de la Federación y su Gaceta</w:t>
      </w:r>
    </w:p>
    <w:p w14:paraId="335A385B"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Libro XVII, Febrero de 2013, Tomo 2</w:t>
      </w:r>
    </w:p>
    <w:p w14:paraId="2730D7BF"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Materia(s): Constitucional</w:t>
      </w:r>
    </w:p>
    <w:p w14:paraId="17D18851"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Tesis: 2a./J. 172/2012 (10a.)</w:t>
      </w:r>
    </w:p>
    <w:p w14:paraId="5C673B4E"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Página: 1049</w:t>
      </w:r>
    </w:p>
    <w:p w14:paraId="7F5AFBCB"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DERECHOS HUMANOS. SU ESTUDIO A PARTIR DE LA REFORMA AL ARTÍCULO 1o. CONSTITUCIONAL, PUBLICADA EN EL DIARIO OFICIAL DE LA FEDERACIÓN EL 10 DE JUNIO DE 2011, NO IMPLICA NECESARIAMENTE QUE SE ACUDA A LOS PREVISTOS EN INSTRUMENTOS INTERNACIONALES, SI RESULTA SUFICIENTE LA PREVISIÓN QUE CONTENGA LA CONSTITUCIÓN POLÍTICA DE LOS ESTADOS UNIDOS MEXICANOS.</w:t>
      </w:r>
    </w:p>
    <w:p w14:paraId="607AA07E"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Conforme al artículo 1o. de la Constitución Política de los Estados Unidos Mexicanos, reformado mediante decreto publicado en el Diario Oficial de la Federación el 10 de junio de 2011 y atento al principio pro persona, no resulta necesario considerar el contenido de tratados o instrumentos internacionales que formen parte de nuestro orden jurídico, si al analizar los derechos humanos que se estiman vulnerados es suficiente la previsión que contiene la Constitución General de la República y, por tanto, basta el estudio que se realice del precepto constitucional que los prevea, para determinar la constitucionalidad o inconstitucionalidad del acto reclamado.</w:t>
      </w:r>
    </w:p>
    <w:p w14:paraId="5B6BE474" w14:textId="77777777" w:rsidR="0047733D"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Amparo en revisión 781/2011. María Monarca Lázaro y otra. 14 de marzo de 2012. Cinco votos; votaron con salvedad José Fernando Franco González Salas y Sergio A. Valls Hernández. Ponente: Sergio Salvador Aguirre Anguiano. Secretaria: Erika Francesca Luce Carral.</w:t>
      </w:r>
      <w:r w:rsidRPr="00B33EAF">
        <w:rPr>
          <w:rFonts w:ascii="Arial" w:hAnsi="Arial" w:cs="Arial"/>
          <w:sz w:val="18"/>
          <w:szCs w:val="18"/>
        </w:rPr>
        <w:cr/>
      </w:r>
    </w:p>
    <w:p w14:paraId="55281872" w14:textId="77777777" w:rsidR="00C66E56" w:rsidRPr="00B33EAF" w:rsidRDefault="0047733D" w:rsidP="00C66E56">
      <w:pPr>
        <w:spacing w:after="0" w:line="240" w:lineRule="auto"/>
        <w:jc w:val="both"/>
        <w:rPr>
          <w:rFonts w:ascii="Arial" w:hAnsi="Arial" w:cs="Arial"/>
          <w:sz w:val="18"/>
          <w:szCs w:val="18"/>
        </w:rPr>
      </w:pPr>
      <w:r w:rsidRPr="00B33EAF">
        <w:rPr>
          <w:rFonts w:ascii="Arial" w:hAnsi="Arial" w:cs="Arial"/>
          <w:sz w:val="18"/>
          <w:szCs w:val="18"/>
        </w:rPr>
        <w:t xml:space="preserve"> </w:t>
      </w:r>
      <w:r w:rsidR="00C66E56" w:rsidRPr="00B33EAF">
        <w:rPr>
          <w:rFonts w:ascii="Arial" w:hAnsi="Arial" w:cs="Arial"/>
          <w:sz w:val="18"/>
          <w:szCs w:val="18"/>
        </w:rPr>
        <w:t>Décima Época</w:t>
      </w:r>
    </w:p>
    <w:p w14:paraId="7E3EB33D"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Registro: 2002862</w:t>
      </w:r>
    </w:p>
    <w:p w14:paraId="466F2598"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Instancia: Tribunales Colegiados de Circuito</w:t>
      </w:r>
    </w:p>
    <w:p w14:paraId="31020A91"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Tesis Aislada</w:t>
      </w:r>
    </w:p>
    <w:p w14:paraId="365C280E"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Fuente: Semanario Judicial de la Federación y su Gaceta</w:t>
      </w:r>
    </w:p>
    <w:p w14:paraId="08797097"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Libro XVII, Febrero de 2013, Tomo 2</w:t>
      </w:r>
    </w:p>
    <w:p w14:paraId="35E0F99E"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Materia(s): Constitucional, Común</w:t>
      </w:r>
    </w:p>
    <w:p w14:paraId="12D4F50C"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Tesis: I.7o.A.11 K (10a.)</w:t>
      </w:r>
    </w:p>
    <w:p w14:paraId="0EC98E40"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Página:  1425</w:t>
      </w:r>
    </w:p>
    <w:p w14:paraId="6562EC43"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PRINCIPIO PRO PERSONA. LOS ARTÍCULOS 21 Y 73, FRACCIÓN XII, DE LA LEY DE AMPARO NO LO CONTRAVIENEN, AUN CUANDO NO ESTABLEZCAN LA DUPLICIDAD DEL PLAZO PARA PROMOVER EL JUICIO DE AMPARO CUANDO NO SE INDICA EN EL ACTO EL RECURSO CON QUE CUENTA EL GOBERNADO, EL TIEMPO PARA INTERPONERLO Y LA AUTORIDAD ANTE LA CUAL DEBE PRESENTARSE, A DIFERENCIA DE OTRAS NORMAS QUE COMPONEN EL SISTEMA JURÍDICO MEXICANO QUE SÍ CONTIENEN ESA REGLA.</w:t>
      </w:r>
    </w:p>
    <w:p w14:paraId="1F0EBD54"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 xml:space="preserve">La Primera Sala de la Suprema Corte de Justicia de la Nación sostuvo que en el supuesto de que un mismo derecho fundamental esté reconocido en las dos fuentes supremas del ordenamiento jurídico, a saber, la Constitución Política de los Estados Unidos Mexicanos y los tratados internacionales, la elección de la norma que será aplicable en materia de derechos humanos, atenderá a criterios que favorezcan al individuo, o lo que se ha denominado principio pro persona, de conformidad con el segundo párrafo del artículo 1o. constitucional, y que en caso de que exista una diferencia entre el alcance o la protección reconocida en las normas de </w:t>
      </w:r>
      <w:r w:rsidRPr="00B33EAF">
        <w:rPr>
          <w:rFonts w:ascii="Arial" w:hAnsi="Arial" w:cs="Arial"/>
          <w:sz w:val="18"/>
          <w:szCs w:val="18"/>
        </w:rPr>
        <w:lastRenderedPageBreak/>
        <w:t>estas distintas fuentes, deberá prevalecer aquella que represente una mayor protección para la persona o que implique una menor restricción. Consecuentemente, los artículos 21 y 73, fracción XII, de la Ley de Amparo, aun cuando no establezcan la duplicidad del plazo para promover el juicio de amparo cuando no se indica en el acto el recurso con que cuenta el gobernado, el tiempo para interponerlo y la autoridad ante la cual debe presentarse, a diferencia de otras normas que componen el sistema jurídico mexicano que sí contienen esa regla, no contravienen el señalado principio, puesto que no existe tratado internacional signado por el Estado Mexicano que prevea, respecto del término para promover el juicio de amparo, una protección más amplia sobre la cual pueda preferirse. En efecto, para que opere la elección de la norma aplicable en materia de derechos humanos, y pueda atenderse a criterios que favorezcan al individuo, de conformidad con el segundo párrafo del citado artículo 1o., debe hacerse a la luz de la Constitución Federal y de los tratados internacionales, es decir, la preferencia o comparación de la norma que otorga un mayor alcance debe ser entre esos dos cuerpos normativos, por lo que si se plantea respecto de dos leyes del mismo sistema jurídico, el mencionado principio no tiene aplicabilidad. Aunado a lo anterior, cada procedimiento tiene sus propias reglas, a las cuales el gobernado debe constreñirse, pues de lo contrario se crearía incertidumbre jurídica, ya que las partes podrían elegir el ordenamiento que mejor convenga a sus intereses.</w:t>
      </w:r>
      <w:r w:rsidRPr="00B33EAF">
        <w:rPr>
          <w:rFonts w:ascii="Arial" w:hAnsi="Arial" w:cs="Arial"/>
          <w:sz w:val="18"/>
          <w:szCs w:val="18"/>
        </w:rPr>
        <w:cr/>
        <w:t>SÉPTIMO TRIBUNAL COLEGIADO EN MATERIA ADMINISTRATIVA DEL PRIMER CIRCUITO.</w:t>
      </w:r>
    </w:p>
    <w:p w14:paraId="13820414"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Amparo en revisión 367/2012. Eduardo López Martínez. 12 de diciembre de 2012. Unanimidad de votos. Ponente: F. Javier Mijangos Navarro. Secretario: Héctor Landa Báez.</w:t>
      </w:r>
    </w:p>
    <w:p w14:paraId="7DE32E75" w14:textId="77777777" w:rsidR="00C66E56" w:rsidRPr="00B33EAF" w:rsidRDefault="00C66E56" w:rsidP="00C66E56">
      <w:pPr>
        <w:spacing w:after="0" w:line="240" w:lineRule="auto"/>
        <w:jc w:val="both"/>
        <w:rPr>
          <w:rFonts w:ascii="Arial" w:hAnsi="Arial" w:cs="Arial"/>
          <w:sz w:val="18"/>
          <w:szCs w:val="18"/>
        </w:rPr>
      </w:pPr>
    </w:p>
    <w:p w14:paraId="0F7A2B61"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Décima Época</w:t>
      </w:r>
    </w:p>
    <w:p w14:paraId="5CDED8DE"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Registro: 2002599</w:t>
      </w:r>
    </w:p>
    <w:p w14:paraId="6C329210"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Instancia: Tribunales Colegiados de Circuito</w:t>
      </w:r>
    </w:p>
    <w:p w14:paraId="6B1A72B6"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Tesis Aislada</w:t>
      </w:r>
    </w:p>
    <w:p w14:paraId="70AF968B"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Fuente: Semanario Judicial de la Federación y su Gaceta</w:t>
      </w:r>
    </w:p>
    <w:p w14:paraId="1B2F3807"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Libro XVI, Enero de 2013, Tomo 3</w:t>
      </w:r>
    </w:p>
    <w:p w14:paraId="7D851CD0"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Materia(s): Constitucional, Común</w:t>
      </w:r>
    </w:p>
    <w:p w14:paraId="76AF4135"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Tesis: VII.2o.C.5 K (10a.)</w:t>
      </w:r>
    </w:p>
    <w:p w14:paraId="3C6592F4"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Página:  2114</w:t>
      </w:r>
    </w:p>
    <w:p w14:paraId="1FC3687E"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PRINCIPIO PRO PERSONA. ES UN DERECHO PLASMADO EN LA CONSTITUCIÓN POLÍTICA DE LOS ESTADOS UNIDOS MEXICANOS QUE REQUIERE SU VINCULACIÓN CON LA VIOLACIÓN DE UN DERECHO HUMANO PARA SU EFECTIVIDAD.</w:t>
      </w:r>
    </w:p>
    <w:p w14:paraId="268C790D"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El segundo párrafo del artículo 1o. de la Constitución Política de los Estados Unidos Mexicanos, que entró en vigor el once de junio de dos mil once, establece: "Las normas relativas a los derechos humanos se interpretarán de conformidad con esta Constitución y con los tratados internacionales de la materia favoreciendo en todo tiempo a las personas la protección más amplia.". Dicha porción normativa contiene un derecho reconocido a los gobernados consistente en un principio de interpretación tanto conforme con los derechos humanos contemplados por la propia Constitución (interpretación conforme), como aquellos plasmados en los tratados internacionales de los que el Estado Mexicano es parte (interpretación convencional), siempre en busca de lo más favorable para la persona. No obstante lo anterior, tal derecho es un principio de interpretación pro persona que implica que las normas relativas a derechos humanos se interpreten de acuerdo con la propia Constitución y con los tratados internacionales, favoreciendo en todo tiempo la protección más amplia a las personas, constituyendo así, una herramienta hermenéutica para lograr la efectiva protección de los gobernados en relación, siempre, con un derecho humano que se alegue vulnerado. Esto es, si bien es cierto que tal principio interpretativo está reconocido en nuestra Constitución, también lo es que no es válido sostener su vulneración o transgresión autónoma, pues ésta siempre habrá de referirse al contenido y alcance de diverso derecho humano. En tales condiciones, es insuficiente que se invoque como argumento para estimar que el acto reclamado transgrede un derecho humano, el que no se observó el principio pro persona o se omitió llevar a cabo una interpretación conforme, pues tal expresión no puede ser, por sí sola, suficiente para estimar que se violó un derecho humano, sino que es necesario que se vincule con la vulneración de un derecho de esa naturaleza contenido en nuestra Constitución o en un tratado internacional que haya sido ratificado por nuestro país a efecto de que la autoridad jurisdiccional proceda a analizar si se da tal transgresión para, en su caso, proceder a realizar una interpretación conforme o en aplicación del control de convencionalidad atendiendo a lo que más favorezca al agraviado.</w:t>
      </w:r>
      <w:r w:rsidRPr="00B33EAF">
        <w:rPr>
          <w:rFonts w:ascii="Arial" w:hAnsi="Arial" w:cs="Arial"/>
          <w:sz w:val="18"/>
          <w:szCs w:val="18"/>
        </w:rPr>
        <w:cr/>
        <w:t>SEGUNDO TRIBUNAL COLEGIADO EN MATERIA CIVIL DEL SÉPTIMO CIRCUITO.</w:t>
      </w:r>
    </w:p>
    <w:p w14:paraId="760CA1F0" w14:textId="77777777" w:rsidR="00B33EAF"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Amparo en revisión 205/2012. Reynaldo Daniel Cruz Méndez. 30 de agosto de 2012. Unanimidad de votos. Ponente: Ezequiel Neri Osorio. Secretario: Eduardo Castillo Robles.</w:t>
      </w:r>
      <w:r w:rsidRPr="00B33EAF">
        <w:rPr>
          <w:rFonts w:ascii="Arial" w:hAnsi="Arial" w:cs="Arial"/>
          <w:sz w:val="18"/>
          <w:szCs w:val="18"/>
        </w:rPr>
        <w:cr/>
      </w:r>
    </w:p>
    <w:p w14:paraId="5DAD798F" w14:textId="77777777" w:rsidR="00C66E56" w:rsidRPr="00B33EAF" w:rsidRDefault="00B33EAF" w:rsidP="00C66E56">
      <w:pPr>
        <w:spacing w:after="0" w:line="240" w:lineRule="auto"/>
        <w:jc w:val="both"/>
        <w:rPr>
          <w:rFonts w:ascii="Arial" w:hAnsi="Arial" w:cs="Arial"/>
          <w:sz w:val="18"/>
          <w:szCs w:val="18"/>
        </w:rPr>
      </w:pPr>
      <w:r w:rsidRPr="00B33EAF">
        <w:rPr>
          <w:rFonts w:ascii="Arial" w:hAnsi="Arial" w:cs="Arial"/>
          <w:sz w:val="18"/>
          <w:szCs w:val="18"/>
        </w:rPr>
        <w:t xml:space="preserve"> </w:t>
      </w:r>
      <w:r w:rsidR="00C66E56" w:rsidRPr="00B33EAF">
        <w:rPr>
          <w:rFonts w:ascii="Arial" w:hAnsi="Arial" w:cs="Arial"/>
          <w:sz w:val="18"/>
          <w:szCs w:val="18"/>
        </w:rPr>
        <w:t>Décima Época</w:t>
      </w:r>
    </w:p>
    <w:p w14:paraId="631D4913"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Registro: 2002359</w:t>
      </w:r>
    </w:p>
    <w:p w14:paraId="75894DD8"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Instancia: Primera Sala</w:t>
      </w:r>
    </w:p>
    <w:p w14:paraId="2F7C3F8C"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Tesis Aislada</w:t>
      </w:r>
    </w:p>
    <w:p w14:paraId="4C9E9CE0"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Fuente: Semanario Judicial de la Federación y su Gaceta</w:t>
      </w:r>
    </w:p>
    <w:p w14:paraId="7BF50DFF"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Libro XV, Diciembre de 2012, Tomo 1</w:t>
      </w:r>
    </w:p>
    <w:p w14:paraId="0326DA90"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Materia(s): Constitucional, Común</w:t>
      </w:r>
    </w:p>
    <w:p w14:paraId="049B8196"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Tesis: 1a. CCLXXVI/2012 (10a.)</w:t>
      </w:r>
    </w:p>
    <w:p w14:paraId="5CC6FE9B"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Página:   530</w:t>
      </w:r>
    </w:p>
    <w:p w14:paraId="59226A19"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PRINCIPIO PRO PERSONA. NO ES FUNDAMENTO PARA OMITIR EL ESTUDIO DE LOS ASPECTOS TÉCNICOS LEGALES EN EL JUICIO DE AMPARO.</w:t>
      </w:r>
    </w:p>
    <w:p w14:paraId="184D1DEC"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 xml:space="preserve">Si bien es cierto que el artículo 1o., párrafo segundo, de la Constitución Política de los Estados Unidos Mexicanos exige que los derechos humanos se interpreten conforme a la propia Constitución y a los tratados internacionales, de forma que se favorezca de la manera más amplia a las personas, también lo es que la aplicación de este principio no puede servir como fundamento para omitir el estudio de los aspectos técnicos legales que puedan actualizarse en el juicio de amparo. Lo anterior es así, toda vez que la interpretación pro persona se traduce en la obligación de analizar el contenido y alcance de los derechos humanos ante la existencia de dos normas que regulan o restringen el derecho de manera diversa, a efecto de elegir cuál será la aplicable al caso concreto, lo </w:t>
      </w:r>
      <w:r w:rsidRPr="00B33EAF">
        <w:rPr>
          <w:rFonts w:ascii="Arial" w:hAnsi="Arial" w:cs="Arial"/>
          <w:sz w:val="18"/>
          <w:szCs w:val="18"/>
        </w:rPr>
        <w:lastRenderedPageBreak/>
        <w:t>que, por un lado, permite definir la plataforma de interpretación de los derechos humanos y, por otro, otorga un sentido protector a favor de la persona humana, pues la existencia de varias posibles soluciones a un mismo problema, obliga a optar por aquella que protege en términos más amplios, lo que implica acudir a la norma jurídica que consagre el derecho de la manera más extensiva y, por el contrario, al precepto legal más restrictivo, si se trata de conocer las limitaciones legítimas que pueden establecerse a su ejercicio. En consecuencia, la utilización de este principio, en sí mismo, no puede ser invocado como fundamento para ignorar el cumplimiento de los requisitos de procedencia en el juicio de amparo.</w:t>
      </w:r>
    </w:p>
    <w:p w14:paraId="61819C3B"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Amparo directo en revisión 2354/2012. 12 de septiembre de 2012. Cinco votos. Ponente: José Ramón Cossío Díaz. Secretaria: Teresita del Niño Jesús Lúcia Segovia.</w:t>
      </w:r>
    </w:p>
    <w:p w14:paraId="445377CC" w14:textId="77777777" w:rsidR="00C66E56" w:rsidRPr="00B33EAF" w:rsidRDefault="00C66E56" w:rsidP="00C66E56">
      <w:pPr>
        <w:spacing w:after="0" w:line="240" w:lineRule="auto"/>
        <w:jc w:val="both"/>
        <w:rPr>
          <w:rFonts w:ascii="Arial" w:hAnsi="Arial" w:cs="Arial"/>
          <w:sz w:val="18"/>
          <w:szCs w:val="18"/>
        </w:rPr>
      </w:pPr>
    </w:p>
    <w:p w14:paraId="5127AA52"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Décima Época</w:t>
      </w:r>
    </w:p>
    <w:p w14:paraId="79BDE420"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Registro: 2002361</w:t>
      </w:r>
    </w:p>
    <w:p w14:paraId="04E5A5C0"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Instancia: Tribunales Colegiados de Circuito</w:t>
      </w:r>
    </w:p>
    <w:p w14:paraId="79146F9E"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Tesis Aislada</w:t>
      </w:r>
    </w:p>
    <w:p w14:paraId="200AFB6F"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Fuente: Semanario Judicial de la Federación y su Gaceta</w:t>
      </w:r>
    </w:p>
    <w:p w14:paraId="605C8EB0"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Libro XV, Diciembre de 2012, Tomo 2</w:t>
      </w:r>
    </w:p>
    <w:p w14:paraId="59DAED12"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Materia(s): Constitucional, Común</w:t>
      </w:r>
    </w:p>
    <w:p w14:paraId="3EC5C466"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Tesis: II.3o.P.1 K (10a.)</w:t>
      </w:r>
    </w:p>
    <w:p w14:paraId="440C565F"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Página:  1516</w:t>
      </w:r>
    </w:p>
    <w:p w14:paraId="285A41C5"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PRO HOMINE. SI EN UN CASO CONCRETO NO SE ACTUALIZA LA ANTINOMIA DE DOS NORMAS QUE TUTELAN DERECHOS HUMANOS, ESTE PRINCIPIO NO ES EL IDÓNEO PARA RESOLVERLO.</w:t>
      </w:r>
    </w:p>
    <w:p w14:paraId="2999F271"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La Corte Interamericana de Derechos Humanos, al explicar el alcance de este principio, en relación con las restricciones de los derechos humanos, expresó que "entre varias opciones para alcanzar ese objetivo debe escogerse aquella que restrinja en menor escala el derecho protegido". Así, cuando esa regla se manifiesta mediante la preferencia interpretativa extensiva, implica que ante diferentes interpretaciones de un dispositivo legal, debe optarse por aquella que conduzca a una mejor y más amplia protección de los derechos fundamentales, descartando así las que restrinjan o limiten su ejercicio. Bajo este contexto, resulta improcedente que a la luz de este principio pretendan enfrentarse artículos de naturaleza y finalidad distintos, sobre todo, si no tutelan derechos humanos (regulan cuestiones procesales), pues su contenido no conlleva oposición alguna en materia de derechos fundamentales, de tal suerte que pudiera interpretarse cuál es el que resulta de mayor beneficio para la persona; ergo, si entre esas dos normas no se actualiza la antinomia sobre dicha materia el citado principio no es el idóneo para resolver el caso concreto.</w:t>
      </w:r>
      <w:r w:rsidRPr="00B33EAF">
        <w:rPr>
          <w:rFonts w:ascii="Arial" w:hAnsi="Arial" w:cs="Arial"/>
          <w:sz w:val="18"/>
          <w:szCs w:val="18"/>
        </w:rPr>
        <w:cr/>
        <w:t>TERCER TRIBUNAL COLEGIADO EN MATERIA PENAL DEL SEGUNDO CIRCUITO.</w:t>
      </w:r>
    </w:p>
    <w:p w14:paraId="11F6A4A8"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Amparo en revisión 35/2012. 3 de agosto de 2012. Unanimidad de votos. Ponente: José Valle Hernández. Secretaria: Gabriela Bravo Hernández.</w:t>
      </w:r>
    </w:p>
    <w:p w14:paraId="3E177F13" w14:textId="77777777" w:rsidR="00C66E56" w:rsidRPr="00B33EAF" w:rsidRDefault="00C66E56" w:rsidP="00C66E56">
      <w:pPr>
        <w:spacing w:after="0" w:line="240" w:lineRule="auto"/>
        <w:jc w:val="both"/>
        <w:rPr>
          <w:rFonts w:ascii="Arial" w:hAnsi="Arial" w:cs="Arial"/>
          <w:sz w:val="18"/>
          <w:szCs w:val="18"/>
        </w:rPr>
      </w:pPr>
    </w:p>
    <w:p w14:paraId="2672BEAA"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Décima Época</w:t>
      </w:r>
    </w:p>
    <w:p w14:paraId="1B095388"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Registro: 2002179</w:t>
      </w:r>
    </w:p>
    <w:p w14:paraId="4FD63EBB"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Instancia: Segunda Sala</w:t>
      </w:r>
    </w:p>
    <w:p w14:paraId="693159DB"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Tesis Aislada</w:t>
      </w:r>
    </w:p>
    <w:p w14:paraId="2551232B"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Fuente: Semanario Judicial de la Federación y su Gaceta</w:t>
      </w:r>
    </w:p>
    <w:p w14:paraId="34BEDEB8"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Libro XIV, Noviembre de 2012, Tomo 2</w:t>
      </w:r>
    </w:p>
    <w:p w14:paraId="1973183B"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Materia(s): Constitucional</w:t>
      </w:r>
    </w:p>
    <w:p w14:paraId="6F754BAC"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Tesis: 2a. LXXXII/2012 (10a.)</w:t>
      </w:r>
    </w:p>
    <w:p w14:paraId="01E50730"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Página:  1587</w:t>
      </w:r>
    </w:p>
    <w:p w14:paraId="4A518019"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PRINCIPIO PRO PERSONA O PRO HOMINE. FORMA EN QUE LOS ÓRGANOS JURISDICCIONALES NACIONALES DEBEN DESEMPEÑAR SUS ATRIBUCIONES Y FACULTADES A PARTIR DE LA REFORMA AL ARTÍCULO 1o. DE LA CONSTITUCIÓN POLÍTICA DE LOS ESTADOS UNIDOS MEXICANOS, PUBLICADA EN EL DIARIO OFICIAL DE LA FEDERACIÓN EL 10 DE JUNIO DE 2011.</w:t>
      </w:r>
    </w:p>
    <w:p w14:paraId="33AC19C0"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Si bien la reforma indicada implicó el cambio en el sistema jurídico mexicano en relación con los tratados de derechos humanos, así como con la interpretación más favorable a la persona al orden constitucional -principio pro persona o pro homine-, ello no implica que los órganos jurisdiccionales nacionales dejen de llevar a cabo sus atribuciones y facultades de impartir justicia en la forma en que venían desempeñándolas antes de la citada reforma, sino que dicho cambio sólo conlleva a que si en los instrumentos internacionales existe una protección más benéfica para la persona respecto de la institución jurídica que se analice, ésta se aplique, sin que tal circunstancia signifique que dejen de observarse los diversos principios constitucionales y legales que rigen su función jurisdiccional -legalidad, igualdad, seguridad jurídica, debido proceso, acceso efectivo a la justicia, cosa juzgada-, ya que de hacerlo se provocaría un estado de incertidumbre en los destinatarios de tal función.</w:t>
      </w:r>
    </w:p>
    <w:p w14:paraId="6C649CFC"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Amparo directo en revisión 1131/2012. Anastacio Zaragoza Rojas y otro. 5 de septiembre de 2012. Unanimidad de cuatro votos. Ausente: Sergio A. Valls Hernández. Ponente: Sergio Salvador Aguirre Anguiano. Secretario: Juan José Ruiz Carreón.</w:t>
      </w:r>
    </w:p>
    <w:p w14:paraId="6AE75F43" w14:textId="77777777" w:rsidR="00C66E56" w:rsidRPr="00B33EAF" w:rsidRDefault="00C66E56" w:rsidP="00C66E56">
      <w:pPr>
        <w:spacing w:after="0" w:line="240" w:lineRule="auto"/>
        <w:jc w:val="both"/>
        <w:rPr>
          <w:rFonts w:ascii="Arial" w:hAnsi="Arial" w:cs="Arial"/>
          <w:sz w:val="18"/>
          <w:szCs w:val="18"/>
        </w:rPr>
      </w:pPr>
    </w:p>
    <w:p w14:paraId="493E86F3"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Décima Época</w:t>
      </w:r>
    </w:p>
    <w:p w14:paraId="7ECBEA9F"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Registro: 2002000</w:t>
      </w:r>
    </w:p>
    <w:p w14:paraId="6FF4C780"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Instancia: Primera Sala</w:t>
      </w:r>
    </w:p>
    <w:p w14:paraId="1C966F84"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Jurisprudencia</w:t>
      </w:r>
    </w:p>
    <w:p w14:paraId="5240D1BA"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Fuente: Semanario Judicial de la Federación y su Gaceta</w:t>
      </w:r>
    </w:p>
    <w:p w14:paraId="1BBA9DF2"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Libro XIII, Octubre de 2012, Tomo 2</w:t>
      </w:r>
    </w:p>
    <w:p w14:paraId="614A0A6E"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Materia(s): Constitucional</w:t>
      </w:r>
    </w:p>
    <w:p w14:paraId="707EFCAB"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Tesis: 1a./J. 107/2012 (10a.)</w:t>
      </w:r>
    </w:p>
    <w:p w14:paraId="52B01CBD"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Página:   799</w:t>
      </w:r>
    </w:p>
    <w:p w14:paraId="494B58CC"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PRINCIPIO PRO PERSONA. CRITERIO DE SELECCIÓN DE LA NORMA DE DERECHO FUNDAMENTAL APLICABLE.</w:t>
      </w:r>
    </w:p>
    <w:p w14:paraId="6A9A77A7"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lastRenderedPageBreak/>
        <w:t>De conformidad con el texto vigente del artículo 1o. constitucional, modificado por el decreto de reforma constitucional publicado en el Diario Oficial de la Federación el 10 de junio de 2011, en materia de derechos fundamentales, el ordenamiento jurídico mexicano tiene dos fuentes primigenias: a) los derechos fundamentales reconocidos en la Constitución Política de los Estados Unidos Mexicanos; y, b) todos aquellos derechos humanos establecidos en tratados internacionales de los que el Estado mexicano sea parte. Consecuentemente, las normas provenientes de ambas fuentes, son normas supremas del ordenamiento jurídico mexicano. Esto implica que los valores, principios y derechos que ellas materializan deben permear en todo el orden jurídico, obligando a todas las autoridades a su aplicación y, en aquellos casos en que sea procedente, a su interpretación. Ahora bien, en el supuesto de que un mismo derecho fundamental esté reconocido en las dos fuentes supremas del ordenamiento jurídico, a saber, la Constitución y los tratados internacionales, la elección de la norma que será aplicable -en materia de derechos humanos-, atenderá a criterios que favorezcan al individuo o lo que se ha denominado principio pro persona, de conformidad con lo dispuesto en el segundo párrafo del artículo 1o. constitucional. Según dicho criterio interpretativo, en caso de que exista una diferencia entre el alcance o la protección reconocida en las normas de estas distintas fuentes, deberá prevalecer aquella que represente una mayor protección para la persona o que implique una menor restricción. En esta lógica, el catálogo de derechos fundamentales no se encuentra limitado a lo prescrito en el texto constitucional, sino que también incluye a todos aquellos derechos que figuran en los tratados internacionales ratificados por el Estado mexicano.</w:t>
      </w:r>
    </w:p>
    <w:p w14:paraId="42ED30F0" w14:textId="77777777" w:rsidR="0047733D"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Facultad de atracción 135/2011. Ministro Arturo Zaldívar Lelo de Larrea. 19 de octubre de 2011. Mayoría de cuatro votos. Disidente: Jorge Mario Pardo Rebolledo. Ponente: Arturo Zaldívar Lelo de Larrea. Secretario: Javier Mijangos y González.</w:t>
      </w:r>
      <w:r w:rsidRPr="00B33EAF">
        <w:rPr>
          <w:rFonts w:ascii="Arial" w:hAnsi="Arial" w:cs="Arial"/>
          <w:sz w:val="18"/>
          <w:szCs w:val="18"/>
        </w:rPr>
        <w:cr/>
      </w:r>
    </w:p>
    <w:p w14:paraId="207B36EA"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Décima Época</w:t>
      </w:r>
    </w:p>
    <w:p w14:paraId="31F66CAD"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Registro: 2001717</w:t>
      </w:r>
    </w:p>
    <w:p w14:paraId="55B3EF21"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Instancia: Tribunales Colegiados de Circuito</w:t>
      </w:r>
    </w:p>
    <w:p w14:paraId="72E9AD5C"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Tesis Aislada</w:t>
      </w:r>
    </w:p>
    <w:p w14:paraId="09ACA39A"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Fuente: Semanario Judicial de la Federación y su Gaceta</w:t>
      </w:r>
    </w:p>
    <w:p w14:paraId="3F0D041E"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Libro XII, Septiembre de 2012, Tomo 3</w:t>
      </w:r>
    </w:p>
    <w:p w14:paraId="7163BD13"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Materia(s): Común</w:t>
      </w:r>
    </w:p>
    <w:p w14:paraId="1A597B5D"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Tesis: I.4o.C.12 C (10a.)</w:t>
      </w:r>
    </w:p>
    <w:p w14:paraId="75DE6331"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Página:  1945</w:t>
      </w:r>
    </w:p>
    <w:p w14:paraId="6F9048C8"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PRINCIPIO PRO PERSONA. SU APLICACIÓN PERMITE OPTIMIZAR LA ADMISIÓN DE RECURSOS EN AMPARO.</w:t>
      </w:r>
    </w:p>
    <w:p w14:paraId="0D4515C6"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El artículo 1o. constitucional contiene el principio pro persona que, como ha explicado la doctrina, es un criterio hermenéutico que informa todo el derecho de los derechos humanos, en virtud del cual se debe acudir a la norma más amplia, o a la interpretación más extensiva, cuando se trata de reconocer derechos protegidos e, inversamente, a la norma o a la interpretación más restringida cuando se trata de establecer restricciones permanentes al ejercicio de los derechos o su suspensión extraordinaria. Una manifestación de ese principio es la preferencia interpretativa (la otra es la preferencia de normas) que, a su vez, se expresa en la interpretación extensiva y la interpretación restringida. Pero ya sea en una u otra de las variantes, lo relevante es que en la preferencia interpretativa el intérprete ha de preferir la interpretación que más optimice un derecho fundamental, sin que pueda dejar de tomarse en cuenta que dicho principio interpretativo se materializa en distintos sub-principios, entre los cuales se encuentra el de in dubio pro actione, que constituye la aplicación del principio pro persona al ámbito procesal, de forma que el intérprete debe analizar las restricciones o limitaciones legales para acceder al órgano jurisdiccional de forma restrictiva, con el objetivo de lograr que el mayor número de procesos sea iniciado y, en la medida en que sea posible, se satisfaga la pretensión del demandante optimizando con ello el derecho a la jurisdicción. La optimización del derecho a la jurisdicción puede lograrse si se facilita la acción, pero también el recurso relacionado con dicha pretensión. A los derechos de recurrir el fallo y contar con un recurso efectivo se refieren los artículos 8.2. h y 25 de la Convención Americana sobre Derechos Humanos. De acuerdo con la Corte Interamericana de Derechos Humanos y los preceptos invocados, el recurso debe ser eficaz, efectivo. Ello puede lograrse si, mediante la preferencia interpretativa extensiva, como manifestación del principio pro persona, y la aplicación del principio pro actione, se optimizan la interposición y admisión de los medios de impugnación, sobre todo de aquellos relacionados con el control constitucional de amparo en donde el debido proceso debe observarse con mayor rigor, dada su calidad de instrumento garante de los derechos fundamentales.</w:t>
      </w:r>
      <w:r w:rsidRPr="00B33EAF">
        <w:rPr>
          <w:rFonts w:ascii="Arial" w:hAnsi="Arial" w:cs="Arial"/>
          <w:sz w:val="18"/>
          <w:szCs w:val="18"/>
        </w:rPr>
        <w:cr/>
        <w:t>CUARTO TRIBUNAL COLEGIADO EN MATERIA CIVIL DEL PRIMER CIRCUITO.</w:t>
      </w:r>
    </w:p>
    <w:p w14:paraId="2E60FCCF"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Reclamación 5/2012. Fidel Almaraz Berra. 21 de junio de 2012. Unanimidad de votos. Ponente: Francisco J. Sandoval López. Secretario: Raúl Alfaro Telpalo.</w:t>
      </w:r>
    </w:p>
    <w:p w14:paraId="59CF6DA9" w14:textId="77777777" w:rsidR="00C66E56" w:rsidRPr="00B33EAF" w:rsidRDefault="00C66E56" w:rsidP="00C66E56">
      <w:pPr>
        <w:spacing w:after="0" w:line="240" w:lineRule="auto"/>
        <w:jc w:val="both"/>
        <w:rPr>
          <w:rFonts w:ascii="Arial" w:hAnsi="Arial" w:cs="Arial"/>
          <w:sz w:val="18"/>
          <w:szCs w:val="18"/>
        </w:rPr>
      </w:pPr>
    </w:p>
    <w:p w14:paraId="05AECBC8" w14:textId="77777777" w:rsidR="00C66E56" w:rsidRPr="00B33EAF" w:rsidRDefault="00C66E56" w:rsidP="00C66E56">
      <w:pPr>
        <w:spacing w:after="0" w:line="240" w:lineRule="auto"/>
        <w:jc w:val="both"/>
        <w:rPr>
          <w:rFonts w:ascii="Arial" w:hAnsi="Arial" w:cs="Arial"/>
          <w:sz w:val="18"/>
          <w:szCs w:val="18"/>
        </w:rPr>
      </w:pPr>
    </w:p>
    <w:p w14:paraId="1DCC73E7"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Décima Época</w:t>
      </w:r>
    </w:p>
    <w:p w14:paraId="478719E4"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Registro: 2001429</w:t>
      </w:r>
    </w:p>
    <w:p w14:paraId="24F929C7"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Instancia: Primera Sala</w:t>
      </w:r>
    </w:p>
    <w:p w14:paraId="05C48AFE"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Tesis Aislada</w:t>
      </w:r>
    </w:p>
    <w:p w14:paraId="6014E1A0"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Fuente: Semanario Judicial de la Federación y su Gaceta</w:t>
      </w:r>
    </w:p>
    <w:p w14:paraId="1C20AF8A"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Libro XI, Agosto de 2012, Tomo 1</w:t>
      </w:r>
    </w:p>
    <w:p w14:paraId="2CFAF0A4"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Materia(s): Constitucional</w:t>
      </w:r>
    </w:p>
    <w:p w14:paraId="31EE7D33"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Tesis: 1a. CXXXVI/2012 (10a.)</w:t>
      </w:r>
    </w:p>
    <w:p w14:paraId="2545DB28"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Página:   491</w:t>
      </w:r>
    </w:p>
    <w:p w14:paraId="03F547E8"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PRISIÓN PREVENTIVA. DEBE DURAR UN PLAZO RAZONABLE.</w:t>
      </w:r>
    </w:p>
    <w:p w14:paraId="73D42F7F"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 xml:space="preserve">El Pacto Internacional de Derechos Civiles y Políticos, publicado en el Diario Oficial de la Federación el 20 de mayo de 1981, prevé en su artículo 9o., numerales 1, 3 y 4, respectivamente, que todo individuo tiene derecho a la libertad y a la seguridad personales, sin que pueda ser sometido a detención o prisión arbitrarias, esto es, no podrá ser privado de su libertad, salvo por las causas fijadas por la ley y con arreglo al procedimiento establecido en ésta; que toda persona detenida tendrá derecho a ser juzgada dentro de un plazo razonable o a ser puesta en libertad; que la prisión preventiva de las personas que hayan de ser juzgadas no debe ser la regla general, y que éstas tendrán derecho a recurrir ante un tribunal a fin de que decida, a la brevedad posible, sobre la legalidad de su </w:t>
      </w:r>
      <w:r w:rsidRPr="00B33EAF">
        <w:rPr>
          <w:rFonts w:ascii="Arial" w:hAnsi="Arial" w:cs="Arial"/>
          <w:sz w:val="18"/>
          <w:szCs w:val="18"/>
        </w:rPr>
        <w:lastRenderedPageBreak/>
        <w:t>prisión. De lo anterior y de una interpretación al principio pro personae al derecho nacional en términos del artículo 1o. de la Constitución Política de los Estados Unidos Mexicanos, se concluye que la prisión preventiva debe durar un plazo razonable.</w:t>
      </w:r>
    </w:p>
    <w:p w14:paraId="2E2F1F63"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Amparo en revisión 27/2012. 28 de marzo de 2012. Mayoría de cuatro votos. Disidente: José Ramón Cossío Díaz. Ponente: Guillermo I. Ortiz Mayagoitia. Secretario: Horacio Nicolás Ruiz Palma.</w:t>
      </w:r>
    </w:p>
    <w:p w14:paraId="60D3E35E" w14:textId="77777777" w:rsidR="00C66E56" w:rsidRPr="00B33EAF" w:rsidRDefault="00C66E56" w:rsidP="00C66E56">
      <w:pPr>
        <w:spacing w:after="0" w:line="240" w:lineRule="auto"/>
        <w:jc w:val="both"/>
        <w:rPr>
          <w:rFonts w:ascii="Arial" w:hAnsi="Arial" w:cs="Arial"/>
          <w:sz w:val="18"/>
          <w:szCs w:val="18"/>
        </w:rPr>
      </w:pPr>
    </w:p>
    <w:p w14:paraId="3BC67526"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Décima Época</w:t>
      </w:r>
    </w:p>
    <w:p w14:paraId="47891124"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Registro: 2001430</w:t>
      </w:r>
    </w:p>
    <w:p w14:paraId="70635FDA"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Instancia: Primera Sala</w:t>
      </w:r>
    </w:p>
    <w:p w14:paraId="2F611CDE"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Tesis Aislada</w:t>
      </w:r>
    </w:p>
    <w:p w14:paraId="3B9D2F10"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Fuente: Semanario Judicial de la Federación y su Gaceta</w:t>
      </w:r>
    </w:p>
    <w:p w14:paraId="18235E6B"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Libro XI, Agosto de 2012, Tomo 1</w:t>
      </w:r>
    </w:p>
    <w:p w14:paraId="1FE9EE0A"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Materia(s): Constitucional, Penal</w:t>
      </w:r>
    </w:p>
    <w:p w14:paraId="6C5DADD4"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Tesis: 1a. CXXXVII/2012 (10a.)</w:t>
      </w:r>
    </w:p>
    <w:p w14:paraId="60E280B2"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Página:   492</w:t>
      </w:r>
    </w:p>
    <w:p w14:paraId="6C700F0B"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PRISIÓN PREVENTIVA. FORMA DE PONDERAR EL PLAZO RAZONABLE DE SU DURACIÓN.</w:t>
      </w:r>
    </w:p>
    <w:p w14:paraId="21FE05CB"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Conforme al artículo 20 de la Constitución Política de los Estados Unidos Mexicanos, la prisión preventiva no podrá exceder del tiempo que como máximo de pena fije la ley al delito que motivare el proceso. Ahora bien, una interpretación basada en el principio pro personae, con fundamento en la Constitución y en la Convención Americana sobre Derechos Humanos, adoptada en San José de Costa Rica, el 22 de noviembre de 1969, permite definir la forma en que debe ponderarse si ha transcurrido un plazo razonable en la duración de la prisión preventiva, en atención a los factores siguientes: 1. Probabilidad de que el acusado cometió un delito merecedor de pena carcelaria, en donde el juzgador podría estimar que la medida cautelar provisional decretada ya no es imperiosa, lo que no prejuzga lo resuelto en el auto de formal prisión; 2. Peligro de fuga o evasión de la acción de la justicia, donde deben tenerse en cuenta la gravedad del delito y la eventual severidad de la pena, elementos que por sí solos son insuficientes para concluir que no ha transcurrido un plazo razonable de duración de la prisión preventiva; 3. Riesgo de comisión de nuevos delitos, en donde el peligro debe ser real; 4. Necesidad de investigar y posibilidad de colusión, circunstancias que deben evaluarse en asuntos donde el acusado puede impedir el curso normal del proceso judicial, dicha necesidad debe fundarse en un peligro efectivo; 5. Viabilidad de presión sobre los testigos, caso en que debe examinarse si existe un riesgo legítimo para éstos u otras personas; 6. Preservación del orden público, en donde por circunstancias excepcionales, la gravedad especial de un hecho delictivo y la reacción del público ante el mismo, pueden justificar la aplicación de la medida cautelar por cierto periodo; 7. Debida diligencia en la sustanciación del procedimiento, donde debe justipreciarse si las autoridades la han empleado; 8. Motivos expuestos por las autoridades judiciales para justificar la continuación de la medida, donde la información se analiza caso por caso para determinar la relevancia y suficiencia de las justificativas para la prisión preventiva; 9. Lapso constitucional de duración del juicio, donde debe constatarse si han transcurrido 4 meses en caso de delitos cuya pena máxima no excede de 2 años de prisión o 1 año si la pena excede de ese tiempo; 10. Ejercicio efectivo del derecho de defensa, el cual no debe ser un pretexto para que la autoridad alargue el proceso de manera injustificada; y 11. Eventualidad apoyada en datos de riesgo para el ofendido o la sociedad, donde el riesgo debe justipreciarse con elementos de convicción aportados por la Representación Social. Así, los jueces, fundándose en una prudente apreciación, deben evaluar en forma proporcional y razonada en cada caso dichos factores, a efecto de determinar si ha transcurrido un plazo razonable de permanencia del procesado sujeto a prisión preventiva.</w:t>
      </w:r>
    </w:p>
    <w:p w14:paraId="29310CB2"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Amparo en revisión 27/2012. 28 de marzo de 2012. Mayoría de cuatro votos. Disidente: José Ramón Cossío Díaz. Ponente: Guillermo I. Ortiz Mayagoitia. Secretario: Horacio Nicolás Ruiz Palma.</w:t>
      </w:r>
    </w:p>
    <w:p w14:paraId="59C0DB3C" w14:textId="77777777" w:rsidR="00C66E56" w:rsidRPr="00B33EAF" w:rsidRDefault="00C66E56" w:rsidP="00C66E56">
      <w:pPr>
        <w:spacing w:after="0" w:line="240" w:lineRule="auto"/>
        <w:jc w:val="both"/>
        <w:rPr>
          <w:rFonts w:ascii="Arial" w:hAnsi="Arial" w:cs="Arial"/>
          <w:sz w:val="18"/>
          <w:szCs w:val="18"/>
        </w:rPr>
      </w:pPr>
    </w:p>
    <w:p w14:paraId="56A76D14"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Décima Época</w:t>
      </w:r>
    </w:p>
    <w:p w14:paraId="701081C3"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Registro: 2001213</w:t>
      </w:r>
    </w:p>
    <w:p w14:paraId="444F0C74"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Instancia: Tribunales Colegiados de Circuito</w:t>
      </w:r>
    </w:p>
    <w:p w14:paraId="279D864C"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Jurisprudencia</w:t>
      </w:r>
    </w:p>
    <w:p w14:paraId="6135E860"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Fuente: Semanario Judicial de la Federación y su Gaceta</w:t>
      </w:r>
    </w:p>
    <w:p w14:paraId="6C2091C0"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Libro XI, Agosto de 2012, Tomo 2</w:t>
      </w:r>
    </w:p>
    <w:p w14:paraId="38845BA6"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Materia(s): Constitucional</w:t>
      </w:r>
    </w:p>
    <w:p w14:paraId="48BCD488"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Tesis: VI.1o.A. J/2 (10a.)</w:t>
      </w:r>
    </w:p>
    <w:p w14:paraId="0F324E76"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Página:  1096</w:t>
      </w:r>
    </w:p>
    <w:p w14:paraId="17F8AB4F"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ACCESO A LA IMPARTICIÓN DE JUSTICIA. LAS GARANTÍAS Y MECANISMOS CONTENIDOS EN LOS ARTÍCULOS 8, NUMERAL 1 Y 25 DE LA CONVENCIÓN AMERICANA SOBRE DERECHOS HUMANOS, TENDENTES A HACER EFECTIVA SU PROTECCIÓN, SUBYACEN EN EL DERECHO FUNDAMENTAL PREVISTO EN EL ARTÍCULO 17 DE LA CONSTITUCIÓN POLÍTICA DE LOS ESTADOS UNIDOS MEXICANOS.</w:t>
      </w:r>
    </w:p>
    <w:p w14:paraId="39D0B025"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 xml:space="preserve">El artículo 17 de la Constitución Política de los Estados Unidos Mexicanos, interpretado de manera sistemática con el artículo 1o. de la Ley Fundamental, en su texto reformado mediante decreto publicado en el Diario Oficial de la Federación el diez de junio de dos mil once, en vigor al día siguiente, establece el derecho fundamental de acceso a la impartición de justicia, que se integra a su vez por los principios de justicia pronta, completa, imparcial y gratuita, como lo ha sostenido jurisprudencialmente la Segunda Sala de la Suprema Corte de Justicia de la Nación en la jurisprudencia 2a./J. 192/2007 de su índice, de rubro: "ACCESO A LA IMPARTICIÓN DE JUSTICIA. EL ARTÍCULO 17 DE LA CONSTITUCIÓN POLÍTICA DE LOS ESTADOS UNIDOS MEXICANOS ESTABLECE DIVERSOS PRINCIPIOS QUE INTEGRAN LA GARANTÍA INDIVIDUAL RELATIVA, A CUYA OBSERVANCIA ESTÁN OBLIGADAS LAS AUTORIDADES QUE REALIZAN ACTOS MATERIALMENTE JURISDICCIONALES.". Sin embargo, dicho derecho fundamental previsto como el género de acceso a la impartición de justicia, se encuentra detallado a su vez por diversas especies de garantías o mecanismos tendentes a hacer efectiva su protección, cuya fuente se encuentra en el derecho internacional, y que consisten en las garantías judiciales y de protección efectiva previstas respectivamente en los artículos 8, numeral 1 y 25 de la Convención Americana sobre Derechos Humanos, adoptada en la ciudad de San José de Costa Rica el veintidós de noviembre de mil novecientos sesenta y nueve, cuyo decreto promulgatorio se publicó el siete de mayo de mil novecientos ochenta y uno en el Diario Oficial de la Federación. </w:t>
      </w:r>
      <w:r w:rsidRPr="00B33EAF">
        <w:rPr>
          <w:rFonts w:ascii="Arial" w:hAnsi="Arial" w:cs="Arial"/>
          <w:sz w:val="18"/>
          <w:szCs w:val="18"/>
        </w:rPr>
        <w:lastRenderedPageBreak/>
        <w:t>Las garantías mencionadas subyacen en el derecho fundamental de acceso a la justicia previsto en el artículo 17 constitucional, y detallan sus alcances en cuanto establecen lo siguiente: 1. El derecho de toda persona a ser oída con las debidas garantías y dentro de un plazo razonable, por un Juez o tribunal competente, independiente e imparcial, establecido con anterioridad por la ley, en la sustanciación de cualquier acusación penal formulada contra ella o para la determinación de sus derechos y obligaciones de orden civil, laboral, fiscal o de cualquier otro carácter; 2. La existencia de un recurso judicial efectivo contra actos que violen derechos fundamentales; 3. El requisito de que sea la autoridad competente prevista por el respectivo sistema legal quien decida sobre los derechos de toda persona que lo interponga; 4. El desarrollo de las posibilidades de recurso judicial; y, 5. El cumplimiento, por las autoridades competentes, de toda decisión en que se haya estimado procedente el recurso. Por tanto, atento al nuevo paradigma del orden jurídico nacional surgido a virtud de las reformas que en materia de derechos humanos se realizaron a la Constitución Política de los Estados Unidos Mexicanos, publicadas en el Diario Oficial de la Federación el diez de junio de dos mil once, en vigor al día siguiente, se estima que el artículo 17 constitucional establece como género el derecho fundamental de acceso a la justicia con los principios que se derivan de ese propio precepto (justicia pronta, completa, imparcial y gratuita), mientras que los artículos 8, numeral 1 y 25 de la Convención Americana sobre Derechos Humanos prevén garantías o mecanismos que como especies de aquél subyacen en el precepto constitucional citado, de tal manera que no constituyen cuestiones distintas o accesorias a esa prerrogativa fundamental, sino que tienden más bien a especificar y a hacer efectivo el derecho mencionado, debiendo interpretarse la totalidad de dichos preceptos de modo sistemático, a fin de hacer valer para los gobernados, atento al principio pro homine o pro personae, la interpretación más favorable que les permita el más amplio acceso a la impartición de justicia.</w:t>
      </w:r>
      <w:r w:rsidRPr="00B33EAF">
        <w:rPr>
          <w:rFonts w:ascii="Arial" w:hAnsi="Arial" w:cs="Arial"/>
          <w:sz w:val="18"/>
          <w:szCs w:val="18"/>
        </w:rPr>
        <w:cr/>
        <w:t>PRIMER TRIBUNAL COLEGIADO EN MATERIA ADMINISTRATIVA DEL SEXTO CIRCUITO.</w:t>
      </w:r>
    </w:p>
    <w:p w14:paraId="160248FF"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Amparo directo 31/2012. 11 de abril de 2012. Unanimidad de votos. Ponente: Francisco Javier Cárdenas Ramírez. Secretario: Alejandro Andraca Carrera.</w:t>
      </w:r>
      <w:r w:rsidRPr="00B33EAF">
        <w:rPr>
          <w:rFonts w:ascii="Arial" w:hAnsi="Arial" w:cs="Arial"/>
          <w:sz w:val="18"/>
          <w:szCs w:val="18"/>
        </w:rPr>
        <w:cr/>
      </w:r>
      <w:r w:rsidR="00B33EAF" w:rsidRPr="00B33EAF">
        <w:rPr>
          <w:rFonts w:ascii="Arial" w:hAnsi="Arial" w:cs="Arial"/>
          <w:sz w:val="18"/>
          <w:szCs w:val="18"/>
        </w:rPr>
        <w:t xml:space="preserve"> </w:t>
      </w:r>
    </w:p>
    <w:p w14:paraId="70B71209"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Décima Época</w:t>
      </w:r>
    </w:p>
    <w:p w14:paraId="3A3BD456"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Registro: 2001245</w:t>
      </w:r>
    </w:p>
    <w:p w14:paraId="244DC4D4"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Instancia: Tribunales Colegiados de Circuito</w:t>
      </w:r>
    </w:p>
    <w:p w14:paraId="5684CDD5"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Tesis Aislada</w:t>
      </w:r>
    </w:p>
    <w:p w14:paraId="3FD955E5"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Fuente: Semanario Judicial de la Federación y su Gaceta</w:t>
      </w:r>
    </w:p>
    <w:p w14:paraId="0FC11327"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Libro XI, Agosto de 2012, Tomo 2</w:t>
      </w:r>
    </w:p>
    <w:p w14:paraId="7D08744A"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Materia(s): Constitucional, Penal</w:t>
      </w:r>
    </w:p>
    <w:p w14:paraId="486232C5"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Tesis: I.1o.P.2 P (10a.)</w:t>
      </w:r>
    </w:p>
    <w:p w14:paraId="7A427B04"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Página:  1654</w:t>
      </w:r>
    </w:p>
    <w:p w14:paraId="63764548"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AVERIGUACIÓN PREVIA. DEBE DURAR MÁXIMO CUARENTA Y OCHO HORAS CUANDO EN ESTA ETAPA EL INCULPADO ES PUESTO EN LIBERTAD PROVISIONAL (LEGISLACIÓN FEDERAL Y DEL DISTRITO FEDERAL).</w:t>
      </w:r>
    </w:p>
    <w:p w14:paraId="4B4CCCAC"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 xml:space="preserve">De acuerdo con los derechos humanos de libertad personal y seguridad jurídica, y con apego al principio de interpretación pro persona, cuando el inculpado estuvo detenido y se le concedió libertad provisional, el plazo de duración de la indagatoria es hasta de cuarenta y ocho horas. Es así porque, si bien en los casos de inculpado detenido y no detenido la regla de duración puede obtenerse de diversas normas, el legislador no dispuso cuánto debía durar la indagatoria si le concedió libertad provisional; en este último supuesto ya no está materialmente tras las rejas pero tampoco está completamente libre pues, aunque puede deambular, su libertad está limitada porque se encuentra sujeto a determinadas condiciones y obligaciones (como no cambiar de domicilio ni salir del país sin previa autorización) y la misma es provisional ya que sólo es mientras dure el procedimiento, además de que puede ser revocada si incumple aquéllas. De manera que la duración de la averiguación previa está determinada por la situación personal en la que el inculpado la enfrenta. Tradicionalmente sólo había dos alternativas claramente determinadas por el hecho de si el inculpado estaba detenido o no: 1. Si se encontraba detenido, la averiguación previa debía ser resuelta "de inmediato"; en cambio, 2. Si no estaba detenido, debía ser resuelta, en definitiva, en cuanto las pruebas recabadas lo permitieran. En el primer caso, si en lo inmediato no se disponía del material suficiente para decidir, se ponía al inculpado en libertad "bajo reservas de ley" y, en automático, pasaba a regirse por el segundo caso. Aunque este criterio de distinción permitía identificar con absoluta claridad tales alternativas, el lapso de duración de la averiguación previa distaba mucho de estar objetivamente determinado en el caso de estar detenido; situación que se vio resuelta hasta el año mil novecientos noventa y tres con la reforma al artículo 16 constitucional, que estableció el plazo de cuarenta y ocho horas tras el cual debe ponerse al inculpado en libertad o a disposición del Juez. En el segundo caso, la duración de la averiguación previa, hasta la fecha, no está acotada legalmente por una regla positiva, sino por un conjunto de reglas de cuya conjugación deriva que el fiscal decide cuando disponga de las pruebas suficientes para accionar, sin que haya plazo de antemano establecido, tomando como límite máximo la prescripción. En ese estado de cosas, en la misma reforma constitucional se modificó el artículo 20, fracción I y penúltimo párrafo, para establecer la posibilidad de que el detenido fuera puesto en libertad provisional durante la averiguación previa, a condición de que, entre otras cosas, cumpliera con una serie de obligaciones durante el tiempo de esa libertad, reveladoras de que no se evadiría; lo cual se reguló en mil novecientos noventa y tres en el artículo 135 del código procesal penal federal y al año siguiente en el artículo 271 de la ordenanza adjetiva capitalina. Pero no se dispuso de manera expresa cuánto debía durar la averiguación previa en tal caso. De manera que, ante la ausencia de norma expresa para este caso, deben extenderse los efectos de una de las dos reglas existentes, por medio de interpretación de la norma (de entre las racionalmente posibles); y de entre ellas debe prevalecer la que más beneficia a la persona (en oposición a la autoridad, que sería la de mayor plazo para investigar) y que le proporcione mayor seguridad jurídica; esto se traduce en la interpretación de que el inculpado en libertad caucional se encuentra en la misma situación que si estuviera detenido, y por eso la averiguación previa debe durar cuarenta y ocho horas; y no que está en una situación semejante a la de quien enfrenta la averiguación en libertad (sin adjetivos), en cuyo caso la indagatoria podría durar años; además de que la reducción del tiempo para el fiscal no implica pasar desmedidamente por encima de sus facultades, en tanto que no se merma su capacidad real de investigación porque si decide calificar la retención de un inculpado es porque estima que hay flagrancia y ello implica que ya dispone de un suficiente estándar probatorio de que hay un delito y de la probable responsabilidad, además, al ponerlo en libertad provisional, no se incrementa el estándar para accionar. De modo que si el Ministerio Público no ejerce acción penal antes de que concluya el plazo citado, el inculpado debe recobrar su libertad, lo que significa que debe ser liberado de las obligaciones contraídas con motivo del disfrute de ese derecho y continuar la averiguación </w:t>
      </w:r>
      <w:r w:rsidRPr="00B33EAF">
        <w:rPr>
          <w:rFonts w:ascii="Arial" w:hAnsi="Arial" w:cs="Arial"/>
          <w:sz w:val="18"/>
          <w:szCs w:val="18"/>
        </w:rPr>
        <w:lastRenderedPageBreak/>
        <w:t>previa en las condiciones temporales que rigen para cuando no está detenido -entre ellas devolver caución o cancelar fianza-; y si finalmente el Ministerio Público decide ejercer acción penal, lo que procede es solicitar orden de aprehensión, mas no de presentación.</w:t>
      </w:r>
      <w:r w:rsidRPr="00B33EAF">
        <w:rPr>
          <w:rFonts w:ascii="Arial" w:hAnsi="Arial" w:cs="Arial"/>
          <w:sz w:val="18"/>
          <w:szCs w:val="18"/>
        </w:rPr>
        <w:cr/>
        <w:t>PRIMER TRIBUNAL COLEGIADO EN MATERIA PENAL DEL PRIMER CIRCUITO.</w:t>
      </w:r>
    </w:p>
    <w:p w14:paraId="5C54C371"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Amparo en revisión 272/2011. 15 de marzo de 2012. Unanimidad de votos. Ponente: Juan José Olvera López. Secretario: Saúl Cota Murillo.</w:t>
      </w:r>
      <w:r w:rsidRPr="00B33EAF">
        <w:rPr>
          <w:rFonts w:ascii="Arial" w:hAnsi="Arial" w:cs="Arial"/>
          <w:sz w:val="18"/>
          <w:szCs w:val="18"/>
        </w:rPr>
        <w:cr/>
      </w:r>
      <w:r w:rsidR="00B33EAF" w:rsidRPr="00B33EAF">
        <w:rPr>
          <w:rFonts w:ascii="Arial" w:hAnsi="Arial" w:cs="Arial"/>
          <w:sz w:val="18"/>
          <w:szCs w:val="18"/>
        </w:rPr>
        <w:t xml:space="preserve"> </w:t>
      </w:r>
    </w:p>
    <w:p w14:paraId="3ADAA18A"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Décima Época</w:t>
      </w:r>
    </w:p>
    <w:p w14:paraId="7073FCA7"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Registro: 2001428</w:t>
      </w:r>
    </w:p>
    <w:p w14:paraId="2CB0847C"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Instancia: Tribunales Colegiados de Circuito</w:t>
      </w:r>
    </w:p>
    <w:p w14:paraId="0AD75F98"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Tesis Aislada</w:t>
      </w:r>
    </w:p>
    <w:p w14:paraId="037AF5D5"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Fuente: Semanario Judicial de la Federación y su Gaceta</w:t>
      </w:r>
    </w:p>
    <w:p w14:paraId="1F3594EB"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Libro XI, Agosto de 2012, Tomo 2</w:t>
      </w:r>
    </w:p>
    <w:p w14:paraId="659EB91C"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Materia(s): Constitucional</w:t>
      </w:r>
    </w:p>
    <w:p w14:paraId="15305ACA"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Tesis: VIII.A.C.3 K (10a.)</w:t>
      </w:r>
    </w:p>
    <w:p w14:paraId="7B17B545"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Página:  1931</w:t>
      </w:r>
    </w:p>
    <w:p w14:paraId="5792199E"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PRINCIPIO PRO HOMINE Y CADUCIDAD DE LA INSTANCIA. NO PUGNAN.</w:t>
      </w:r>
    </w:p>
    <w:p w14:paraId="1AED9E7D"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El nuevo paradigma, previsto en el artículo 1o., segundo párrafo, de la Constitución Política de los Estados Unidos Mexicanos, referente a que las normas relativas a los derechos humanos se interpretarán de conformidad con la propia Constitución y con los tratados internacionales de los que México es parte, de la forma que favorezca más ampliamente a las personas, no llega al extremo de inaplicar una figura procedimental prevista en los ordenamientos adjetivos correspondientes (a menos que sea lesiva al equilibrio y protección de las partes), como la de la caducidad de la instancia, pues ésta no coarta principios fundamentales como el de acceso a la justicia, sino impone plazos razonables para su prosecución que, sin duda alguna, es de gran importancia dentro del orden procesal, tendente a alcanzar la seguridad jurídica, ya que su finalidad es evitar que acciones judiciales puedan prolongarse indefinidamente en el tiempo, lo cual, obviamente, incidiría de forma negativa en el interés público. En otras palabras, el principio pro homine no persigue cobijar a toda costa a la persona, sino procurarle la mayor protección pero, sin desconocer otros principios también de gran entidad como, en el caso, el orden procesal.</w:t>
      </w:r>
      <w:r w:rsidRPr="00B33EAF">
        <w:rPr>
          <w:rFonts w:ascii="Arial" w:hAnsi="Arial" w:cs="Arial"/>
          <w:sz w:val="18"/>
          <w:szCs w:val="18"/>
        </w:rPr>
        <w:cr/>
        <w:t>TRIBUNAL COLEGIADO EN MATERIAS ADMINISTRATIVA Y CIVIL DEL OCTAVO CIRCUITO.</w:t>
      </w:r>
    </w:p>
    <w:p w14:paraId="28E5DDF4"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Amparo directo 119/2012. María Concepción Gutiérrez Imperial. 7 de junio de 2012. Unanimidad de votos. Ponente: Víctor Antonio Pescador Cano. Secretario: Eduardo Alonso Fuentevilla Cabello.</w:t>
      </w:r>
    </w:p>
    <w:p w14:paraId="1580AA7E" w14:textId="77777777" w:rsidR="00C66E56" w:rsidRPr="00B33EAF" w:rsidRDefault="00C66E56" w:rsidP="00C66E56">
      <w:pPr>
        <w:spacing w:after="0" w:line="240" w:lineRule="auto"/>
        <w:jc w:val="both"/>
        <w:rPr>
          <w:rFonts w:ascii="Arial" w:hAnsi="Arial" w:cs="Arial"/>
          <w:sz w:val="18"/>
          <w:szCs w:val="18"/>
        </w:rPr>
      </w:pPr>
    </w:p>
    <w:p w14:paraId="041956E1"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Décima Época</w:t>
      </w:r>
    </w:p>
    <w:p w14:paraId="5B26A491"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Registro: 2000630</w:t>
      </w:r>
    </w:p>
    <w:p w14:paraId="74843CAB"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Instancia: Tribunales Colegiados de Circuito</w:t>
      </w:r>
    </w:p>
    <w:p w14:paraId="10185ED7"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Tesis Aislada</w:t>
      </w:r>
    </w:p>
    <w:p w14:paraId="11FB152E"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Fuente: Semanario Judicial de la Federación y su Gaceta</w:t>
      </w:r>
    </w:p>
    <w:p w14:paraId="68684C97"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Libro VII, Abril de 2012, Tomo 2</w:t>
      </w:r>
    </w:p>
    <w:p w14:paraId="044F369E"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Materia(s): Constitucional</w:t>
      </w:r>
    </w:p>
    <w:p w14:paraId="6DEF053E"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Tesis: XVIII.3o.1 K (10a.)</w:t>
      </w:r>
    </w:p>
    <w:p w14:paraId="05A8FE0F"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Página:  1838</w:t>
      </w:r>
    </w:p>
    <w:p w14:paraId="3F273388"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PRINCIPIO PRO HOMINE. SU CONCEPTUALIZACIÓN Y FUNDAMENTOS.</w:t>
      </w:r>
    </w:p>
    <w:p w14:paraId="5DF0B714"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En atención al artículo 1o., segundo párrafo, de la Constitución Política de los Estados Unidos Mexicanos, adicionado mediante decreto publicado en el Diario Oficial de la Federación el diez de junio de dos mil once, las normas en materia de derechos humanos se interpretarán de conformidad con la Carta Magna y con los tratados internacionales de la materia, procurando favorecer en todo tiempo a las personas con la aplicación más amplia. Dicho precepto recoge de manera directa el criterio o directriz hermenéutica denominada principio pro homine, el cual consiste en ponderar ante todo la fundamentalidad de los derechos humanos, a efecto de estar siempre a favor del hombre, lo que implica que debe acudirse a la norma más amplia o a la interpretación extensiva cuando se trate de derechos protegidos e, inversamente, a la norma o a la interpretación más restringida, cuando se trate de establecer límites para su ejercicio. Asimismo, en el plano del derecho internacional, el principio en mención se encuentra consagrado en los artículos 29 de la Convención Americana sobre Derechos Humanos y 5 del Pacto Internacional de Derechos Civiles y Políticos, publicados en el Diario Oficial de la Federación, de manera respectiva, el siete y el veinte de mayo de mil novecientos ochenta y uno.</w:t>
      </w:r>
      <w:r w:rsidRPr="00B33EAF">
        <w:rPr>
          <w:rFonts w:ascii="Arial" w:hAnsi="Arial" w:cs="Arial"/>
          <w:sz w:val="18"/>
          <w:szCs w:val="18"/>
        </w:rPr>
        <w:cr/>
        <w:t>TERCER TRIBUNAL COLEGIADO DEL DÉCIMO OCTAVO CIRCUITO.</w:t>
      </w:r>
    </w:p>
    <w:p w14:paraId="76AC6FD3" w14:textId="77777777" w:rsidR="00C66E56" w:rsidRPr="00B33EAF" w:rsidRDefault="00C66E56" w:rsidP="00C66E56">
      <w:pPr>
        <w:spacing w:after="0" w:line="240" w:lineRule="auto"/>
        <w:jc w:val="both"/>
        <w:rPr>
          <w:rFonts w:ascii="Arial" w:hAnsi="Arial" w:cs="Arial"/>
          <w:sz w:val="18"/>
          <w:szCs w:val="18"/>
        </w:rPr>
      </w:pPr>
      <w:r w:rsidRPr="00B33EAF">
        <w:rPr>
          <w:rFonts w:ascii="Arial" w:hAnsi="Arial" w:cs="Arial"/>
          <w:sz w:val="18"/>
          <w:szCs w:val="18"/>
        </w:rPr>
        <w:t>Amparo en revisión 402/2011. Guadalupe Edith Pérez Blass. 19 de enero de 2012. Unanimidad de votos. Ponente: Juan José Franco Luna. Secretario: Salvador Obregón Sandoval.</w:t>
      </w:r>
    </w:p>
    <w:sectPr w:rsidR="00C66E56" w:rsidRPr="00B33EAF" w:rsidSect="0047733D">
      <w:headerReference w:type="default" r:id="rId6"/>
      <w:pgSz w:w="12240" w:h="15840" w:code="1"/>
      <w:pgMar w:top="851" w:right="851" w:bottom="851" w:left="851" w:header="720" w:footer="72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1A7ED4" w14:textId="77777777" w:rsidR="00215626" w:rsidRDefault="00215626" w:rsidP="000A4C1D">
      <w:pPr>
        <w:spacing w:after="0" w:line="240" w:lineRule="auto"/>
      </w:pPr>
      <w:r>
        <w:separator/>
      </w:r>
    </w:p>
  </w:endnote>
  <w:endnote w:type="continuationSeparator" w:id="0">
    <w:p w14:paraId="46C09F2D" w14:textId="77777777" w:rsidR="00215626" w:rsidRDefault="00215626" w:rsidP="000A4C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C88EA6" w14:textId="77777777" w:rsidR="00215626" w:rsidRDefault="00215626" w:rsidP="000A4C1D">
      <w:pPr>
        <w:spacing w:after="0" w:line="240" w:lineRule="auto"/>
      </w:pPr>
      <w:r>
        <w:separator/>
      </w:r>
    </w:p>
  </w:footnote>
  <w:footnote w:type="continuationSeparator" w:id="0">
    <w:p w14:paraId="267FBAD3" w14:textId="77777777" w:rsidR="00215626" w:rsidRDefault="00215626" w:rsidP="000A4C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122425"/>
      <w:docPartObj>
        <w:docPartGallery w:val="Page Numbers (Top of Page)"/>
        <w:docPartUnique/>
      </w:docPartObj>
    </w:sdtPr>
    <w:sdtEndPr/>
    <w:sdtContent>
      <w:p w14:paraId="68905FA6" w14:textId="77777777" w:rsidR="00292E1F" w:rsidRDefault="00292E1F" w:rsidP="009431A6">
        <w:pPr>
          <w:pStyle w:val="Encabezado"/>
          <w:jc w:val="right"/>
        </w:pPr>
        <w:r>
          <w:fldChar w:fldCharType="begin"/>
        </w:r>
        <w:r>
          <w:instrText xml:space="preserve"> PAGE   \* MERGEFORMAT </w:instrText>
        </w:r>
        <w:r>
          <w:fldChar w:fldCharType="separate"/>
        </w:r>
        <w:r w:rsidR="00413995">
          <w:rPr>
            <w:noProof/>
          </w:rPr>
          <w:t>14</w:t>
        </w:r>
        <w:r>
          <w:rPr>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1134"/>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E4"/>
    <w:rsid w:val="00010215"/>
    <w:rsid w:val="00032ABD"/>
    <w:rsid w:val="000449D3"/>
    <w:rsid w:val="0008378F"/>
    <w:rsid w:val="00094C0D"/>
    <w:rsid w:val="000A4C1D"/>
    <w:rsid w:val="000E728E"/>
    <w:rsid w:val="00103450"/>
    <w:rsid w:val="00134E17"/>
    <w:rsid w:val="00142D5F"/>
    <w:rsid w:val="001805B2"/>
    <w:rsid w:val="00196505"/>
    <w:rsid w:val="001A4E76"/>
    <w:rsid w:val="00215626"/>
    <w:rsid w:val="00236020"/>
    <w:rsid w:val="002414BA"/>
    <w:rsid w:val="00260439"/>
    <w:rsid w:val="00282EC8"/>
    <w:rsid w:val="00292E1F"/>
    <w:rsid w:val="002961CF"/>
    <w:rsid w:val="002A3173"/>
    <w:rsid w:val="00333729"/>
    <w:rsid w:val="003359B8"/>
    <w:rsid w:val="00340990"/>
    <w:rsid w:val="00362720"/>
    <w:rsid w:val="00371072"/>
    <w:rsid w:val="0038098F"/>
    <w:rsid w:val="00391FCB"/>
    <w:rsid w:val="003936E5"/>
    <w:rsid w:val="003B0FF7"/>
    <w:rsid w:val="003B11BB"/>
    <w:rsid w:val="003B5206"/>
    <w:rsid w:val="003D4E01"/>
    <w:rsid w:val="003E6875"/>
    <w:rsid w:val="00413995"/>
    <w:rsid w:val="004256A0"/>
    <w:rsid w:val="0043351E"/>
    <w:rsid w:val="00460973"/>
    <w:rsid w:val="00460C2F"/>
    <w:rsid w:val="00466AE8"/>
    <w:rsid w:val="0047733D"/>
    <w:rsid w:val="004A5B9F"/>
    <w:rsid w:val="005412B1"/>
    <w:rsid w:val="00594738"/>
    <w:rsid w:val="005C16C9"/>
    <w:rsid w:val="00605931"/>
    <w:rsid w:val="00617A4D"/>
    <w:rsid w:val="00626E65"/>
    <w:rsid w:val="00627CBF"/>
    <w:rsid w:val="006333BE"/>
    <w:rsid w:val="00640BC5"/>
    <w:rsid w:val="00687786"/>
    <w:rsid w:val="0069187E"/>
    <w:rsid w:val="006B7F4D"/>
    <w:rsid w:val="006D3358"/>
    <w:rsid w:val="006D3FA0"/>
    <w:rsid w:val="007501E0"/>
    <w:rsid w:val="007557EF"/>
    <w:rsid w:val="00777FB1"/>
    <w:rsid w:val="007D6C38"/>
    <w:rsid w:val="007F1D2D"/>
    <w:rsid w:val="008403A8"/>
    <w:rsid w:val="00840B27"/>
    <w:rsid w:val="00867481"/>
    <w:rsid w:val="00882598"/>
    <w:rsid w:val="0089752E"/>
    <w:rsid w:val="008A093C"/>
    <w:rsid w:val="008A42D1"/>
    <w:rsid w:val="008E6A56"/>
    <w:rsid w:val="008F1ADC"/>
    <w:rsid w:val="008F2518"/>
    <w:rsid w:val="009016CB"/>
    <w:rsid w:val="00915387"/>
    <w:rsid w:val="00937A07"/>
    <w:rsid w:val="009431A6"/>
    <w:rsid w:val="0094434F"/>
    <w:rsid w:val="00955468"/>
    <w:rsid w:val="009A0843"/>
    <w:rsid w:val="009C420B"/>
    <w:rsid w:val="009F1186"/>
    <w:rsid w:val="00A05D2A"/>
    <w:rsid w:val="00A073F5"/>
    <w:rsid w:val="00A105EA"/>
    <w:rsid w:val="00A26B22"/>
    <w:rsid w:val="00A42E3A"/>
    <w:rsid w:val="00A47FF6"/>
    <w:rsid w:val="00A63638"/>
    <w:rsid w:val="00A77584"/>
    <w:rsid w:val="00A86552"/>
    <w:rsid w:val="00AD756A"/>
    <w:rsid w:val="00AE551C"/>
    <w:rsid w:val="00B17A21"/>
    <w:rsid w:val="00B33EAF"/>
    <w:rsid w:val="00B3414E"/>
    <w:rsid w:val="00B55DCE"/>
    <w:rsid w:val="00BA68DB"/>
    <w:rsid w:val="00BB3211"/>
    <w:rsid w:val="00C00125"/>
    <w:rsid w:val="00C05EBA"/>
    <w:rsid w:val="00C61B55"/>
    <w:rsid w:val="00C66E56"/>
    <w:rsid w:val="00C703A1"/>
    <w:rsid w:val="00C72E0F"/>
    <w:rsid w:val="00C94D16"/>
    <w:rsid w:val="00CF2F5C"/>
    <w:rsid w:val="00D03902"/>
    <w:rsid w:val="00D07423"/>
    <w:rsid w:val="00D20418"/>
    <w:rsid w:val="00D4151A"/>
    <w:rsid w:val="00D63007"/>
    <w:rsid w:val="00D704AE"/>
    <w:rsid w:val="00D8177C"/>
    <w:rsid w:val="00D91D89"/>
    <w:rsid w:val="00D920E4"/>
    <w:rsid w:val="00D946D1"/>
    <w:rsid w:val="00DB52E8"/>
    <w:rsid w:val="00E07EE1"/>
    <w:rsid w:val="00E22005"/>
    <w:rsid w:val="00E22769"/>
    <w:rsid w:val="00E476BB"/>
    <w:rsid w:val="00E600FF"/>
    <w:rsid w:val="00E6462B"/>
    <w:rsid w:val="00EE65CE"/>
    <w:rsid w:val="00EE6627"/>
    <w:rsid w:val="00F41B7B"/>
    <w:rsid w:val="00F71216"/>
    <w:rsid w:val="00F8057F"/>
    <w:rsid w:val="00F80E44"/>
    <w:rsid w:val="00FA44B7"/>
    <w:rsid w:val="00FB3F52"/>
    <w:rsid w:val="00FC2733"/>
    <w:rsid w:val="00FC6E6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72781FD"/>
  <w15:docId w15:val="{EEFFB8D4-575A-4054-8E85-E952E5577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7A4D"/>
    <w:pPr>
      <w:spacing w:after="200" w:line="276" w:lineRule="auto"/>
    </w:pPr>
    <w:rPr>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ormal0">
    <w:name w:val="[Normal]"/>
    <w:rsid w:val="00617A4D"/>
    <w:pPr>
      <w:widowControl w:val="0"/>
      <w:autoSpaceDE w:val="0"/>
      <w:autoSpaceDN w:val="0"/>
      <w:adjustRightInd w:val="0"/>
    </w:pPr>
    <w:rPr>
      <w:rFonts w:ascii="Arial" w:hAnsi="Arial" w:cs="Arial"/>
      <w:sz w:val="24"/>
      <w:szCs w:val="24"/>
    </w:rPr>
  </w:style>
  <w:style w:type="paragraph" w:styleId="Textodeglobo">
    <w:name w:val="Balloon Text"/>
    <w:basedOn w:val="Normal"/>
    <w:link w:val="TextodegloboCar"/>
    <w:uiPriority w:val="99"/>
    <w:semiHidden/>
    <w:unhideWhenUsed/>
    <w:rsid w:val="002961C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961CF"/>
    <w:rPr>
      <w:rFonts w:ascii="Tahoma" w:hAnsi="Tahoma" w:cs="Tahoma"/>
      <w:sz w:val="16"/>
      <w:szCs w:val="16"/>
    </w:rPr>
  </w:style>
  <w:style w:type="paragraph" w:styleId="Encabezado">
    <w:name w:val="header"/>
    <w:basedOn w:val="Normal"/>
    <w:link w:val="EncabezadoCar"/>
    <w:uiPriority w:val="99"/>
    <w:unhideWhenUsed/>
    <w:rsid w:val="000A4C1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A4C1D"/>
    <w:rPr>
      <w:sz w:val="22"/>
      <w:szCs w:val="22"/>
    </w:rPr>
  </w:style>
  <w:style w:type="paragraph" w:styleId="Piedepgina">
    <w:name w:val="footer"/>
    <w:basedOn w:val="Normal"/>
    <w:link w:val="PiedepginaCar"/>
    <w:uiPriority w:val="99"/>
    <w:semiHidden/>
    <w:unhideWhenUsed/>
    <w:rsid w:val="000A4C1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0A4C1D"/>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211188">
      <w:bodyDiv w:val="1"/>
      <w:marLeft w:val="0"/>
      <w:marRight w:val="0"/>
      <w:marTop w:val="0"/>
      <w:marBottom w:val="0"/>
      <w:divBdr>
        <w:top w:val="none" w:sz="0" w:space="0" w:color="auto"/>
        <w:left w:val="none" w:sz="0" w:space="0" w:color="auto"/>
        <w:bottom w:val="none" w:sz="0" w:space="0" w:color="auto"/>
        <w:right w:val="none" w:sz="0" w:space="0" w:color="auto"/>
      </w:divBdr>
      <w:divsChild>
        <w:div w:id="862742801">
          <w:marLeft w:val="0"/>
          <w:marRight w:val="0"/>
          <w:marTop w:val="0"/>
          <w:marBottom w:val="0"/>
          <w:divBdr>
            <w:top w:val="none" w:sz="0" w:space="0" w:color="auto"/>
            <w:left w:val="none" w:sz="0" w:space="0" w:color="auto"/>
            <w:bottom w:val="none" w:sz="0" w:space="0" w:color="auto"/>
            <w:right w:val="none" w:sz="0" w:space="0" w:color="auto"/>
          </w:divBdr>
          <w:divsChild>
            <w:div w:id="1512406113">
              <w:marLeft w:val="0"/>
              <w:marRight w:val="0"/>
              <w:marTop w:val="0"/>
              <w:marBottom w:val="0"/>
              <w:divBdr>
                <w:top w:val="none" w:sz="0" w:space="0" w:color="auto"/>
                <w:left w:val="none" w:sz="0" w:space="0" w:color="auto"/>
                <w:bottom w:val="none" w:sz="0" w:space="0" w:color="auto"/>
                <w:right w:val="none" w:sz="0" w:space="0" w:color="auto"/>
              </w:divBdr>
              <w:divsChild>
                <w:div w:id="979992427">
                  <w:marLeft w:val="0"/>
                  <w:marRight w:val="0"/>
                  <w:marTop w:val="0"/>
                  <w:marBottom w:val="0"/>
                  <w:divBdr>
                    <w:top w:val="none" w:sz="0" w:space="0" w:color="auto"/>
                    <w:left w:val="none" w:sz="0" w:space="0" w:color="auto"/>
                    <w:bottom w:val="none" w:sz="0" w:space="0" w:color="auto"/>
                    <w:right w:val="none" w:sz="0" w:space="0" w:color="auto"/>
                  </w:divBdr>
                </w:div>
              </w:divsChild>
            </w:div>
            <w:div w:id="803082313">
              <w:marLeft w:val="0"/>
              <w:marRight w:val="0"/>
              <w:marTop w:val="0"/>
              <w:marBottom w:val="0"/>
              <w:divBdr>
                <w:top w:val="none" w:sz="0" w:space="0" w:color="auto"/>
                <w:left w:val="none" w:sz="0" w:space="0" w:color="auto"/>
                <w:bottom w:val="none" w:sz="0" w:space="0" w:color="auto"/>
                <w:right w:val="none" w:sz="0" w:space="0" w:color="auto"/>
              </w:divBdr>
              <w:divsChild>
                <w:div w:id="1373579293">
                  <w:marLeft w:val="0"/>
                  <w:marRight w:val="0"/>
                  <w:marTop w:val="0"/>
                  <w:marBottom w:val="0"/>
                  <w:divBdr>
                    <w:top w:val="none" w:sz="0" w:space="0" w:color="auto"/>
                    <w:left w:val="none" w:sz="0" w:space="0" w:color="auto"/>
                    <w:bottom w:val="none" w:sz="0" w:space="0" w:color="auto"/>
                    <w:right w:val="none" w:sz="0" w:space="0" w:color="auto"/>
                  </w:divBdr>
                </w:div>
                <w:div w:id="1732267675">
                  <w:marLeft w:val="0"/>
                  <w:marRight w:val="0"/>
                  <w:marTop w:val="0"/>
                  <w:marBottom w:val="0"/>
                  <w:divBdr>
                    <w:top w:val="none" w:sz="0" w:space="0" w:color="auto"/>
                    <w:left w:val="none" w:sz="0" w:space="0" w:color="auto"/>
                    <w:bottom w:val="none" w:sz="0" w:space="0" w:color="auto"/>
                    <w:right w:val="none" w:sz="0" w:space="0" w:color="auto"/>
                  </w:divBdr>
                </w:div>
                <w:div w:id="760376892">
                  <w:marLeft w:val="0"/>
                  <w:marRight w:val="0"/>
                  <w:marTop w:val="0"/>
                  <w:marBottom w:val="0"/>
                  <w:divBdr>
                    <w:top w:val="none" w:sz="0" w:space="0" w:color="auto"/>
                    <w:left w:val="none" w:sz="0" w:space="0" w:color="auto"/>
                    <w:bottom w:val="none" w:sz="0" w:space="0" w:color="auto"/>
                    <w:right w:val="none" w:sz="0" w:space="0" w:color="auto"/>
                  </w:divBdr>
                </w:div>
              </w:divsChild>
            </w:div>
            <w:div w:id="564801143">
              <w:marLeft w:val="0"/>
              <w:marRight w:val="0"/>
              <w:marTop w:val="0"/>
              <w:marBottom w:val="0"/>
              <w:divBdr>
                <w:top w:val="none" w:sz="0" w:space="0" w:color="auto"/>
                <w:left w:val="none" w:sz="0" w:space="0" w:color="auto"/>
                <w:bottom w:val="none" w:sz="0" w:space="0" w:color="auto"/>
                <w:right w:val="none" w:sz="0" w:space="0" w:color="auto"/>
              </w:divBdr>
              <w:divsChild>
                <w:div w:id="1580599999">
                  <w:marLeft w:val="0"/>
                  <w:marRight w:val="0"/>
                  <w:marTop w:val="0"/>
                  <w:marBottom w:val="0"/>
                  <w:divBdr>
                    <w:top w:val="none" w:sz="0" w:space="0" w:color="auto"/>
                    <w:left w:val="none" w:sz="0" w:space="0" w:color="auto"/>
                    <w:bottom w:val="none" w:sz="0" w:space="0" w:color="auto"/>
                    <w:right w:val="none" w:sz="0" w:space="0" w:color="auto"/>
                  </w:divBdr>
                </w:div>
                <w:div w:id="1365444663">
                  <w:marLeft w:val="0"/>
                  <w:marRight w:val="0"/>
                  <w:marTop w:val="0"/>
                  <w:marBottom w:val="0"/>
                  <w:divBdr>
                    <w:top w:val="none" w:sz="0" w:space="0" w:color="auto"/>
                    <w:left w:val="none" w:sz="0" w:space="0" w:color="auto"/>
                    <w:bottom w:val="none" w:sz="0" w:space="0" w:color="auto"/>
                    <w:right w:val="none" w:sz="0" w:space="0" w:color="auto"/>
                  </w:divBdr>
                </w:div>
                <w:div w:id="72425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878314">
          <w:marLeft w:val="0"/>
          <w:marRight w:val="0"/>
          <w:marTop w:val="0"/>
          <w:marBottom w:val="0"/>
          <w:divBdr>
            <w:top w:val="none" w:sz="0" w:space="0" w:color="auto"/>
            <w:left w:val="none" w:sz="0" w:space="0" w:color="auto"/>
            <w:bottom w:val="none" w:sz="0" w:space="0" w:color="auto"/>
            <w:right w:val="none" w:sz="0" w:space="0" w:color="auto"/>
          </w:divBdr>
        </w:div>
        <w:div w:id="1771273022">
          <w:marLeft w:val="0"/>
          <w:marRight w:val="0"/>
          <w:marTop w:val="0"/>
          <w:marBottom w:val="0"/>
          <w:divBdr>
            <w:top w:val="none" w:sz="0" w:space="0" w:color="auto"/>
            <w:left w:val="none" w:sz="0" w:space="0" w:color="auto"/>
            <w:bottom w:val="none" w:sz="0" w:space="0" w:color="auto"/>
            <w:right w:val="none" w:sz="0" w:space="0" w:color="auto"/>
          </w:divBdr>
        </w:div>
        <w:div w:id="621957226">
          <w:marLeft w:val="0"/>
          <w:marRight w:val="0"/>
          <w:marTop w:val="0"/>
          <w:marBottom w:val="0"/>
          <w:divBdr>
            <w:top w:val="none" w:sz="0" w:space="0" w:color="auto"/>
            <w:left w:val="none" w:sz="0" w:space="0" w:color="auto"/>
            <w:bottom w:val="none" w:sz="0" w:space="0" w:color="auto"/>
            <w:right w:val="none" w:sz="0" w:space="0" w:color="auto"/>
          </w:divBdr>
        </w:div>
        <w:div w:id="184367769">
          <w:marLeft w:val="0"/>
          <w:marRight w:val="0"/>
          <w:marTop w:val="0"/>
          <w:marBottom w:val="0"/>
          <w:divBdr>
            <w:top w:val="none" w:sz="0" w:space="0" w:color="auto"/>
            <w:left w:val="none" w:sz="0" w:space="0" w:color="auto"/>
            <w:bottom w:val="none" w:sz="0" w:space="0" w:color="auto"/>
            <w:right w:val="none" w:sz="0" w:space="0" w:color="auto"/>
          </w:divBdr>
        </w:div>
      </w:divsChild>
    </w:div>
    <w:div w:id="309868703">
      <w:bodyDiv w:val="1"/>
      <w:marLeft w:val="0"/>
      <w:marRight w:val="0"/>
      <w:marTop w:val="0"/>
      <w:marBottom w:val="0"/>
      <w:divBdr>
        <w:top w:val="none" w:sz="0" w:space="0" w:color="auto"/>
        <w:left w:val="none" w:sz="0" w:space="0" w:color="auto"/>
        <w:bottom w:val="none" w:sz="0" w:space="0" w:color="auto"/>
        <w:right w:val="none" w:sz="0" w:space="0" w:color="auto"/>
      </w:divBdr>
      <w:divsChild>
        <w:div w:id="158682">
          <w:marLeft w:val="0"/>
          <w:marRight w:val="0"/>
          <w:marTop w:val="0"/>
          <w:marBottom w:val="0"/>
          <w:divBdr>
            <w:top w:val="none" w:sz="0" w:space="0" w:color="auto"/>
            <w:left w:val="none" w:sz="0" w:space="0" w:color="auto"/>
            <w:bottom w:val="none" w:sz="0" w:space="0" w:color="auto"/>
            <w:right w:val="none" w:sz="0" w:space="0" w:color="auto"/>
          </w:divBdr>
          <w:divsChild>
            <w:div w:id="408693320">
              <w:marLeft w:val="0"/>
              <w:marRight w:val="0"/>
              <w:marTop w:val="0"/>
              <w:marBottom w:val="0"/>
              <w:divBdr>
                <w:top w:val="none" w:sz="0" w:space="0" w:color="auto"/>
                <w:left w:val="none" w:sz="0" w:space="0" w:color="auto"/>
                <w:bottom w:val="none" w:sz="0" w:space="0" w:color="auto"/>
                <w:right w:val="none" w:sz="0" w:space="0" w:color="auto"/>
              </w:divBdr>
              <w:divsChild>
                <w:div w:id="1191797070">
                  <w:marLeft w:val="0"/>
                  <w:marRight w:val="0"/>
                  <w:marTop w:val="0"/>
                  <w:marBottom w:val="0"/>
                  <w:divBdr>
                    <w:top w:val="none" w:sz="0" w:space="0" w:color="auto"/>
                    <w:left w:val="none" w:sz="0" w:space="0" w:color="auto"/>
                    <w:bottom w:val="none" w:sz="0" w:space="0" w:color="auto"/>
                    <w:right w:val="none" w:sz="0" w:space="0" w:color="auto"/>
                  </w:divBdr>
                </w:div>
              </w:divsChild>
            </w:div>
            <w:div w:id="55322646">
              <w:marLeft w:val="0"/>
              <w:marRight w:val="0"/>
              <w:marTop w:val="0"/>
              <w:marBottom w:val="0"/>
              <w:divBdr>
                <w:top w:val="none" w:sz="0" w:space="0" w:color="auto"/>
                <w:left w:val="none" w:sz="0" w:space="0" w:color="auto"/>
                <w:bottom w:val="none" w:sz="0" w:space="0" w:color="auto"/>
                <w:right w:val="none" w:sz="0" w:space="0" w:color="auto"/>
              </w:divBdr>
              <w:divsChild>
                <w:div w:id="752170465">
                  <w:marLeft w:val="0"/>
                  <w:marRight w:val="0"/>
                  <w:marTop w:val="0"/>
                  <w:marBottom w:val="0"/>
                  <w:divBdr>
                    <w:top w:val="none" w:sz="0" w:space="0" w:color="auto"/>
                    <w:left w:val="none" w:sz="0" w:space="0" w:color="auto"/>
                    <w:bottom w:val="none" w:sz="0" w:space="0" w:color="auto"/>
                    <w:right w:val="none" w:sz="0" w:space="0" w:color="auto"/>
                  </w:divBdr>
                </w:div>
                <w:div w:id="566769661">
                  <w:marLeft w:val="0"/>
                  <w:marRight w:val="0"/>
                  <w:marTop w:val="0"/>
                  <w:marBottom w:val="0"/>
                  <w:divBdr>
                    <w:top w:val="none" w:sz="0" w:space="0" w:color="auto"/>
                    <w:left w:val="none" w:sz="0" w:space="0" w:color="auto"/>
                    <w:bottom w:val="none" w:sz="0" w:space="0" w:color="auto"/>
                    <w:right w:val="none" w:sz="0" w:space="0" w:color="auto"/>
                  </w:divBdr>
                </w:div>
                <w:div w:id="1876697978">
                  <w:marLeft w:val="0"/>
                  <w:marRight w:val="0"/>
                  <w:marTop w:val="0"/>
                  <w:marBottom w:val="0"/>
                  <w:divBdr>
                    <w:top w:val="none" w:sz="0" w:space="0" w:color="auto"/>
                    <w:left w:val="none" w:sz="0" w:space="0" w:color="auto"/>
                    <w:bottom w:val="none" w:sz="0" w:space="0" w:color="auto"/>
                    <w:right w:val="none" w:sz="0" w:space="0" w:color="auto"/>
                  </w:divBdr>
                </w:div>
              </w:divsChild>
            </w:div>
            <w:div w:id="695347950">
              <w:marLeft w:val="0"/>
              <w:marRight w:val="0"/>
              <w:marTop w:val="0"/>
              <w:marBottom w:val="0"/>
              <w:divBdr>
                <w:top w:val="none" w:sz="0" w:space="0" w:color="auto"/>
                <w:left w:val="none" w:sz="0" w:space="0" w:color="auto"/>
                <w:bottom w:val="none" w:sz="0" w:space="0" w:color="auto"/>
                <w:right w:val="none" w:sz="0" w:space="0" w:color="auto"/>
              </w:divBdr>
              <w:divsChild>
                <w:div w:id="1694459326">
                  <w:marLeft w:val="0"/>
                  <w:marRight w:val="0"/>
                  <w:marTop w:val="0"/>
                  <w:marBottom w:val="0"/>
                  <w:divBdr>
                    <w:top w:val="none" w:sz="0" w:space="0" w:color="auto"/>
                    <w:left w:val="none" w:sz="0" w:space="0" w:color="auto"/>
                    <w:bottom w:val="none" w:sz="0" w:space="0" w:color="auto"/>
                    <w:right w:val="none" w:sz="0" w:space="0" w:color="auto"/>
                  </w:divBdr>
                </w:div>
                <w:div w:id="1371757215">
                  <w:marLeft w:val="0"/>
                  <w:marRight w:val="0"/>
                  <w:marTop w:val="0"/>
                  <w:marBottom w:val="0"/>
                  <w:divBdr>
                    <w:top w:val="none" w:sz="0" w:space="0" w:color="auto"/>
                    <w:left w:val="none" w:sz="0" w:space="0" w:color="auto"/>
                    <w:bottom w:val="none" w:sz="0" w:space="0" w:color="auto"/>
                    <w:right w:val="none" w:sz="0" w:space="0" w:color="auto"/>
                  </w:divBdr>
                </w:div>
                <w:div w:id="902791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8120707">
          <w:marLeft w:val="0"/>
          <w:marRight w:val="0"/>
          <w:marTop w:val="0"/>
          <w:marBottom w:val="0"/>
          <w:divBdr>
            <w:top w:val="none" w:sz="0" w:space="0" w:color="auto"/>
            <w:left w:val="none" w:sz="0" w:space="0" w:color="auto"/>
            <w:bottom w:val="none" w:sz="0" w:space="0" w:color="auto"/>
            <w:right w:val="none" w:sz="0" w:space="0" w:color="auto"/>
          </w:divBdr>
        </w:div>
        <w:div w:id="1304625946">
          <w:marLeft w:val="0"/>
          <w:marRight w:val="0"/>
          <w:marTop w:val="0"/>
          <w:marBottom w:val="0"/>
          <w:divBdr>
            <w:top w:val="none" w:sz="0" w:space="0" w:color="auto"/>
            <w:left w:val="none" w:sz="0" w:space="0" w:color="auto"/>
            <w:bottom w:val="none" w:sz="0" w:space="0" w:color="auto"/>
            <w:right w:val="none" w:sz="0" w:space="0" w:color="auto"/>
          </w:divBdr>
        </w:div>
        <w:div w:id="2040348944">
          <w:marLeft w:val="0"/>
          <w:marRight w:val="0"/>
          <w:marTop w:val="0"/>
          <w:marBottom w:val="0"/>
          <w:divBdr>
            <w:top w:val="none" w:sz="0" w:space="0" w:color="auto"/>
            <w:left w:val="none" w:sz="0" w:space="0" w:color="auto"/>
            <w:bottom w:val="none" w:sz="0" w:space="0" w:color="auto"/>
            <w:right w:val="none" w:sz="0" w:space="0" w:color="auto"/>
          </w:divBdr>
        </w:div>
        <w:div w:id="316617382">
          <w:marLeft w:val="0"/>
          <w:marRight w:val="0"/>
          <w:marTop w:val="0"/>
          <w:marBottom w:val="0"/>
          <w:divBdr>
            <w:top w:val="none" w:sz="0" w:space="0" w:color="auto"/>
            <w:left w:val="none" w:sz="0" w:space="0" w:color="auto"/>
            <w:bottom w:val="none" w:sz="0" w:space="0" w:color="auto"/>
            <w:right w:val="none" w:sz="0" w:space="0" w:color="auto"/>
          </w:divBdr>
        </w:div>
      </w:divsChild>
    </w:div>
    <w:div w:id="787432910">
      <w:bodyDiv w:val="1"/>
      <w:marLeft w:val="0"/>
      <w:marRight w:val="0"/>
      <w:marTop w:val="0"/>
      <w:marBottom w:val="0"/>
      <w:divBdr>
        <w:top w:val="none" w:sz="0" w:space="0" w:color="auto"/>
        <w:left w:val="none" w:sz="0" w:space="0" w:color="auto"/>
        <w:bottom w:val="none" w:sz="0" w:space="0" w:color="auto"/>
        <w:right w:val="none" w:sz="0" w:space="0" w:color="auto"/>
      </w:divBdr>
      <w:divsChild>
        <w:div w:id="72289058">
          <w:marLeft w:val="0"/>
          <w:marRight w:val="0"/>
          <w:marTop w:val="0"/>
          <w:marBottom w:val="0"/>
          <w:divBdr>
            <w:top w:val="none" w:sz="0" w:space="0" w:color="auto"/>
            <w:left w:val="none" w:sz="0" w:space="0" w:color="auto"/>
            <w:bottom w:val="none" w:sz="0" w:space="0" w:color="auto"/>
            <w:right w:val="none" w:sz="0" w:space="0" w:color="auto"/>
          </w:divBdr>
          <w:divsChild>
            <w:div w:id="976029259">
              <w:marLeft w:val="0"/>
              <w:marRight w:val="0"/>
              <w:marTop w:val="0"/>
              <w:marBottom w:val="0"/>
              <w:divBdr>
                <w:top w:val="none" w:sz="0" w:space="0" w:color="auto"/>
                <w:left w:val="none" w:sz="0" w:space="0" w:color="auto"/>
                <w:bottom w:val="none" w:sz="0" w:space="0" w:color="auto"/>
                <w:right w:val="none" w:sz="0" w:space="0" w:color="auto"/>
              </w:divBdr>
            </w:div>
          </w:divsChild>
        </w:div>
        <w:div w:id="1655988367">
          <w:marLeft w:val="0"/>
          <w:marRight w:val="0"/>
          <w:marTop w:val="0"/>
          <w:marBottom w:val="0"/>
          <w:divBdr>
            <w:top w:val="none" w:sz="0" w:space="0" w:color="auto"/>
            <w:left w:val="none" w:sz="0" w:space="0" w:color="auto"/>
            <w:bottom w:val="none" w:sz="0" w:space="0" w:color="auto"/>
            <w:right w:val="none" w:sz="0" w:space="0" w:color="auto"/>
          </w:divBdr>
          <w:divsChild>
            <w:div w:id="741099198">
              <w:marLeft w:val="0"/>
              <w:marRight w:val="0"/>
              <w:marTop w:val="0"/>
              <w:marBottom w:val="0"/>
              <w:divBdr>
                <w:top w:val="none" w:sz="0" w:space="0" w:color="auto"/>
                <w:left w:val="none" w:sz="0" w:space="0" w:color="auto"/>
                <w:bottom w:val="none" w:sz="0" w:space="0" w:color="auto"/>
                <w:right w:val="none" w:sz="0" w:space="0" w:color="auto"/>
              </w:divBdr>
            </w:div>
            <w:div w:id="1946573839">
              <w:marLeft w:val="0"/>
              <w:marRight w:val="0"/>
              <w:marTop w:val="0"/>
              <w:marBottom w:val="0"/>
              <w:divBdr>
                <w:top w:val="none" w:sz="0" w:space="0" w:color="auto"/>
                <w:left w:val="none" w:sz="0" w:space="0" w:color="auto"/>
                <w:bottom w:val="none" w:sz="0" w:space="0" w:color="auto"/>
                <w:right w:val="none" w:sz="0" w:space="0" w:color="auto"/>
              </w:divBdr>
            </w:div>
            <w:div w:id="1457093850">
              <w:marLeft w:val="0"/>
              <w:marRight w:val="0"/>
              <w:marTop w:val="0"/>
              <w:marBottom w:val="0"/>
              <w:divBdr>
                <w:top w:val="none" w:sz="0" w:space="0" w:color="auto"/>
                <w:left w:val="none" w:sz="0" w:space="0" w:color="auto"/>
                <w:bottom w:val="none" w:sz="0" w:space="0" w:color="auto"/>
                <w:right w:val="none" w:sz="0" w:space="0" w:color="auto"/>
              </w:divBdr>
            </w:div>
          </w:divsChild>
        </w:div>
        <w:div w:id="254629077">
          <w:marLeft w:val="0"/>
          <w:marRight w:val="0"/>
          <w:marTop w:val="0"/>
          <w:marBottom w:val="0"/>
          <w:divBdr>
            <w:top w:val="none" w:sz="0" w:space="0" w:color="auto"/>
            <w:left w:val="none" w:sz="0" w:space="0" w:color="auto"/>
            <w:bottom w:val="none" w:sz="0" w:space="0" w:color="auto"/>
            <w:right w:val="none" w:sz="0" w:space="0" w:color="auto"/>
          </w:divBdr>
          <w:divsChild>
            <w:div w:id="1755197810">
              <w:marLeft w:val="0"/>
              <w:marRight w:val="0"/>
              <w:marTop w:val="0"/>
              <w:marBottom w:val="0"/>
              <w:divBdr>
                <w:top w:val="none" w:sz="0" w:space="0" w:color="auto"/>
                <w:left w:val="none" w:sz="0" w:space="0" w:color="auto"/>
                <w:bottom w:val="none" w:sz="0" w:space="0" w:color="auto"/>
                <w:right w:val="none" w:sz="0" w:space="0" w:color="auto"/>
              </w:divBdr>
            </w:div>
            <w:div w:id="1880239331">
              <w:marLeft w:val="0"/>
              <w:marRight w:val="0"/>
              <w:marTop w:val="0"/>
              <w:marBottom w:val="0"/>
              <w:divBdr>
                <w:top w:val="none" w:sz="0" w:space="0" w:color="auto"/>
                <w:left w:val="none" w:sz="0" w:space="0" w:color="auto"/>
                <w:bottom w:val="none" w:sz="0" w:space="0" w:color="auto"/>
                <w:right w:val="none" w:sz="0" w:space="0" w:color="auto"/>
              </w:divBdr>
            </w:div>
            <w:div w:id="492450103">
              <w:marLeft w:val="0"/>
              <w:marRight w:val="0"/>
              <w:marTop w:val="0"/>
              <w:marBottom w:val="0"/>
              <w:divBdr>
                <w:top w:val="none" w:sz="0" w:space="0" w:color="auto"/>
                <w:left w:val="none" w:sz="0" w:space="0" w:color="auto"/>
                <w:bottom w:val="none" w:sz="0" w:space="0" w:color="auto"/>
                <w:right w:val="none" w:sz="0" w:space="0" w:color="auto"/>
              </w:divBdr>
            </w:div>
          </w:divsChild>
        </w:div>
        <w:div w:id="517349883">
          <w:marLeft w:val="0"/>
          <w:marRight w:val="0"/>
          <w:marTop w:val="0"/>
          <w:marBottom w:val="0"/>
          <w:divBdr>
            <w:top w:val="none" w:sz="0" w:space="0" w:color="auto"/>
            <w:left w:val="none" w:sz="0" w:space="0" w:color="auto"/>
            <w:bottom w:val="none" w:sz="0" w:space="0" w:color="auto"/>
            <w:right w:val="none" w:sz="0" w:space="0" w:color="auto"/>
          </w:divBdr>
        </w:div>
        <w:div w:id="622881919">
          <w:marLeft w:val="0"/>
          <w:marRight w:val="0"/>
          <w:marTop w:val="0"/>
          <w:marBottom w:val="0"/>
          <w:divBdr>
            <w:top w:val="none" w:sz="0" w:space="0" w:color="auto"/>
            <w:left w:val="none" w:sz="0" w:space="0" w:color="auto"/>
            <w:bottom w:val="none" w:sz="0" w:space="0" w:color="auto"/>
            <w:right w:val="none" w:sz="0" w:space="0" w:color="auto"/>
          </w:divBdr>
        </w:div>
        <w:div w:id="2035035522">
          <w:marLeft w:val="0"/>
          <w:marRight w:val="0"/>
          <w:marTop w:val="0"/>
          <w:marBottom w:val="0"/>
          <w:divBdr>
            <w:top w:val="none" w:sz="0" w:space="0" w:color="auto"/>
            <w:left w:val="none" w:sz="0" w:space="0" w:color="auto"/>
            <w:bottom w:val="none" w:sz="0" w:space="0" w:color="auto"/>
            <w:right w:val="none" w:sz="0" w:space="0" w:color="auto"/>
          </w:divBdr>
        </w:div>
        <w:div w:id="2000647808">
          <w:marLeft w:val="0"/>
          <w:marRight w:val="0"/>
          <w:marTop w:val="0"/>
          <w:marBottom w:val="0"/>
          <w:divBdr>
            <w:top w:val="none" w:sz="0" w:space="0" w:color="auto"/>
            <w:left w:val="none" w:sz="0" w:space="0" w:color="auto"/>
            <w:bottom w:val="none" w:sz="0" w:space="0" w:color="auto"/>
            <w:right w:val="none" w:sz="0" w:space="0" w:color="auto"/>
          </w:divBdr>
        </w:div>
      </w:divsChild>
    </w:div>
    <w:div w:id="837967163">
      <w:bodyDiv w:val="1"/>
      <w:marLeft w:val="0"/>
      <w:marRight w:val="0"/>
      <w:marTop w:val="0"/>
      <w:marBottom w:val="0"/>
      <w:divBdr>
        <w:top w:val="none" w:sz="0" w:space="0" w:color="auto"/>
        <w:left w:val="none" w:sz="0" w:space="0" w:color="auto"/>
        <w:bottom w:val="none" w:sz="0" w:space="0" w:color="auto"/>
        <w:right w:val="none" w:sz="0" w:space="0" w:color="auto"/>
      </w:divBdr>
      <w:divsChild>
        <w:div w:id="1419328843">
          <w:marLeft w:val="0"/>
          <w:marRight w:val="0"/>
          <w:marTop w:val="0"/>
          <w:marBottom w:val="0"/>
          <w:divBdr>
            <w:top w:val="none" w:sz="0" w:space="0" w:color="auto"/>
            <w:left w:val="none" w:sz="0" w:space="0" w:color="auto"/>
            <w:bottom w:val="none" w:sz="0" w:space="0" w:color="auto"/>
            <w:right w:val="none" w:sz="0" w:space="0" w:color="auto"/>
          </w:divBdr>
          <w:divsChild>
            <w:div w:id="690105668">
              <w:marLeft w:val="0"/>
              <w:marRight w:val="0"/>
              <w:marTop w:val="0"/>
              <w:marBottom w:val="0"/>
              <w:divBdr>
                <w:top w:val="none" w:sz="0" w:space="0" w:color="auto"/>
                <w:left w:val="none" w:sz="0" w:space="0" w:color="auto"/>
                <w:bottom w:val="none" w:sz="0" w:space="0" w:color="auto"/>
                <w:right w:val="none" w:sz="0" w:space="0" w:color="auto"/>
              </w:divBdr>
              <w:divsChild>
                <w:div w:id="2066175697">
                  <w:marLeft w:val="0"/>
                  <w:marRight w:val="0"/>
                  <w:marTop w:val="0"/>
                  <w:marBottom w:val="0"/>
                  <w:divBdr>
                    <w:top w:val="none" w:sz="0" w:space="0" w:color="auto"/>
                    <w:left w:val="none" w:sz="0" w:space="0" w:color="auto"/>
                    <w:bottom w:val="none" w:sz="0" w:space="0" w:color="auto"/>
                    <w:right w:val="none" w:sz="0" w:space="0" w:color="auto"/>
                  </w:divBdr>
                </w:div>
              </w:divsChild>
            </w:div>
            <w:div w:id="1499082210">
              <w:marLeft w:val="0"/>
              <w:marRight w:val="0"/>
              <w:marTop w:val="0"/>
              <w:marBottom w:val="0"/>
              <w:divBdr>
                <w:top w:val="none" w:sz="0" w:space="0" w:color="auto"/>
                <w:left w:val="none" w:sz="0" w:space="0" w:color="auto"/>
                <w:bottom w:val="none" w:sz="0" w:space="0" w:color="auto"/>
                <w:right w:val="none" w:sz="0" w:space="0" w:color="auto"/>
              </w:divBdr>
              <w:divsChild>
                <w:div w:id="516233344">
                  <w:marLeft w:val="0"/>
                  <w:marRight w:val="0"/>
                  <w:marTop w:val="0"/>
                  <w:marBottom w:val="0"/>
                  <w:divBdr>
                    <w:top w:val="none" w:sz="0" w:space="0" w:color="auto"/>
                    <w:left w:val="none" w:sz="0" w:space="0" w:color="auto"/>
                    <w:bottom w:val="none" w:sz="0" w:space="0" w:color="auto"/>
                    <w:right w:val="none" w:sz="0" w:space="0" w:color="auto"/>
                  </w:divBdr>
                </w:div>
                <w:div w:id="1712146094">
                  <w:marLeft w:val="0"/>
                  <w:marRight w:val="0"/>
                  <w:marTop w:val="0"/>
                  <w:marBottom w:val="0"/>
                  <w:divBdr>
                    <w:top w:val="none" w:sz="0" w:space="0" w:color="auto"/>
                    <w:left w:val="none" w:sz="0" w:space="0" w:color="auto"/>
                    <w:bottom w:val="none" w:sz="0" w:space="0" w:color="auto"/>
                    <w:right w:val="none" w:sz="0" w:space="0" w:color="auto"/>
                  </w:divBdr>
                </w:div>
                <w:div w:id="274364587">
                  <w:marLeft w:val="0"/>
                  <w:marRight w:val="0"/>
                  <w:marTop w:val="0"/>
                  <w:marBottom w:val="0"/>
                  <w:divBdr>
                    <w:top w:val="none" w:sz="0" w:space="0" w:color="auto"/>
                    <w:left w:val="none" w:sz="0" w:space="0" w:color="auto"/>
                    <w:bottom w:val="none" w:sz="0" w:space="0" w:color="auto"/>
                    <w:right w:val="none" w:sz="0" w:space="0" w:color="auto"/>
                  </w:divBdr>
                </w:div>
              </w:divsChild>
            </w:div>
            <w:div w:id="313682086">
              <w:marLeft w:val="0"/>
              <w:marRight w:val="0"/>
              <w:marTop w:val="0"/>
              <w:marBottom w:val="0"/>
              <w:divBdr>
                <w:top w:val="none" w:sz="0" w:space="0" w:color="auto"/>
                <w:left w:val="none" w:sz="0" w:space="0" w:color="auto"/>
                <w:bottom w:val="none" w:sz="0" w:space="0" w:color="auto"/>
                <w:right w:val="none" w:sz="0" w:space="0" w:color="auto"/>
              </w:divBdr>
              <w:divsChild>
                <w:div w:id="1158155824">
                  <w:marLeft w:val="0"/>
                  <w:marRight w:val="0"/>
                  <w:marTop w:val="0"/>
                  <w:marBottom w:val="0"/>
                  <w:divBdr>
                    <w:top w:val="none" w:sz="0" w:space="0" w:color="auto"/>
                    <w:left w:val="none" w:sz="0" w:space="0" w:color="auto"/>
                    <w:bottom w:val="none" w:sz="0" w:space="0" w:color="auto"/>
                    <w:right w:val="none" w:sz="0" w:space="0" w:color="auto"/>
                  </w:divBdr>
                </w:div>
                <w:div w:id="1479372993">
                  <w:marLeft w:val="0"/>
                  <w:marRight w:val="0"/>
                  <w:marTop w:val="0"/>
                  <w:marBottom w:val="0"/>
                  <w:divBdr>
                    <w:top w:val="none" w:sz="0" w:space="0" w:color="auto"/>
                    <w:left w:val="none" w:sz="0" w:space="0" w:color="auto"/>
                    <w:bottom w:val="none" w:sz="0" w:space="0" w:color="auto"/>
                    <w:right w:val="none" w:sz="0" w:space="0" w:color="auto"/>
                  </w:divBdr>
                </w:div>
                <w:div w:id="105724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93840">
          <w:marLeft w:val="0"/>
          <w:marRight w:val="0"/>
          <w:marTop w:val="0"/>
          <w:marBottom w:val="0"/>
          <w:divBdr>
            <w:top w:val="none" w:sz="0" w:space="0" w:color="auto"/>
            <w:left w:val="none" w:sz="0" w:space="0" w:color="auto"/>
            <w:bottom w:val="none" w:sz="0" w:space="0" w:color="auto"/>
            <w:right w:val="none" w:sz="0" w:space="0" w:color="auto"/>
          </w:divBdr>
        </w:div>
        <w:div w:id="2086798368">
          <w:marLeft w:val="0"/>
          <w:marRight w:val="0"/>
          <w:marTop w:val="0"/>
          <w:marBottom w:val="0"/>
          <w:divBdr>
            <w:top w:val="none" w:sz="0" w:space="0" w:color="auto"/>
            <w:left w:val="none" w:sz="0" w:space="0" w:color="auto"/>
            <w:bottom w:val="none" w:sz="0" w:space="0" w:color="auto"/>
            <w:right w:val="none" w:sz="0" w:space="0" w:color="auto"/>
          </w:divBdr>
        </w:div>
        <w:div w:id="1006977277">
          <w:marLeft w:val="0"/>
          <w:marRight w:val="0"/>
          <w:marTop w:val="0"/>
          <w:marBottom w:val="0"/>
          <w:divBdr>
            <w:top w:val="none" w:sz="0" w:space="0" w:color="auto"/>
            <w:left w:val="none" w:sz="0" w:space="0" w:color="auto"/>
            <w:bottom w:val="none" w:sz="0" w:space="0" w:color="auto"/>
            <w:right w:val="none" w:sz="0" w:space="0" w:color="auto"/>
          </w:divBdr>
        </w:div>
        <w:div w:id="866676024">
          <w:marLeft w:val="0"/>
          <w:marRight w:val="0"/>
          <w:marTop w:val="0"/>
          <w:marBottom w:val="0"/>
          <w:divBdr>
            <w:top w:val="none" w:sz="0" w:space="0" w:color="auto"/>
            <w:left w:val="none" w:sz="0" w:space="0" w:color="auto"/>
            <w:bottom w:val="none" w:sz="0" w:space="0" w:color="auto"/>
            <w:right w:val="none" w:sz="0" w:space="0" w:color="auto"/>
          </w:divBdr>
        </w:div>
      </w:divsChild>
    </w:div>
    <w:div w:id="845904549">
      <w:bodyDiv w:val="1"/>
      <w:marLeft w:val="0"/>
      <w:marRight w:val="0"/>
      <w:marTop w:val="0"/>
      <w:marBottom w:val="0"/>
      <w:divBdr>
        <w:top w:val="none" w:sz="0" w:space="0" w:color="auto"/>
        <w:left w:val="none" w:sz="0" w:space="0" w:color="auto"/>
        <w:bottom w:val="none" w:sz="0" w:space="0" w:color="auto"/>
        <w:right w:val="none" w:sz="0" w:space="0" w:color="auto"/>
      </w:divBdr>
      <w:divsChild>
        <w:div w:id="1625966798">
          <w:marLeft w:val="0"/>
          <w:marRight w:val="0"/>
          <w:marTop w:val="0"/>
          <w:marBottom w:val="0"/>
          <w:divBdr>
            <w:top w:val="none" w:sz="0" w:space="0" w:color="auto"/>
            <w:left w:val="none" w:sz="0" w:space="0" w:color="auto"/>
            <w:bottom w:val="none" w:sz="0" w:space="0" w:color="auto"/>
            <w:right w:val="none" w:sz="0" w:space="0" w:color="auto"/>
          </w:divBdr>
          <w:divsChild>
            <w:div w:id="1289825269">
              <w:marLeft w:val="0"/>
              <w:marRight w:val="0"/>
              <w:marTop w:val="0"/>
              <w:marBottom w:val="0"/>
              <w:divBdr>
                <w:top w:val="none" w:sz="0" w:space="0" w:color="auto"/>
                <w:left w:val="none" w:sz="0" w:space="0" w:color="auto"/>
                <w:bottom w:val="none" w:sz="0" w:space="0" w:color="auto"/>
                <w:right w:val="none" w:sz="0" w:space="0" w:color="auto"/>
              </w:divBdr>
              <w:divsChild>
                <w:div w:id="1722248018">
                  <w:marLeft w:val="0"/>
                  <w:marRight w:val="0"/>
                  <w:marTop w:val="0"/>
                  <w:marBottom w:val="0"/>
                  <w:divBdr>
                    <w:top w:val="none" w:sz="0" w:space="0" w:color="auto"/>
                    <w:left w:val="none" w:sz="0" w:space="0" w:color="auto"/>
                    <w:bottom w:val="none" w:sz="0" w:space="0" w:color="auto"/>
                    <w:right w:val="none" w:sz="0" w:space="0" w:color="auto"/>
                  </w:divBdr>
                </w:div>
              </w:divsChild>
            </w:div>
            <w:div w:id="1360356946">
              <w:marLeft w:val="0"/>
              <w:marRight w:val="0"/>
              <w:marTop w:val="0"/>
              <w:marBottom w:val="0"/>
              <w:divBdr>
                <w:top w:val="none" w:sz="0" w:space="0" w:color="auto"/>
                <w:left w:val="none" w:sz="0" w:space="0" w:color="auto"/>
                <w:bottom w:val="none" w:sz="0" w:space="0" w:color="auto"/>
                <w:right w:val="none" w:sz="0" w:space="0" w:color="auto"/>
              </w:divBdr>
              <w:divsChild>
                <w:div w:id="1676610761">
                  <w:marLeft w:val="0"/>
                  <w:marRight w:val="0"/>
                  <w:marTop w:val="0"/>
                  <w:marBottom w:val="0"/>
                  <w:divBdr>
                    <w:top w:val="none" w:sz="0" w:space="0" w:color="auto"/>
                    <w:left w:val="none" w:sz="0" w:space="0" w:color="auto"/>
                    <w:bottom w:val="none" w:sz="0" w:space="0" w:color="auto"/>
                    <w:right w:val="none" w:sz="0" w:space="0" w:color="auto"/>
                  </w:divBdr>
                </w:div>
                <w:div w:id="2016110583">
                  <w:marLeft w:val="0"/>
                  <w:marRight w:val="0"/>
                  <w:marTop w:val="0"/>
                  <w:marBottom w:val="0"/>
                  <w:divBdr>
                    <w:top w:val="none" w:sz="0" w:space="0" w:color="auto"/>
                    <w:left w:val="none" w:sz="0" w:space="0" w:color="auto"/>
                    <w:bottom w:val="none" w:sz="0" w:space="0" w:color="auto"/>
                    <w:right w:val="none" w:sz="0" w:space="0" w:color="auto"/>
                  </w:divBdr>
                </w:div>
                <w:div w:id="617445343">
                  <w:marLeft w:val="0"/>
                  <w:marRight w:val="0"/>
                  <w:marTop w:val="0"/>
                  <w:marBottom w:val="0"/>
                  <w:divBdr>
                    <w:top w:val="none" w:sz="0" w:space="0" w:color="auto"/>
                    <w:left w:val="none" w:sz="0" w:space="0" w:color="auto"/>
                    <w:bottom w:val="none" w:sz="0" w:space="0" w:color="auto"/>
                    <w:right w:val="none" w:sz="0" w:space="0" w:color="auto"/>
                  </w:divBdr>
                </w:div>
              </w:divsChild>
            </w:div>
            <w:div w:id="1095982002">
              <w:marLeft w:val="0"/>
              <w:marRight w:val="0"/>
              <w:marTop w:val="0"/>
              <w:marBottom w:val="0"/>
              <w:divBdr>
                <w:top w:val="none" w:sz="0" w:space="0" w:color="auto"/>
                <w:left w:val="none" w:sz="0" w:space="0" w:color="auto"/>
                <w:bottom w:val="none" w:sz="0" w:space="0" w:color="auto"/>
                <w:right w:val="none" w:sz="0" w:space="0" w:color="auto"/>
              </w:divBdr>
              <w:divsChild>
                <w:div w:id="267010185">
                  <w:marLeft w:val="0"/>
                  <w:marRight w:val="0"/>
                  <w:marTop w:val="0"/>
                  <w:marBottom w:val="0"/>
                  <w:divBdr>
                    <w:top w:val="none" w:sz="0" w:space="0" w:color="auto"/>
                    <w:left w:val="none" w:sz="0" w:space="0" w:color="auto"/>
                    <w:bottom w:val="none" w:sz="0" w:space="0" w:color="auto"/>
                    <w:right w:val="none" w:sz="0" w:space="0" w:color="auto"/>
                  </w:divBdr>
                </w:div>
                <w:div w:id="1431773211">
                  <w:marLeft w:val="0"/>
                  <w:marRight w:val="0"/>
                  <w:marTop w:val="0"/>
                  <w:marBottom w:val="0"/>
                  <w:divBdr>
                    <w:top w:val="none" w:sz="0" w:space="0" w:color="auto"/>
                    <w:left w:val="none" w:sz="0" w:space="0" w:color="auto"/>
                    <w:bottom w:val="none" w:sz="0" w:space="0" w:color="auto"/>
                    <w:right w:val="none" w:sz="0" w:space="0" w:color="auto"/>
                  </w:divBdr>
                </w:div>
                <w:div w:id="100070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782347">
      <w:bodyDiv w:val="1"/>
      <w:marLeft w:val="0"/>
      <w:marRight w:val="0"/>
      <w:marTop w:val="0"/>
      <w:marBottom w:val="0"/>
      <w:divBdr>
        <w:top w:val="none" w:sz="0" w:space="0" w:color="auto"/>
        <w:left w:val="none" w:sz="0" w:space="0" w:color="auto"/>
        <w:bottom w:val="none" w:sz="0" w:space="0" w:color="auto"/>
        <w:right w:val="none" w:sz="0" w:space="0" w:color="auto"/>
      </w:divBdr>
      <w:divsChild>
        <w:div w:id="266893097">
          <w:marLeft w:val="0"/>
          <w:marRight w:val="0"/>
          <w:marTop w:val="0"/>
          <w:marBottom w:val="0"/>
          <w:divBdr>
            <w:top w:val="none" w:sz="0" w:space="0" w:color="auto"/>
            <w:left w:val="none" w:sz="0" w:space="0" w:color="auto"/>
            <w:bottom w:val="none" w:sz="0" w:space="0" w:color="auto"/>
            <w:right w:val="none" w:sz="0" w:space="0" w:color="auto"/>
          </w:divBdr>
          <w:divsChild>
            <w:div w:id="196704683">
              <w:marLeft w:val="0"/>
              <w:marRight w:val="0"/>
              <w:marTop w:val="0"/>
              <w:marBottom w:val="0"/>
              <w:divBdr>
                <w:top w:val="none" w:sz="0" w:space="0" w:color="auto"/>
                <w:left w:val="none" w:sz="0" w:space="0" w:color="auto"/>
                <w:bottom w:val="none" w:sz="0" w:space="0" w:color="auto"/>
                <w:right w:val="none" w:sz="0" w:space="0" w:color="auto"/>
              </w:divBdr>
              <w:divsChild>
                <w:div w:id="1296447002">
                  <w:marLeft w:val="0"/>
                  <w:marRight w:val="0"/>
                  <w:marTop w:val="0"/>
                  <w:marBottom w:val="0"/>
                  <w:divBdr>
                    <w:top w:val="none" w:sz="0" w:space="0" w:color="auto"/>
                    <w:left w:val="none" w:sz="0" w:space="0" w:color="auto"/>
                    <w:bottom w:val="none" w:sz="0" w:space="0" w:color="auto"/>
                    <w:right w:val="none" w:sz="0" w:space="0" w:color="auto"/>
                  </w:divBdr>
                </w:div>
              </w:divsChild>
            </w:div>
            <w:div w:id="1406993254">
              <w:marLeft w:val="0"/>
              <w:marRight w:val="0"/>
              <w:marTop w:val="0"/>
              <w:marBottom w:val="0"/>
              <w:divBdr>
                <w:top w:val="none" w:sz="0" w:space="0" w:color="auto"/>
                <w:left w:val="none" w:sz="0" w:space="0" w:color="auto"/>
                <w:bottom w:val="none" w:sz="0" w:space="0" w:color="auto"/>
                <w:right w:val="none" w:sz="0" w:space="0" w:color="auto"/>
              </w:divBdr>
              <w:divsChild>
                <w:div w:id="1061246815">
                  <w:marLeft w:val="0"/>
                  <w:marRight w:val="0"/>
                  <w:marTop w:val="0"/>
                  <w:marBottom w:val="0"/>
                  <w:divBdr>
                    <w:top w:val="none" w:sz="0" w:space="0" w:color="auto"/>
                    <w:left w:val="none" w:sz="0" w:space="0" w:color="auto"/>
                    <w:bottom w:val="none" w:sz="0" w:space="0" w:color="auto"/>
                    <w:right w:val="none" w:sz="0" w:space="0" w:color="auto"/>
                  </w:divBdr>
                </w:div>
                <w:div w:id="47383274">
                  <w:marLeft w:val="0"/>
                  <w:marRight w:val="0"/>
                  <w:marTop w:val="0"/>
                  <w:marBottom w:val="0"/>
                  <w:divBdr>
                    <w:top w:val="none" w:sz="0" w:space="0" w:color="auto"/>
                    <w:left w:val="none" w:sz="0" w:space="0" w:color="auto"/>
                    <w:bottom w:val="none" w:sz="0" w:space="0" w:color="auto"/>
                    <w:right w:val="none" w:sz="0" w:space="0" w:color="auto"/>
                  </w:divBdr>
                </w:div>
                <w:div w:id="1219971263">
                  <w:marLeft w:val="0"/>
                  <w:marRight w:val="0"/>
                  <w:marTop w:val="0"/>
                  <w:marBottom w:val="0"/>
                  <w:divBdr>
                    <w:top w:val="none" w:sz="0" w:space="0" w:color="auto"/>
                    <w:left w:val="none" w:sz="0" w:space="0" w:color="auto"/>
                    <w:bottom w:val="none" w:sz="0" w:space="0" w:color="auto"/>
                    <w:right w:val="none" w:sz="0" w:space="0" w:color="auto"/>
                  </w:divBdr>
                </w:div>
              </w:divsChild>
            </w:div>
            <w:div w:id="1968392538">
              <w:marLeft w:val="0"/>
              <w:marRight w:val="0"/>
              <w:marTop w:val="0"/>
              <w:marBottom w:val="0"/>
              <w:divBdr>
                <w:top w:val="none" w:sz="0" w:space="0" w:color="auto"/>
                <w:left w:val="none" w:sz="0" w:space="0" w:color="auto"/>
                <w:bottom w:val="none" w:sz="0" w:space="0" w:color="auto"/>
                <w:right w:val="none" w:sz="0" w:space="0" w:color="auto"/>
              </w:divBdr>
              <w:divsChild>
                <w:div w:id="1887640045">
                  <w:marLeft w:val="0"/>
                  <w:marRight w:val="0"/>
                  <w:marTop w:val="0"/>
                  <w:marBottom w:val="0"/>
                  <w:divBdr>
                    <w:top w:val="none" w:sz="0" w:space="0" w:color="auto"/>
                    <w:left w:val="none" w:sz="0" w:space="0" w:color="auto"/>
                    <w:bottom w:val="none" w:sz="0" w:space="0" w:color="auto"/>
                    <w:right w:val="none" w:sz="0" w:space="0" w:color="auto"/>
                  </w:divBdr>
                </w:div>
                <w:div w:id="376010307">
                  <w:marLeft w:val="0"/>
                  <w:marRight w:val="0"/>
                  <w:marTop w:val="0"/>
                  <w:marBottom w:val="0"/>
                  <w:divBdr>
                    <w:top w:val="none" w:sz="0" w:space="0" w:color="auto"/>
                    <w:left w:val="none" w:sz="0" w:space="0" w:color="auto"/>
                    <w:bottom w:val="none" w:sz="0" w:space="0" w:color="auto"/>
                    <w:right w:val="none" w:sz="0" w:space="0" w:color="auto"/>
                  </w:divBdr>
                </w:div>
                <w:div w:id="460659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65855">
          <w:marLeft w:val="0"/>
          <w:marRight w:val="0"/>
          <w:marTop w:val="0"/>
          <w:marBottom w:val="0"/>
          <w:divBdr>
            <w:top w:val="none" w:sz="0" w:space="0" w:color="auto"/>
            <w:left w:val="none" w:sz="0" w:space="0" w:color="auto"/>
            <w:bottom w:val="none" w:sz="0" w:space="0" w:color="auto"/>
            <w:right w:val="none" w:sz="0" w:space="0" w:color="auto"/>
          </w:divBdr>
        </w:div>
        <w:div w:id="278688055">
          <w:marLeft w:val="0"/>
          <w:marRight w:val="0"/>
          <w:marTop w:val="0"/>
          <w:marBottom w:val="0"/>
          <w:divBdr>
            <w:top w:val="none" w:sz="0" w:space="0" w:color="auto"/>
            <w:left w:val="none" w:sz="0" w:space="0" w:color="auto"/>
            <w:bottom w:val="none" w:sz="0" w:space="0" w:color="auto"/>
            <w:right w:val="none" w:sz="0" w:space="0" w:color="auto"/>
          </w:divBdr>
        </w:div>
        <w:div w:id="1986086489">
          <w:marLeft w:val="0"/>
          <w:marRight w:val="0"/>
          <w:marTop w:val="0"/>
          <w:marBottom w:val="0"/>
          <w:divBdr>
            <w:top w:val="none" w:sz="0" w:space="0" w:color="auto"/>
            <w:left w:val="none" w:sz="0" w:space="0" w:color="auto"/>
            <w:bottom w:val="none" w:sz="0" w:space="0" w:color="auto"/>
            <w:right w:val="none" w:sz="0" w:space="0" w:color="auto"/>
          </w:divBdr>
        </w:div>
        <w:div w:id="1526868070">
          <w:marLeft w:val="0"/>
          <w:marRight w:val="0"/>
          <w:marTop w:val="0"/>
          <w:marBottom w:val="0"/>
          <w:divBdr>
            <w:top w:val="none" w:sz="0" w:space="0" w:color="auto"/>
            <w:left w:val="none" w:sz="0" w:space="0" w:color="auto"/>
            <w:bottom w:val="none" w:sz="0" w:space="0" w:color="auto"/>
            <w:right w:val="none" w:sz="0" w:space="0" w:color="auto"/>
          </w:divBdr>
        </w:div>
      </w:divsChild>
    </w:div>
    <w:div w:id="1515001559">
      <w:bodyDiv w:val="1"/>
      <w:marLeft w:val="0"/>
      <w:marRight w:val="0"/>
      <w:marTop w:val="0"/>
      <w:marBottom w:val="0"/>
      <w:divBdr>
        <w:top w:val="none" w:sz="0" w:space="0" w:color="auto"/>
        <w:left w:val="none" w:sz="0" w:space="0" w:color="auto"/>
        <w:bottom w:val="none" w:sz="0" w:space="0" w:color="auto"/>
        <w:right w:val="none" w:sz="0" w:space="0" w:color="auto"/>
      </w:divBdr>
      <w:divsChild>
        <w:div w:id="1120607896">
          <w:marLeft w:val="0"/>
          <w:marRight w:val="0"/>
          <w:marTop w:val="0"/>
          <w:marBottom w:val="0"/>
          <w:divBdr>
            <w:top w:val="none" w:sz="0" w:space="0" w:color="auto"/>
            <w:left w:val="none" w:sz="0" w:space="0" w:color="auto"/>
            <w:bottom w:val="none" w:sz="0" w:space="0" w:color="auto"/>
            <w:right w:val="none" w:sz="0" w:space="0" w:color="auto"/>
          </w:divBdr>
          <w:divsChild>
            <w:div w:id="67267156">
              <w:marLeft w:val="0"/>
              <w:marRight w:val="0"/>
              <w:marTop w:val="0"/>
              <w:marBottom w:val="0"/>
              <w:divBdr>
                <w:top w:val="none" w:sz="0" w:space="0" w:color="auto"/>
                <w:left w:val="none" w:sz="0" w:space="0" w:color="auto"/>
                <w:bottom w:val="none" w:sz="0" w:space="0" w:color="auto"/>
                <w:right w:val="none" w:sz="0" w:space="0" w:color="auto"/>
              </w:divBdr>
              <w:divsChild>
                <w:div w:id="607930149">
                  <w:marLeft w:val="0"/>
                  <w:marRight w:val="0"/>
                  <w:marTop w:val="0"/>
                  <w:marBottom w:val="0"/>
                  <w:divBdr>
                    <w:top w:val="none" w:sz="0" w:space="0" w:color="auto"/>
                    <w:left w:val="none" w:sz="0" w:space="0" w:color="auto"/>
                    <w:bottom w:val="none" w:sz="0" w:space="0" w:color="auto"/>
                    <w:right w:val="none" w:sz="0" w:space="0" w:color="auto"/>
                  </w:divBdr>
                </w:div>
              </w:divsChild>
            </w:div>
            <w:div w:id="1755856160">
              <w:marLeft w:val="0"/>
              <w:marRight w:val="0"/>
              <w:marTop w:val="0"/>
              <w:marBottom w:val="0"/>
              <w:divBdr>
                <w:top w:val="none" w:sz="0" w:space="0" w:color="auto"/>
                <w:left w:val="none" w:sz="0" w:space="0" w:color="auto"/>
                <w:bottom w:val="none" w:sz="0" w:space="0" w:color="auto"/>
                <w:right w:val="none" w:sz="0" w:space="0" w:color="auto"/>
              </w:divBdr>
              <w:divsChild>
                <w:div w:id="1100225412">
                  <w:marLeft w:val="0"/>
                  <w:marRight w:val="0"/>
                  <w:marTop w:val="0"/>
                  <w:marBottom w:val="0"/>
                  <w:divBdr>
                    <w:top w:val="none" w:sz="0" w:space="0" w:color="auto"/>
                    <w:left w:val="none" w:sz="0" w:space="0" w:color="auto"/>
                    <w:bottom w:val="none" w:sz="0" w:space="0" w:color="auto"/>
                    <w:right w:val="none" w:sz="0" w:space="0" w:color="auto"/>
                  </w:divBdr>
                </w:div>
                <w:div w:id="469981834">
                  <w:marLeft w:val="0"/>
                  <w:marRight w:val="0"/>
                  <w:marTop w:val="0"/>
                  <w:marBottom w:val="0"/>
                  <w:divBdr>
                    <w:top w:val="none" w:sz="0" w:space="0" w:color="auto"/>
                    <w:left w:val="none" w:sz="0" w:space="0" w:color="auto"/>
                    <w:bottom w:val="none" w:sz="0" w:space="0" w:color="auto"/>
                    <w:right w:val="none" w:sz="0" w:space="0" w:color="auto"/>
                  </w:divBdr>
                </w:div>
                <w:div w:id="327096358">
                  <w:marLeft w:val="0"/>
                  <w:marRight w:val="0"/>
                  <w:marTop w:val="0"/>
                  <w:marBottom w:val="0"/>
                  <w:divBdr>
                    <w:top w:val="none" w:sz="0" w:space="0" w:color="auto"/>
                    <w:left w:val="none" w:sz="0" w:space="0" w:color="auto"/>
                    <w:bottom w:val="none" w:sz="0" w:space="0" w:color="auto"/>
                    <w:right w:val="none" w:sz="0" w:space="0" w:color="auto"/>
                  </w:divBdr>
                </w:div>
              </w:divsChild>
            </w:div>
            <w:div w:id="615983258">
              <w:marLeft w:val="0"/>
              <w:marRight w:val="0"/>
              <w:marTop w:val="0"/>
              <w:marBottom w:val="0"/>
              <w:divBdr>
                <w:top w:val="none" w:sz="0" w:space="0" w:color="auto"/>
                <w:left w:val="none" w:sz="0" w:space="0" w:color="auto"/>
                <w:bottom w:val="none" w:sz="0" w:space="0" w:color="auto"/>
                <w:right w:val="none" w:sz="0" w:space="0" w:color="auto"/>
              </w:divBdr>
              <w:divsChild>
                <w:div w:id="373386816">
                  <w:marLeft w:val="0"/>
                  <w:marRight w:val="0"/>
                  <w:marTop w:val="0"/>
                  <w:marBottom w:val="0"/>
                  <w:divBdr>
                    <w:top w:val="none" w:sz="0" w:space="0" w:color="auto"/>
                    <w:left w:val="none" w:sz="0" w:space="0" w:color="auto"/>
                    <w:bottom w:val="none" w:sz="0" w:space="0" w:color="auto"/>
                    <w:right w:val="none" w:sz="0" w:space="0" w:color="auto"/>
                  </w:divBdr>
                </w:div>
                <w:div w:id="901717967">
                  <w:marLeft w:val="0"/>
                  <w:marRight w:val="0"/>
                  <w:marTop w:val="0"/>
                  <w:marBottom w:val="0"/>
                  <w:divBdr>
                    <w:top w:val="none" w:sz="0" w:space="0" w:color="auto"/>
                    <w:left w:val="none" w:sz="0" w:space="0" w:color="auto"/>
                    <w:bottom w:val="none" w:sz="0" w:space="0" w:color="auto"/>
                    <w:right w:val="none" w:sz="0" w:space="0" w:color="auto"/>
                  </w:divBdr>
                </w:div>
                <w:div w:id="181063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2171000">
          <w:marLeft w:val="0"/>
          <w:marRight w:val="0"/>
          <w:marTop w:val="0"/>
          <w:marBottom w:val="0"/>
          <w:divBdr>
            <w:top w:val="none" w:sz="0" w:space="0" w:color="auto"/>
            <w:left w:val="none" w:sz="0" w:space="0" w:color="auto"/>
            <w:bottom w:val="none" w:sz="0" w:space="0" w:color="auto"/>
            <w:right w:val="none" w:sz="0" w:space="0" w:color="auto"/>
          </w:divBdr>
        </w:div>
        <w:div w:id="922371816">
          <w:marLeft w:val="0"/>
          <w:marRight w:val="0"/>
          <w:marTop w:val="0"/>
          <w:marBottom w:val="0"/>
          <w:divBdr>
            <w:top w:val="none" w:sz="0" w:space="0" w:color="auto"/>
            <w:left w:val="none" w:sz="0" w:space="0" w:color="auto"/>
            <w:bottom w:val="none" w:sz="0" w:space="0" w:color="auto"/>
            <w:right w:val="none" w:sz="0" w:space="0" w:color="auto"/>
          </w:divBdr>
        </w:div>
        <w:div w:id="1378433030">
          <w:marLeft w:val="0"/>
          <w:marRight w:val="0"/>
          <w:marTop w:val="0"/>
          <w:marBottom w:val="0"/>
          <w:divBdr>
            <w:top w:val="none" w:sz="0" w:space="0" w:color="auto"/>
            <w:left w:val="none" w:sz="0" w:space="0" w:color="auto"/>
            <w:bottom w:val="none" w:sz="0" w:space="0" w:color="auto"/>
            <w:right w:val="none" w:sz="0" w:space="0" w:color="auto"/>
          </w:divBdr>
        </w:div>
        <w:div w:id="1390567970">
          <w:marLeft w:val="0"/>
          <w:marRight w:val="0"/>
          <w:marTop w:val="0"/>
          <w:marBottom w:val="0"/>
          <w:divBdr>
            <w:top w:val="none" w:sz="0" w:space="0" w:color="auto"/>
            <w:left w:val="none" w:sz="0" w:space="0" w:color="auto"/>
            <w:bottom w:val="none" w:sz="0" w:space="0" w:color="auto"/>
            <w:right w:val="none" w:sz="0" w:space="0" w:color="auto"/>
          </w:divBdr>
        </w:div>
      </w:divsChild>
    </w:div>
    <w:div w:id="1569342592">
      <w:bodyDiv w:val="1"/>
      <w:marLeft w:val="0"/>
      <w:marRight w:val="0"/>
      <w:marTop w:val="0"/>
      <w:marBottom w:val="0"/>
      <w:divBdr>
        <w:top w:val="none" w:sz="0" w:space="0" w:color="auto"/>
        <w:left w:val="none" w:sz="0" w:space="0" w:color="auto"/>
        <w:bottom w:val="none" w:sz="0" w:space="0" w:color="auto"/>
        <w:right w:val="none" w:sz="0" w:space="0" w:color="auto"/>
      </w:divBdr>
      <w:divsChild>
        <w:div w:id="1141653047">
          <w:marLeft w:val="0"/>
          <w:marRight w:val="0"/>
          <w:marTop w:val="0"/>
          <w:marBottom w:val="0"/>
          <w:divBdr>
            <w:top w:val="none" w:sz="0" w:space="0" w:color="auto"/>
            <w:left w:val="none" w:sz="0" w:space="0" w:color="auto"/>
            <w:bottom w:val="none" w:sz="0" w:space="0" w:color="auto"/>
            <w:right w:val="none" w:sz="0" w:space="0" w:color="auto"/>
          </w:divBdr>
          <w:divsChild>
            <w:div w:id="2050300964">
              <w:marLeft w:val="0"/>
              <w:marRight w:val="0"/>
              <w:marTop w:val="0"/>
              <w:marBottom w:val="0"/>
              <w:divBdr>
                <w:top w:val="none" w:sz="0" w:space="0" w:color="auto"/>
                <w:left w:val="none" w:sz="0" w:space="0" w:color="auto"/>
                <w:bottom w:val="none" w:sz="0" w:space="0" w:color="auto"/>
                <w:right w:val="none" w:sz="0" w:space="0" w:color="auto"/>
              </w:divBdr>
              <w:divsChild>
                <w:div w:id="1561550624">
                  <w:marLeft w:val="0"/>
                  <w:marRight w:val="0"/>
                  <w:marTop w:val="0"/>
                  <w:marBottom w:val="0"/>
                  <w:divBdr>
                    <w:top w:val="none" w:sz="0" w:space="0" w:color="auto"/>
                    <w:left w:val="none" w:sz="0" w:space="0" w:color="auto"/>
                    <w:bottom w:val="none" w:sz="0" w:space="0" w:color="auto"/>
                    <w:right w:val="none" w:sz="0" w:space="0" w:color="auto"/>
                  </w:divBdr>
                </w:div>
              </w:divsChild>
            </w:div>
            <w:div w:id="129128507">
              <w:marLeft w:val="0"/>
              <w:marRight w:val="0"/>
              <w:marTop w:val="0"/>
              <w:marBottom w:val="0"/>
              <w:divBdr>
                <w:top w:val="none" w:sz="0" w:space="0" w:color="auto"/>
                <w:left w:val="none" w:sz="0" w:space="0" w:color="auto"/>
                <w:bottom w:val="none" w:sz="0" w:space="0" w:color="auto"/>
                <w:right w:val="none" w:sz="0" w:space="0" w:color="auto"/>
              </w:divBdr>
              <w:divsChild>
                <w:div w:id="607546272">
                  <w:marLeft w:val="0"/>
                  <w:marRight w:val="0"/>
                  <w:marTop w:val="0"/>
                  <w:marBottom w:val="0"/>
                  <w:divBdr>
                    <w:top w:val="none" w:sz="0" w:space="0" w:color="auto"/>
                    <w:left w:val="none" w:sz="0" w:space="0" w:color="auto"/>
                    <w:bottom w:val="none" w:sz="0" w:space="0" w:color="auto"/>
                    <w:right w:val="none" w:sz="0" w:space="0" w:color="auto"/>
                  </w:divBdr>
                </w:div>
                <w:div w:id="150799942">
                  <w:marLeft w:val="0"/>
                  <w:marRight w:val="0"/>
                  <w:marTop w:val="0"/>
                  <w:marBottom w:val="0"/>
                  <w:divBdr>
                    <w:top w:val="none" w:sz="0" w:space="0" w:color="auto"/>
                    <w:left w:val="none" w:sz="0" w:space="0" w:color="auto"/>
                    <w:bottom w:val="none" w:sz="0" w:space="0" w:color="auto"/>
                    <w:right w:val="none" w:sz="0" w:space="0" w:color="auto"/>
                  </w:divBdr>
                </w:div>
                <w:div w:id="616988324">
                  <w:marLeft w:val="0"/>
                  <w:marRight w:val="0"/>
                  <w:marTop w:val="0"/>
                  <w:marBottom w:val="0"/>
                  <w:divBdr>
                    <w:top w:val="none" w:sz="0" w:space="0" w:color="auto"/>
                    <w:left w:val="none" w:sz="0" w:space="0" w:color="auto"/>
                    <w:bottom w:val="none" w:sz="0" w:space="0" w:color="auto"/>
                    <w:right w:val="none" w:sz="0" w:space="0" w:color="auto"/>
                  </w:divBdr>
                </w:div>
              </w:divsChild>
            </w:div>
            <w:div w:id="19627162">
              <w:marLeft w:val="0"/>
              <w:marRight w:val="0"/>
              <w:marTop w:val="0"/>
              <w:marBottom w:val="0"/>
              <w:divBdr>
                <w:top w:val="none" w:sz="0" w:space="0" w:color="auto"/>
                <w:left w:val="none" w:sz="0" w:space="0" w:color="auto"/>
                <w:bottom w:val="none" w:sz="0" w:space="0" w:color="auto"/>
                <w:right w:val="none" w:sz="0" w:space="0" w:color="auto"/>
              </w:divBdr>
              <w:divsChild>
                <w:div w:id="2048482864">
                  <w:marLeft w:val="0"/>
                  <w:marRight w:val="0"/>
                  <w:marTop w:val="0"/>
                  <w:marBottom w:val="0"/>
                  <w:divBdr>
                    <w:top w:val="none" w:sz="0" w:space="0" w:color="auto"/>
                    <w:left w:val="none" w:sz="0" w:space="0" w:color="auto"/>
                    <w:bottom w:val="none" w:sz="0" w:space="0" w:color="auto"/>
                    <w:right w:val="none" w:sz="0" w:space="0" w:color="auto"/>
                  </w:divBdr>
                </w:div>
                <w:div w:id="212546852">
                  <w:marLeft w:val="0"/>
                  <w:marRight w:val="0"/>
                  <w:marTop w:val="0"/>
                  <w:marBottom w:val="0"/>
                  <w:divBdr>
                    <w:top w:val="none" w:sz="0" w:space="0" w:color="auto"/>
                    <w:left w:val="none" w:sz="0" w:space="0" w:color="auto"/>
                    <w:bottom w:val="none" w:sz="0" w:space="0" w:color="auto"/>
                    <w:right w:val="none" w:sz="0" w:space="0" w:color="auto"/>
                  </w:divBdr>
                </w:div>
                <w:div w:id="1346134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925948">
      <w:bodyDiv w:val="1"/>
      <w:marLeft w:val="0"/>
      <w:marRight w:val="0"/>
      <w:marTop w:val="0"/>
      <w:marBottom w:val="0"/>
      <w:divBdr>
        <w:top w:val="none" w:sz="0" w:space="0" w:color="auto"/>
        <w:left w:val="none" w:sz="0" w:space="0" w:color="auto"/>
        <w:bottom w:val="none" w:sz="0" w:space="0" w:color="auto"/>
        <w:right w:val="none" w:sz="0" w:space="0" w:color="auto"/>
      </w:divBdr>
      <w:divsChild>
        <w:div w:id="312834129">
          <w:marLeft w:val="0"/>
          <w:marRight w:val="0"/>
          <w:marTop w:val="0"/>
          <w:marBottom w:val="0"/>
          <w:divBdr>
            <w:top w:val="none" w:sz="0" w:space="0" w:color="auto"/>
            <w:left w:val="none" w:sz="0" w:space="0" w:color="auto"/>
            <w:bottom w:val="none" w:sz="0" w:space="0" w:color="auto"/>
            <w:right w:val="none" w:sz="0" w:space="0" w:color="auto"/>
          </w:divBdr>
          <w:divsChild>
            <w:div w:id="1347905789">
              <w:marLeft w:val="0"/>
              <w:marRight w:val="0"/>
              <w:marTop w:val="0"/>
              <w:marBottom w:val="0"/>
              <w:divBdr>
                <w:top w:val="none" w:sz="0" w:space="0" w:color="auto"/>
                <w:left w:val="none" w:sz="0" w:space="0" w:color="auto"/>
                <w:bottom w:val="none" w:sz="0" w:space="0" w:color="auto"/>
                <w:right w:val="none" w:sz="0" w:space="0" w:color="auto"/>
              </w:divBdr>
              <w:divsChild>
                <w:div w:id="1436825986">
                  <w:marLeft w:val="0"/>
                  <w:marRight w:val="0"/>
                  <w:marTop w:val="0"/>
                  <w:marBottom w:val="0"/>
                  <w:divBdr>
                    <w:top w:val="none" w:sz="0" w:space="0" w:color="auto"/>
                    <w:left w:val="none" w:sz="0" w:space="0" w:color="auto"/>
                    <w:bottom w:val="none" w:sz="0" w:space="0" w:color="auto"/>
                    <w:right w:val="none" w:sz="0" w:space="0" w:color="auto"/>
                  </w:divBdr>
                </w:div>
              </w:divsChild>
            </w:div>
            <w:div w:id="1577858068">
              <w:marLeft w:val="0"/>
              <w:marRight w:val="0"/>
              <w:marTop w:val="0"/>
              <w:marBottom w:val="0"/>
              <w:divBdr>
                <w:top w:val="none" w:sz="0" w:space="0" w:color="auto"/>
                <w:left w:val="none" w:sz="0" w:space="0" w:color="auto"/>
                <w:bottom w:val="none" w:sz="0" w:space="0" w:color="auto"/>
                <w:right w:val="none" w:sz="0" w:space="0" w:color="auto"/>
              </w:divBdr>
              <w:divsChild>
                <w:div w:id="1206523383">
                  <w:marLeft w:val="0"/>
                  <w:marRight w:val="0"/>
                  <w:marTop w:val="0"/>
                  <w:marBottom w:val="0"/>
                  <w:divBdr>
                    <w:top w:val="none" w:sz="0" w:space="0" w:color="auto"/>
                    <w:left w:val="none" w:sz="0" w:space="0" w:color="auto"/>
                    <w:bottom w:val="none" w:sz="0" w:space="0" w:color="auto"/>
                    <w:right w:val="none" w:sz="0" w:space="0" w:color="auto"/>
                  </w:divBdr>
                </w:div>
                <w:div w:id="721513920">
                  <w:marLeft w:val="0"/>
                  <w:marRight w:val="0"/>
                  <w:marTop w:val="0"/>
                  <w:marBottom w:val="0"/>
                  <w:divBdr>
                    <w:top w:val="none" w:sz="0" w:space="0" w:color="auto"/>
                    <w:left w:val="none" w:sz="0" w:space="0" w:color="auto"/>
                    <w:bottom w:val="none" w:sz="0" w:space="0" w:color="auto"/>
                    <w:right w:val="none" w:sz="0" w:space="0" w:color="auto"/>
                  </w:divBdr>
                </w:div>
                <w:div w:id="270477981">
                  <w:marLeft w:val="0"/>
                  <w:marRight w:val="0"/>
                  <w:marTop w:val="0"/>
                  <w:marBottom w:val="0"/>
                  <w:divBdr>
                    <w:top w:val="none" w:sz="0" w:space="0" w:color="auto"/>
                    <w:left w:val="none" w:sz="0" w:space="0" w:color="auto"/>
                    <w:bottom w:val="none" w:sz="0" w:space="0" w:color="auto"/>
                    <w:right w:val="none" w:sz="0" w:space="0" w:color="auto"/>
                  </w:divBdr>
                </w:div>
              </w:divsChild>
            </w:div>
            <w:div w:id="1511676401">
              <w:marLeft w:val="0"/>
              <w:marRight w:val="0"/>
              <w:marTop w:val="0"/>
              <w:marBottom w:val="0"/>
              <w:divBdr>
                <w:top w:val="none" w:sz="0" w:space="0" w:color="auto"/>
                <w:left w:val="none" w:sz="0" w:space="0" w:color="auto"/>
                <w:bottom w:val="none" w:sz="0" w:space="0" w:color="auto"/>
                <w:right w:val="none" w:sz="0" w:space="0" w:color="auto"/>
              </w:divBdr>
              <w:divsChild>
                <w:div w:id="59836790">
                  <w:marLeft w:val="0"/>
                  <w:marRight w:val="0"/>
                  <w:marTop w:val="0"/>
                  <w:marBottom w:val="0"/>
                  <w:divBdr>
                    <w:top w:val="none" w:sz="0" w:space="0" w:color="auto"/>
                    <w:left w:val="none" w:sz="0" w:space="0" w:color="auto"/>
                    <w:bottom w:val="none" w:sz="0" w:space="0" w:color="auto"/>
                    <w:right w:val="none" w:sz="0" w:space="0" w:color="auto"/>
                  </w:divBdr>
                </w:div>
                <w:div w:id="1887641309">
                  <w:marLeft w:val="0"/>
                  <w:marRight w:val="0"/>
                  <w:marTop w:val="0"/>
                  <w:marBottom w:val="0"/>
                  <w:divBdr>
                    <w:top w:val="none" w:sz="0" w:space="0" w:color="auto"/>
                    <w:left w:val="none" w:sz="0" w:space="0" w:color="auto"/>
                    <w:bottom w:val="none" w:sz="0" w:space="0" w:color="auto"/>
                    <w:right w:val="none" w:sz="0" w:space="0" w:color="auto"/>
                  </w:divBdr>
                </w:div>
                <w:div w:id="44578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14</Pages>
  <Words>12704</Words>
  <Characters>69873</Characters>
  <Application>Microsoft Office Word</Application>
  <DocSecurity>0</DocSecurity>
  <Lines>582</Lines>
  <Paragraphs>164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82413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calvaradoa</dc:creator>
  <cp:lastModifiedBy>ELIZABETH LOPEZ GARCIA</cp:lastModifiedBy>
  <cp:revision>4</cp:revision>
  <cp:lastPrinted>2019-07-10T14:25:00Z</cp:lastPrinted>
  <dcterms:created xsi:type="dcterms:W3CDTF">2021-04-22T00:00:00Z</dcterms:created>
  <dcterms:modified xsi:type="dcterms:W3CDTF">2021-07-05T06:17:00Z</dcterms:modified>
</cp:coreProperties>
</file>