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A1FCE" w14:textId="77777777" w:rsidR="000A4C1D" w:rsidRPr="000977D6" w:rsidRDefault="00D1051F" w:rsidP="002C2E43">
      <w:pPr>
        <w:pStyle w:val="Normal0"/>
        <w:ind w:right="-64"/>
        <w:jc w:val="center"/>
        <w:rPr>
          <w:b/>
          <w:sz w:val="19"/>
          <w:szCs w:val="19"/>
        </w:rPr>
      </w:pPr>
      <w:r w:rsidRPr="000977D6">
        <w:rPr>
          <w:b/>
          <w:sz w:val="19"/>
          <w:szCs w:val="19"/>
        </w:rPr>
        <w:t>SECUESTRO</w:t>
      </w:r>
    </w:p>
    <w:p w14:paraId="08464A45" w14:textId="77777777" w:rsidR="0052652E" w:rsidRPr="0052652E" w:rsidRDefault="0052652E" w:rsidP="0052652E">
      <w:pPr>
        <w:spacing w:after="0" w:line="240" w:lineRule="auto"/>
        <w:ind w:right="-64"/>
        <w:jc w:val="both"/>
        <w:rPr>
          <w:rFonts w:ascii="Arial" w:hAnsi="Arial" w:cs="Arial"/>
          <w:bCs/>
          <w:sz w:val="19"/>
          <w:szCs w:val="19"/>
        </w:rPr>
      </w:pPr>
    </w:p>
    <w:p w14:paraId="0B9BF9A8" w14:textId="77777777"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Registro digital: 2022908</w:t>
      </w:r>
    </w:p>
    <w:p w14:paraId="79C56B88" w14:textId="77777777"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Instancia: Primera Sala</w:t>
      </w:r>
    </w:p>
    <w:p w14:paraId="25BB47E1" w14:textId="77777777"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Décima Época</w:t>
      </w:r>
    </w:p>
    <w:p w14:paraId="1CC145CD" w14:textId="77777777"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Materias(s): Penal, Constitucional</w:t>
      </w:r>
    </w:p>
    <w:p w14:paraId="3D9F92C1" w14:textId="77777777"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Tesis: 1a. XII/2021 (10a.)</w:t>
      </w:r>
    </w:p>
    <w:p w14:paraId="2DCDC251" w14:textId="77777777"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 xml:space="preserve">Fuente: Gaceta del Semanario Judicial de la Federación. Libro 84, </w:t>
      </w:r>
      <w:proofErr w:type="gramStart"/>
      <w:r w:rsidRPr="0052652E">
        <w:rPr>
          <w:rFonts w:ascii="Arial" w:hAnsi="Arial" w:cs="Arial"/>
          <w:bCs/>
          <w:sz w:val="19"/>
          <w:szCs w:val="19"/>
        </w:rPr>
        <w:t>Marzo</w:t>
      </w:r>
      <w:proofErr w:type="gramEnd"/>
      <w:r w:rsidRPr="0052652E">
        <w:rPr>
          <w:rFonts w:ascii="Arial" w:hAnsi="Arial" w:cs="Arial"/>
          <w:bCs/>
          <w:sz w:val="19"/>
          <w:szCs w:val="19"/>
        </w:rPr>
        <w:t xml:space="preserve"> de 2021, Tomo II, página 1230</w:t>
      </w:r>
    </w:p>
    <w:p w14:paraId="43F0AF5A" w14:textId="3D93BB7A"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Tipo: Aislada</w:t>
      </w:r>
    </w:p>
    <w:p w14:paraId="762D23BE" w14:textId="7C46A779"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PROHIBICIÓN DE OTORGAR BENEFICIOS DE LIBERTAD PREPARATORIA A LOS SENTENCIADOS POR EL DELITO DE SECUESTRO. EL ARTÍCULO 19, PÁRRAFO PRIMERO, DE LA LEY GENERAL PARA PREVENIR Y SANCIONAR LOS DELITOS EN MATERIA DE SECUESTRO, REGLAMENTARIA DE LA FRACCIÓN XXI DEL ARTÍCULO 73 DE LA CONSTITUCIÓN GENERAL QUE LO PREVÉ, NO TRANSGREDE LOS DERECHOS DE IGUALDAD, REINSERCIÓN SOCIAL Y DIGNIDAD HUMANA.</w:t>
      </w:r>
    </w:p>
    <w:p w14:paraId="56E5FAF6" w14:textId="73220C81"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Hechos: Se radicó una causa penal en contra de una persona por el delito de secuestro agravado; seguido el procedimiento penal, el Tribunal del Juicio Oral dictó sentencia condenatoria negándole todo beneficio de ley, la resolución fue recurrida en casación modificándola. En contra de esta resolución se promovió amparo directo en el que se planteó, entre otras cuestiones, la inconstitucionalidad del artículo 19, párrafo primero, de la Ley General para Prevenir y Sancionar los Delitos en Materia de Secuestro, Reglamentaria de la Fracción XXI del Artículo 73 de la Constitución Política de los Estados Unidos Mexicanos. El Tribunal Colegiado de Circuito consideró que el precepto impugnado no vulneraba los principios de igualdad, reinserción social y dignidad humana.</w:t>
      </w:r>
    </w:p>
    <w:p w14:paraId="69B90DAC" w14:textId="4AE94C54"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Criterio jurídico: La Primera Sala de la Suprema Corte de Justicia de la Nación considera que el artículo 19, párrafo primero, de la Ley General para Prevenir y Sancionar los Delitos en Materia de Secuestro, Reglamentaria de la Fracción XXI del Artículo 73 de la Constitución Política de los Estados Unidos Mexicanos, no transgrede los derechos de igualdad, reinserción social y dignidad humana.</w:t>
      </w:r>
    </w:p>
    <w:p w14:paraId="08D0EACD" w14:textId="02DBF241"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 xml:space="preserve">Justificación: La negativa de otorgar beneficios </w:t>
      </w:r>
      <w:proofErr w:type="spellStart"/>
      <w:r w:rsidRPr="0052652E">
        <w:rPr>
          <w:rFonts w:ascii="Arial" w:hAnsi="Arial" w:cs="Arial"/>
          <w:bCs/>
          <w:sz w:val="19"/>
          <w:szCs w:val="19"/>
        </w:rPr>
        <w:t>preliberacionales</w:t>
      </w:r>
      <w:proofErr w:type="spellEnd"/>
      <w:r w:rsidRPr="0052652E">
        <w:rPr>
          <w:rFonts w:ascii="Arial" w:hAnsi="Arial" w:cs="Arial"/>
          <w:bCs/>
          <w:sz w:val="19"/>
          <w:szCs w:val="19"/>
        </w:rPr>
        <w:t xml:space="preserve"> no implica una violación a las medidas previstas en el artículo 18 de la Constitución General para lograr la reinserción social del sentenciado, pues su otorgamiento no es una obligación constitucional, por el contrario, se trata de una facultad para el legislador ordinario quien, por razones de política criminal, consideró que no en todos los casos debían concederse dichos beneficios. Tampoco se vulnera el principio de igualdad, ya que esa negativa no constituye una discriminación por exclusión que atente contra los derechos fundamentales, sino una distinción introducida por el legislador que se justifica razonablemente en la mayor relevancia penal, así como en el impacto más grave que tiene el delito de secuestro en la afectación a la seguridad y a la salud públicas como bienes jurídicos protegidos por las normas penales. Por último, la prohibición de otorgar los beneficios aludidos no vulnera el principio de dignidad humana, en virtud de que no puede sostenerse que de la aplicación o inaplicación de aquéllos dependa la debida salvaguarda de ese principio, por el contrario, dicha prohibición presupone la existencia de un proceso criminal debidamente concluido, que ha llevado a la autoridad judicial a imponer una sentencia condenatoria en contra de una persona que debe compurgar una pena de prisión determinada de acuerdo con las leyes aplicables y las circunstancias que singularizaron el caso concreto.</w:t>
      </w:r>
    </w:p>
    <w:p w14:paraId="2AA2D4F3" w14:textId="0A232F58"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 xml:space="preserve">Amparo en revisión 1074/2017. 2 de mayo de 2018. Mayoría de cuatro votos de los </w:t>
      </w:r>
      <w:proofErr w:type="gramStart"/>
      <w:r w:rsidRPr="0052652E">
        <w:rPr>
          <w:rFonts w:ascii="Arial" w:hAnsi="Arial" w:cs="Arial"/>
          <w:bCs/>
          <w:sz w:val="19"/>
          <w:szCs w:val="19"/>
        </w:rPr>
        <w:t>Ministros</w:t>
      </w:r>
      <w:proofErr w:type="gramEnd"/>
      <w:r w:rsidRPr="0052652E">
        <w:rPr>
          <w:rFonts w:ascii="Arial" w:hAnsi="Arial" w:cs="Arial"/>
          <w:bCs/>
          <w:sz w:val="19"/>
          <w:szCs w:val="19"/>
        </w:rPr>
        <w:t xml:space="preserve"> Arturo Zaldívar Lelo de Larrea, Jorge Mario Pardo Rebolledo, Alfredo Gutiérrez Ortiz Mena y la Ministra Norma Lucía Piña Hernández. Disidente: José Ramón Cossío Díaz. Ponente: Jorge Mario Pardo Rebolledo. Secretario: Héctor Vargas Becerra.</w:t>
      </w:r>
    </w:p>
    <w:p w14:paraId="285A3959" w14:textId="055E34FB"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 xml:space="preserve">Amparo en revisión 1093/2019. 10 de junio de 2020. Mayoría de cuatro votos de las </w:t>
      </w:r>
      <w:proofErr w:type="gramStart"/>
      <w:r w:rsidRPr="0052652E">
        <w:rPr>
          <w:rFonts w:ascii="Arial" w:hAnsi="Arial" w:cs="Arial"/>
          <w:bCs/>
          <w:sz w:val="19"/>
          <w:szCs w:val="19"/>
        </w:rPr>
        <w:t>Ministras</w:t>
      </w:r>
      <w:proofErr w:type="gramEnd"/>
      <w:r w:rsidRPr="0052652E">
        <w:rPr>
          <w:rFonts w:ascii="Arial" w:hAnsi="Arial" w:cs="Arial"/>
          <w:bCs/>
          <w:sz w:val="19"/>
          <w:szCs w:val="19"/>
        </w:rPr>
        <w:t xml:space="preserve"> Norma Lucía Piña Hernández, Ana Margarita Ríos </w:t>
      </w:r>
      <w:proofErr w:type="spellStart"/>
      <w:r w:rsidRPr="0052652E">
        <w:rPr>
          <w:rFonts w:ascii="Arial" w:hAnsi="Arial" w:cs="Arial"/>
          <w:bCs/>
          <w:sz w:val="19"/>
          <w:szCs w:val="19"/>
        </w:rPr>
        <w:t>Farjat</w:t>
      </w:r>
      <w:proofErr w:type="spellEnd"/>
      <w:r w:rsidRPr="0052652E">
        <w:rPr>
          <w:rFonts w:ascii="Arial" w:hAnsi="Arial" w:cs="Arial"/>
          <w:bCs/>
          <w:sz w:val="19"/>
          <w:szCs w:val="19"/>
        </w:rPr>
        <w:t>, y los Ministros Jorge Mario Pardo Rebolledo y Alfredo Gutiérrez Ortiz Mena. Disidente: Juan Luis González Alcántara Carrancá, quien formuló voto particular. Ponente: Norma Lucía Piña Hernández. Secretario: Santiago J. Vázquez Camacho.</w:t>
      </w:r>
    </w:p>
    <w:p w14:paraId="2856D716" w14:textId="77777777" w:rsidR="0052652E" w:rsidRP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 xml:space="preserve">Amparo directo en revisión 4295/2019. 28 de octubre de 2020. Mayoría de cuatro votos de las </w:t>
      </w:r>
      <w:proofErr w:type="gramStart"/>
      <w:r w:rsidRPr="0052652E">
        <w:rPr>
          <w:rFonts w:ascii="Arial" w:hAnsi="Arial" w:cs="Arial"/>
          <w:bCs/>
          <w:sz w:val="19"/>
          <w:szCs w:val="19"/>
        </w:rPr>
        <w:t>Ministras</w:t>
      </w:r>
      <w:proofErr w:type="gramEnd"/>
      <w:r w:rsidRPr="0052652E">
        <w:rPr>
          <w:rFonts w:ascii="Arial" w:hAnsi="Arial" w:cs="Arial"/>
          <w:bCs/>
          <w:sz w:val="19"/>
          <w:szCs w:val="19"/>
        </w:rPr>
        <w:t xml:space="preserve"> Norma Lucía Piña Hernández, Ana Margarita Ríos </w:t>
      </w:r>
      <w:proofErr w:type="spellStart"/>
      <w:r w:rsidRPr="0052652E">
        <w:rPr>
          <w:rFonts w:ascii="Arial" w:hAnsi="Arial" w:cs="Arial"/>
          <w:bCs/>
          <w:sz w:val="19"/>
          <w:szCs w:val="19"/>
        </w:rPr>
        <w:t>Farjat</w:t>
      </w:r>
      <w:proofErr w:type="spellEnd"/>
      <w:r w:rsidRPr="0052652E">
        <w:rPr>
          <w:rFonts w:ascii="Arial" w:hAnsi="Arial" w:cs="Arial"/>
          <w:bCs/>
          <w:sz w:val="19"/>
          <w:szCs w:val="19"/>
        </w:rPr>
        <w:t xml:space="preserve">, y los Ministros Jorge Mario Pardo Rebolledo y Alfredo Gutiérrez Ortiz Mena. Disidente: Juan Luis González Alcántara Carrancá, quien formuló voto particular. Ponente: Norma Lucía Piña Hernández. Secretario: </w:t>
      </w:r>
      <w:proofErr w:type="spellStart"/>
      <w:r w:rsidRPr="0052652E">
        <w:rPr>
          <w:rFonts w:ascii="Arial" w:hAnsi="Arial" w:cs="Arial"/>
          <w:bCs/>
          <w:sz w:val="19"/>
          <w:szCs w:val="19"/>
        </w:rPr>
        <w:t>Suleiman</w:t>
      </w:r>
      <w:proofErr w:type="spellEnd"/>
      <w:r w:rsidRPr="0052652E">
        <w:rPr>
          <w:rFonts w:ascii="Arial" w:hAnsi="Arial" w:cs="Arial"/>
          <w:bCs/>
          <w:sz w:val="19"/>
          <w:szCs w:val="19"/>
        </w:rPr>
        <w:t xml:space="preserve"> Meraz Ortiz.</w:t>
      </w:r>
    </w:p>
    <w:p w14:paraId="6F24113F" w14:textId="268632F9" w:rsidR="0052652E" w:rsidRDefault="0052652E" w:rsidP="0052652E">
      <w:pPr>
        <w:spacing w:after="0" w:line="240" w:lineRule="auto"/>
        <w:ind w:right="-64"/>
        <w:jc w:val="both"/>
        <w:rPr>
          <w:rFonts w:ascii="Arial" w:hAnsi="Arial" w:cs="Arial"/>
          <w:bCs/>
          <w:sz w:val="19"/>
          <w:szCs w:val="19"/>
        </w:rPr>
      </w:pPr>
      <w:r w:rsidRPr="0052652E">
        <w:rPr>
          <w:rFonts w:ascii="Arial" w:hAnsi="Arial" w:cs="Arial"/>
          <w:bCs/>
          <w:sz w:val="19"/>
          <w:szCs w:val="19"/>
        </w:rPr>
        <w:t>Esta tesis se publicó el viernes 26 de marzo de 2021 a las 10:29 horas en el Semanario Judicial de la Federación.</w:t>
      </w:r>
    </w:p>
    <w:p w14:paraId="5630114B" w14:textId="77777777" w:rsidR="0052652E" w:rsidRDefault="0052652E" w:rsidP="00114EDE">
      <w:pPr>
        <w:spacing w:after="0" w:line="240" w:lineRule="auto"/>
        <w:ind w:right="-64"/>
        <w:jc w:val="both"/>
        <w:rPr>
          <w:rFonts w:ascii="Arial" w:hAnsi="Arial" w:cs="Arial"/>
          <w:bCs/>
          <w:sz w:val="19"/>
          <w:szCs w:val="19"/>
        </w:rPr>
      </w:pPr>
    </w:p>
    <w:p w14:paraId="1EE2EFD7" w14:textId="55B68E34"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Época: Décima Época </w:t>
      </w:r>
    </w:p>
    <w:p w14:paraId="0317C1F5"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Registro: 2021445 </w:t>
      </w:r>
    </w:p>
    <w:p w14:paraId="417885FB"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Instancia: Tribunales Colegiados de Circuito </w:t>
      </w:r>
    </w:p>
    <w:p w14:paraId="47B8CDF2"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Tipo de Tesis: Aislada </w:t>
      </w:r>
    </w:p>
    <w:p w14:paraId="17C18CA4"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Fuente: Gaceta del Semanario Judicial de la Federación </w:t>
      </w:r>
    </w:p>
    <w:p w14:paraId="773D2D3E"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Libro 74, </w:t>
      </w:r>
      <w:proofErr w:type="gramStart"/>
      <w:r w:rsidRPr="00114EDE">
        <w:rPr>
          <w:rFonts w:ascii="Arial" w:hAnsi="Arial" w:cs="Arial"/>
          <w:bCs/>
          <w:sz w:val="19"/>
          <w:szCs w:val="19"/>
        </w:rPr>
        <w:t>Enero</w:t>
      </w:r>
      <w:proofErr w:type="gramEnd"/>
      <w:r w:rsidRPr="00114EDE">
        <w:rPr>
          <w:rFonts w:ascii="Arial" w:hAnsi="Arial" w:cs="Arial"/>
          <w:bCs/>
          <w:sz w:val="19"/>
          <w:szCs w:val="19"/>
        </w:rPr>
        <w:t xml:space="preserve"> de 2020, Tomo III </w:t>
      </w:r>
    </w:p>
    <w:p w14:paraId="00FD902C"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Materia(s): Constitucional, Penal </w:t>
      </w:r>
    </w:p>
    <w:p w14:paraId="1A90AA26"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Tesis: I.9o.P.263 P (10a.) </w:t>
      </w:r>
    </w:p>
    <w:p w14:paraId="3ADC3631"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Página: 2448 </w:t>
      </w:r>
    </w:p>
    <w:p w14:paraId="2D17D898"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APLICACIÓN RETROACTIVA DE LA LEY EN BENEFICIO. ACORDE CON ESTE PRINCIPIO, LAS CIRCUNSTANCIAS AGRAVANTES DE UN ILÍCITO NO PUEDEN SER OBJETO DE VALORACIÓN PARA INDIVIDUALIZAR LA PENA, CUANDO HAYAN SIDO SUPRIMIDAS DE LA NORMA SUSTANTIVA PENAL, COMO ES EL CASO DE LA CALIFICATIVA "A BORDO DE VEHÍCULO" EN EL DELITO DE SECUESTRO.</w:t>
      </w:r>
    </w:p>
    <w:p w14:paraId="06DD18D6"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lastRenderedPageBreak/>
        <w:t>La interpretación a contrario sensu del artículo 14 de la Constitución Política de los Estados Unidos Mexicanos es el fundamento de la aplicación retroactiva de la ley en beneficio del gobernado. En materia penal, en la jurisprudencia 1a./J. 4/2013 (9a.), de rubro: "TRASLACIÓN DEL TIPO Y ADECUACIÓN DE LA PENA. CONSTITUYEN UN DERECHO DEL GOBERNADO PROTEGIDO CONSTITUCIONALMENTE.", la Primera Sala de la Suprema Corte de Justicia de la Nación concluyó que la traslación del tipo y la consecuente adecuación de la pena son derechos constitucionalmente tutelados. Así, cuando derivado de la entrada en vigor de una ley sustantiva, determinada conducta deje de ser considerada delictiva, o bien, exista reducción de las penas, entonces, en aplicación retroactiva de la ley en beneficio, el gobernado tiene derecho a ser puesto en libertad o a la disminución de la sanción originalmente impuesta. En la misma línea, cuando por mandato del legislador, cierta agravante que originalmente se encontraba prevista en la norma penal hubiera sido suprimida de la legislación vigente y el órgano jurisdiccional concluya que la legislación primigenia (abrogada) resulta más benéfica para el procesado, será necesario que el Juez atienda la voluntad del legislador de excluir la conducta agravante del catálogo de conductas punibles, y no la considere para individualizar las sanciones. En particular, en el caso del delito de secuestro, con motivo de la entrada en vigor de la Ley General para Prevenir y Sancionar los Delitos en Materia de Secuestro, quedaron abrogados los apartados relativos del Código Penal para el Distrito Federal, aplicable para la Ciudad de México, que tipificaban dicho ilícito, pero en la nueva legislación general se suprimió la agravante "a bordo de vehículo". Entonces, si al realizar la traslación del tipo se concluye que la legislación abrogada resulta más favorable al gobernado, pero en la nueva legislación general, que resulta más perjudicial, ya no se prevé la agravante aludida, sino que ahora se trata de un tipo especial cualificado en cuya descripción típica se contienen tanto al básico como las modificativas agravantes, ello constituye una circunstancia que incide en la individualización de sanciones, en consideración de la voluntad del legislador de suprimir dicha calificativa y dejar de considerarla punible, por lo que acorde al principio constitucional de aplicación retroactiva de la ley en beneficio, será necesario que la autoridad judicial aminore el grado de reproche y disminuya las penas condignas.</w:t>
      </w:r>
    </w:p>
    <w:p w14:paraId="6B0E8682"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NOVENO TRIBUNAL COLEGIADO EN MATERIA PENAL DEL PRIMER CIRCUITO.</w:t>
      </w:r>
    </w:p>
    <w:p w14:paraId="274B0EFB"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Amparo directo 146/2019. 7 de noviembre de 2019. Unanimidad de votos. Ponente: Irma Rivero Ortiz de Alcántara. Secretario: José Trejo Martínez.</w:t>
      </w:r>
    </w:p>
    <w:p w14:paraId="058A8070" w14:textId="77777777" w:rsidR="00114EDE" w:rsidRDefault="00114EDE" w:rsidP="00114EDE">
      <w:pPr>
        <w:spacing w:after="0" w:line="240" w:lineRule="auto"/>
        <w:ind w:right="-64"/>
        <w:jc w:val="both"/>
        <w:rPr>
          <w:rFonts w:ascii="Arial" w:hAnsi="Arial" w:cs="Arial"/>
          <w:bCs/>
          <w:sz w:val="19"/>
          <w:szCs w:val="19"/>
        </w:rPr>
      </w:pPr>
    </w:p>
    <w:p w14:paraId="2D6E0694"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Época: Décima Época </w:t>
      </w:r>
    </w:p>
    <w:p w14:paraId="70FF36F3"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Registro: 2021134 </w:t>
      </w:r>
    </w:p>
    <w:p w14:paraId="09EC0AA8"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Instancia: Primera Sala </w:t>
      </w:r>
    </w:p>
    <w:p w14:paraId="3F61849B"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Tipo de Tesis: Aislada </w:t>
      </w:r>
    </w:p>
    <w:p w14:paraId="1B290348"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Fuente: Gaceta del Semanario Judicial de la Federación </w:t>
      </w:r>
    </w:p>
    <w:p w14:paraId="0F6F93E3"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Libro 72, </w:t>
      </w:r>
      <w:proofErr w:type="gramStart"/>
      <w:r w:rsidRPr="00114EDE">
        <w:rPr>
          <w:rFonts w:ascii="Arial" w:hAnsi="Arial" w:cs="Arial"/>
          <w:bCs/>
          <w:sz w:val="19"/>
          <w:szCs w:val="19"/>
        </w:rPr>
        <w:t>Noviembre</w:t>
      </w:r>
      <w:proofErr w:type="gramEnd"/>
      <w:r w:rsidRPr="00114EDE">
        <w:rPr>
          <w:rFonts w:ascii="Arial" w:hAnsi="Arial" w:cs="Arial"/>
          <w:bCs/>
          <w:sz w:val="19"/>
          <w:szCs w:val="19"/>
        </w:rPr>
        <w:t xml:space="preserve"> de 2019, Tomo I </w:t>
      </w:r>
    </w:p>
    <w:p w14:paraId="46891DD1"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Materia(s): Constitucional, Penal </w:t>
      </w:r>
    </w:p>
    <w:p w14:paraId="1549B72A"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Tesis: 1a. CV/2019 (10a.) </w:t>
      </w:r>
    </w:p>
    <w:p w14:paraId="480490BD"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Página: 378 </w:t>
      </w:r>
    </w:p>
    <w:p w14:paraId="72316B43"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SECUESTRO. EL ARTÍCULO 10, FRACCIÓN II, INCISO A), DE LA LEY GENERAL PARA PREVENIR Y SANCIONAR LOS DELITOS EN ESA MATERIA NO VULNERA EL PRINCIPIO DE PROPORCIONALIDAD DE LAS PENAS.</w:t>
      </w:r>
    </w:p>
    <w:p w14:paraId="6CECE9EA"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El precepto citado, al establecer una agravante sobre las penas previstas para el tipo penal básico del delito de secuestro exprés [establecido en el artículo 9, fracción I, inciso d), de la propia ley], específicamente de cincuenta a cien años de prisión y de ocho mil a dieciséis mil días multa, si en la acción de la privación de la libertad participan como autor o autores personas que sean o hayan sido integrantes de alguna institución de seguridad pública, de procuración o administración de justicia, o de las Fuerzas Armadas Mexicanas, o se ostenten como tales sin serlo, no vulnera el principio de proporcionalidad de las penas contenido en el artículo 22 de la Constitución Política de los Estados Unidos Mexicanos, porque establece una sanción que se adecua a la gravedad de la conducta que se regula. En efecto, teniendo en cuenta que la gravedad de la pena debe guardar una relación proporcional con el hecho antijurídico y con el grado de afectación al bien jurídico protegido, puede establecerse válidamente que la pena correspondiente a la modalidad agravada del delito de secuestro exprés no resulta desmedida en comparación con las penas establecidas para otros delitos que atentan contra la libertad personal con similar intensidad y conforme a diversas situaciones que lo agravan, pues el legislador optó por realizar un nuevo parámetro de sanción para la conducta de secuestro exprés agravado, eligiendo como técnica legislativa la opción de aplicar directamente la sanción penal que correspondería por el delito básico y su modalidad agravada, además de que, desde la exposición de motivos que dio lugar a la norma examinada, se refirió que ante la creciente incidencia de la comisión de dicho delito y la insuficiencia de las penas vigentes, se estimaba conveniente duplicar las punibilidades para el delito de secuestro en cualquiera de sus modalidades, por lo que el legislador se vio obligado a responder al reclamo social y cambiar su parámetro de punición al establecer penas más elevadas. Asimismo, el merecimiento de una sanción punitiva mayor en el supuesto previsto en el artículo 10, fracción II, inciso a), de la Ley General para Prevenir y Sancionar los Delitos en Materia de Secuestro se encuentra justificado por el incremento en el desvalor de la acción, dado que, cuando estos delitos son cometidos por las personas referidas dentro de la fracción de análisis, se presta atención al beneficio ilícito que han pretendido conseguir a través de su encargo, así como las habilidades especiales que adquirieron, las cuales por su propia naturaleza facilitan su comisión, incluso con sólo ostentarse como integrantes de alguna de las instituciones mencionadas.</w:t>
      </w:r>
    </w:p>
    <w:p w14:paraId="57D6AA85" w14:textId="77777777" w:rsidR="00114EDE" w:rsidRPr="00114EDE" w:rsidRDefault="00114EDE" w:rsidP="00114EDE">
      <w:pPr>
        <w:spacing w:after="0" w:line="240" w:lineRule="auto"/>
        <w:ind w:right="-64"/>
        <w:jc w:val="both"/>
        <w:rPr>
          <w:rFonts w:ascii="Arial" w:hAnsi="Arial" w:cs="Arial"/>
          <w:bCs/>
          <w:sz w:val="19"/>
          <w:szCs w:val="19"/>
        </w:rPr>
      </w:pPr>
      <w:r w:rsidRPr="00114EDE">
        <w:rPr>
          <w:rFonts w:ascii="Arial" w:hAnsi="Arial" w:cs="Arial"/>
          <w:bCs/>
          <w:sz w:val="19"/>
          <w:szCs w:val="19"/>
        </w:rPr>
        <w:t xml:space="preserve">Amparo directo en revisión 1182/2018. 3 de mayo de 2019. Ponente: Juan Luis González Alcántara Carrancá. Secretaria: Ana Marcela Zatarain Barrett. </w:t>
      </w:r>
    </w:p>
    <w:p w14:paraId="61589B89" w14:textId="77777777" w:rsidR="00114EDE" w:rsidRPr="00114EDE" w:rsidRDefault="00114EDE" w:rsidP="00114EDE">
      <w:pPr>
        <w:spacing w:after="0" w:line="240" w:lineRule="auto"/>
        <w:ind w:right="-64"/>
        <w:jc w:val="both"/>
        <w:rPr>
          <w:rFonts w:ascii="Arial" w:hAnsi="Arial" w:cs="Arial"/>
          <w:bCs/>
          <w:sz w:val="19"/>
          <w:szCs w:val="19"/>
        </w:rPr>
      </w:pPr>
    </w:p>
    <w:p w14:paraId="1F53D434" w14:textId="77777777" w:rsidR="00307D63" w:rsidRPr="00307D63" w:rsidRDefault="00307D63" w:rsidP="00114EDE">
      <w:pPr>
        <w:spacing w:after="0" w:line="240" w:lineRule="auto"/>
        <w:ind w:right="-64"/>
        <w:jc w:val="both"/>
        <w:rPr>
          <w:rFonts w:ascii="Arial" w:hAnsi="Arial" w:cs="Arial"/>
          <w:bCs/>
          <w:sz w:val="19"/>
          <w:szCs w:val="19"/>
        </w:rPr>
      </w:pPr>
      <w:r w:rsidRPr="00307D63">
        <w:rPr>
          <w:rFonts w:ascii="Arial" w:hAnsi="Arial" w:cs="Arial"/>
          <w:bCs/>
          <w:sz w:val="19"/>
          <w:szCs w:val="19"/>
        </w:rPr>
        <w:t xml:space="preserve">Época: Décima Época </w:t>
      </w:r>
    </w:p>
    <w:p w14:paraId="6E0084E9"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Registro: 2019519 </w:t>
      </w:r>
    </w:p>
    <w:p w14:paraId="24F7DD6D"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Instancia: Tribunales Colegiados de Circuito </w:t>
      </w:r>
    </w:p>
    <w:p w14:paraId="53F65EF6"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lastRenderedPageBreak/>
        <w:t xml:space="preserve">Tipo de Tesis: Aislada </w:t>
      </w:r>
    </w:p>
    <w:p w14:paraId="2DA5DE55"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Fuente: Gaceta del Semanario Judicial de la Federación </w:t>
      </w:r>
    </w:p>
    <w:p w14:paraId="4F4F29FC"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Libro 64, </w:t>
      </w:r>
      <w:proofErr w:type="gramStart"/>
      <w:r w:rsidRPr="00307D63">
        <w:rPr>
          <w:rFonts w:ascii="Arial" w:hAnsi="Arial" w:cs="Arial"/>
          <w:bCs/>
          <w:sz w:val="19"/>
          <w:szCs w:val="19"/>
        </w:rPr>
        <w:t>Marzo</w:t>
      </w:r>
      <w:proofErr w:type="gramEnd"/>
      <w:r w:rsidRPr="00307D63">
        <w:rPr>
          <w:rFonts w:ascii="Arial" w:hAnsi="Arial" w:cs="Arial"/>
          <w:bCs/>
          <w:sz w:val="19"/>
          <w:szCs w:val="19"/>
        </w:rPr>
        <w:t xml:space="preserve"> de 2019, Tomo III </w:t>
      </w:r>
    </w:p>
    <w:p w14:paraId="2B0A90D9"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Materia(s): Penal </w:t>
      </w:r>
    </w:p>
    <w:p w14:paraId="4F63A8AD"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Tesis: (II </w:t>
      </w:r>
      <w:proofErr w:type="gramStart"/>
      <w:r w:rsidRPr="00307D63">
        <w:rPr>
          <w:rFonts w:ascii="Arial" w:hAnsi="Arial" w:cs="Arial"/>
          <w:bCs/>
          <w:sz w:val="19"/>
          <w:szCs w:val="19"/>
        </w:rPr>
        <w:t>Región)1o</w:t>
      </w:r>
      <w:proofErr w:type="gramEnd"/>
      <w:r w:rsidRPr="00307D63">
        <w:rPr>
          <w:rFonts w:ascii="Arial" w:hAnsi="Arial" w:cs="Arial"/>
          <w:bCs/>
          <w:sz w:val="19"/>
          <w:szCs w:val="19"/>
        </w:rPr>
        <w:t xml:space="preserve">.1 P (10a.) </w:t>
      </w:r>
    </w:p>
    <w:p w14:paraId="3D4AD881"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Página: 2789 </w:t>
      </w:r>
    </w:p>
    <w:p w14:paraId="7B6096AA"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SECUESTRO. HIPÓTESIS EN QUE LA PRIVACIÓN DE LA VIDA DE LA VÍCTIMA DURANTE SU CAUTIVERIO NO CONSUMA LOS EFECTOS DE ESTE DELITO.</w:t>
      </w:r>
    </w:p>
    <w:p w14:paraId="4380F4BD"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 xml:space="preserve">De los artículos 9, fracción I, inciso a), y 11 de la Ley General para Prevenir y Sancionar los Delitos en Materia de Secuestro, Reglamentaria de la Fracción XXI del Artículo 73 de la Constitución Política de los Estados Unidos Mexicanos, deriva que si la persona que fue privada de su libertad con el propósito de obtener un rescate, es privada de la vida por los autores o partícipes del delito, se actualiza un tipo penal complementado, que presupone la subsistencia del tipo básico, al cual se incorporan ciertas circunstancias modificativas o </w:t>
      </w:r>
      <w:proofErr w:type="spellStart"/>
      <w:r w:rsidRPr="00307D63">
        <w:rPr>
          <w:rFonts w:ascii="Arial" w:hAnsi="Arial" w:cs="Arial"/>
          <w:bCs/>
          <w:sz w:val="19"/>
          <w:szCs w:val="19"/>
        </w:rPr>
        <w:t>qualificantes</w:t>
      </w:r>
      <w:proofErr w:type="spellEnd"/>
      <w:r w:rsidRPr="00307D63">
        <w:rPr>
          <w:rFonts w:ascii="Arial" w:hAnsi="Arial" w:cs="Arial"/>
          <w:bCs/>
          <w:sz w:val="19"/>
          <w:szCs w:val="19"/>
        </w:rPr>
        <w:t>. Dicho ilícito, que es de naturaleza permanente, se caracteriza por una consumación duradera, de modo que mientras se realiza, continúan consumándose sus efectos hasta que cesa la conducta o desaparecen los elementos del tipo. Asimismo, conforme a la doctrina mexicana sobre el tema, se integra de diversas fases, a saber: a) la preoperativa o táctica; b) la ejecutiva; c) la atinente al cuidado de la víctima; d) la negociación del rescate; y, e) la de liberación del pasivo y el cobro del rescate. Así, es la última etapa en donde concluye el delito de secuestro, ya que una vez que han llegado a un acuerdo tanto la familia como los secuestradores sobre el monto del dinero que tendrán que dar los primeros, a cambio de la liberación del agraviado, los activos establecen el lugar, hora y forma de embalaje en que deben dejar el numerario pactado, el que regularmente es recogido por otro grupo de sujetos (o en ocasiones los mismos activos), y horas o días después, es liberada la víctima. En ese sentido, cuando los activos priven de la libertad a una o más personas, y durante el cautiverio aquéllos privan de la vida a la víctima, pero continúan la ejecución de acciones que se ubican en las fases de negociación o cobro del rescate, no puede considerarse que la muerte del pasivo agota o consuma los efectos del delito, pues una de las etapas de éste es la exigencia de un rescate a un tercero, con la finalidad de liberar al pasivo, lo que revela que, aunque materialmente no sería factible que éste recupere la libertad ante el deceso acaecido, seguiría actualizándose uno de los elementos del delito de secuestro, esto es, el propósito de obtener un numerario; ello, porque la falta de información a los terceros sobre la privación de la vida de la víctima, es esencial para que los activos continúen con la exigencia del rescate u obtengan éste. Por tanto, en el caso señalado, la intervención realizada por uno de los agentes del delito tendente a realizar el cobro del rescate, aun cuando sea posterior a la muerte del pasivo, también forma parte del antisocial señalado, pues razonar en términos contrarios a los expuestos, implicaría estimar que basta la privación de la vida del pasivo, para que queden excluidas de reproche penal las conductas posteriores, tendentes a obtener un rescate con motivo de la privación de la libertad, las cuales pueden realizarse por terceros distintos a los que ejecutan las fases anteriores; circunstancia que no es acorde con el fin de la norma especial.</w:t>
      </w:r>
    </w:p>
    <w:p w14:paraId="4539CF9A"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PRIMER TRIBUNAL COLEGIADO DE CIRCUITO DEL CENTRO AUXILIAR DE LA SEGUNDA REGIÓN.</w:t>
      </w:r>
    </w:p>
    <w:p w14:paraId="55DE11B9" w14:textId="77777777" w:rsidR="00307D63" w:rsidRPr="00307D63" w:rsidRDefault="00307D63" w:rsidP="00307D63">
      <w:pPr>
        <w:spacing w:after="0" w:line="240" w:lineRule="auto"/>
        <w:ind w:right="-64"/>
        <w:jc w:val="both"/>
        <w:rPr>
          <w:rFonts w:ascii="Arial" w:hAnsi="Arial" w:cs="Arial"/>
          <w:bCs/>
          <w:sz w:val="19"/>
          <w:szCs w:val="19"/>
        </w:rPr>
      </w:pPr>
      <w:r w:rsidRPr="00307D63">
        <w:rPr>
          <w:rFonts w:ascii="Arial" w:hAnsi="Arial" w:cs="Arial"/>
          <w:bCs/>
          <w:sz w:val="19"/>
          <w:szCs w:val="19"/>
        </w:rPr>
        <w:t>Amparo directo 647/2018 (cuaderno auxiliar 1135/2018) del índice del Tribunal Colegiado en Materia Penal del Décimo Circuito, 18 de enero de 2019. Unanimidad de votos. Ponente: Roberto Obando Pérez. Secretario: Luis Rafael Bautista Cruz.</w:t>
      </w:r>
    </w:p>
    <w:p w14:paraId="435ACAB0" w14:textId="77777777" w:rsidR="00307D63" w:rsidRPr="00307D63" w:rsidRDefault="00307D63" w:rsidP="00307D63">
      <w:pPr>
        <w:spacing w:after="0" w:line="240" w:lineRule="auto"/>
        <w:ind w:right="-64"/>
        <w:jc w:val="both"/>
        <w:rPr>
          <w:rFonts w:ascii="Arial" w:hAnsi="Arial" w:cs="Arial"/>
          <w:bCs/>
          <w:sz w:val="19"/>
          <w:szCs w:val="19"/>
        </w:rPr>
      </w:pPr>
    </w:p>
    <w:p w14:paraId="0D1E8BAC"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Época: Décima Época </w:t>
      </w:r>
    </w:p>
    <w:p w14:paraId="67E0EEC5"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Registro: 2018822 </w:t>
      </w:r>
    </w:p>
    <w:p w14:paraId="3B34D8A1"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Instancia: Primera Sala </w:t>
      </w:r>
    </w:p>
    <w:p w14:paraId="756762E4"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Tipo de Tesis: Aislada </w:t>
      </w:r>
    </w:p>
    <w:p w14:paraId="1A49ACD5"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Fuente: Gaceta del Semanario Judicial de la Federación </w:t>
      </w:r>
    </w:p>
    <w:p w14:paraId="17781F5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Libro 61, </w:t>
      </w:r>
      <w:proofErr w:type="gramStart"/>
      <w:r w:rsidRPr="000977D6">
        <w:rPr>
          <w:rFonts w:ascii="Arial" w:hAnsi="Arial" w:cs="Arial"/>
          <w:bCs/>
          <w:sz w:val="19"/>
          <w:szCs w:val="19"/>
        </w:rPr>
        <w:t>Diciembre</w:t>
      </w:r>
      <w:proofErr w:type="gramEnd"/>
      <w:r w:rsidRPr="000977D6">
        <w:rPr>
          <w:rFonts w:ascii="Arial" w:hAnsi="Arial" w:cs="Arial"/>
          <w:bCs/>
          <w:sz w:val="19"/>
          <w:szCs w:val="19"/>
        </w:rPr>
        <w:t xml:space="preserve"> de 2018, Tomo I </w:t>
      </w:r>
    </w:p>
    <w:p w14:paraId="76578D7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Materia(s): Constitucional </w:t>
      </w:r>
    </w:p>
    <w:p w14:paraId="17DB2344"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Tesis: 1a. CCCLV/2018 (10a.) </w:t>
      </w:r>
    </w:p>
    <w:p w14:paraId="4CE4A61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Página: 410 </w:t>
      </w:r>
    </w:p>
    <w:p w14:paraId="7AC5B27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SECUESTRO. EL ARTÍCULO 9, FRACCIÓN I, INCISO C), DE LA LEY GENERAL PARA PREVENIR Y SANCIONAR LOS DELITOS EN LA MATERIA, NO VIOLA EL PRINCIPIO DE PROPORCIONALIDAD DE LAS PENAS. </w:t>
      </w:r>
    </w:p>
    <w:p w14:paraId="0D5DBE0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El precepto citado al establecer, que al que prive de la libertad a otro se le aplicarán de cuarenta a ochenta años de prisión y de mil a cuatro mil días multa, si la privación de la libertad se efectúa con el propósito de: c) causar daño o perjuicio a la persona privada de la libertad o a terceros, no viola el principio de proporcionalidad de las penas contenido en el artículo 22 de la Constitución Política de los Estados Unidos Mexicanos, pues establece una pena que se adecua a la gravedad de la conducta. Esto es, si se compara la sanción aludida con los extremos de la escala de penas aplicable para los delitos que atentan contra la libertad personal, como la del secuestro agravado previsto en el artículo 10 de la propia ley, que es de cincuenta a noventa años de prisión y de cuatro mil a ocho mil días multa si se configura alguna de las agravantes de la fracción I, o bien, de cincuenta a cien años de prisión y de ocho mil a dieciséis mil días multa si es cometido con las agravantes que establece la fracción II, válidamente puede establecerse que aquella sanción, es proporcional con las que se refieren al mismo delito pero agravado. Asimismo, si bien existen delitos que atentan contra la libertad personal a los cuales el legislador les asignó una pena inferior a la que corresponde al secuestro simple (como por ejemplo el de privación de la libertad personal previsto en el artículo 160 del Código Penal para el Distrito Federal, aplicable para la Ciudad de México, que prevé una pena de seis meses a tres años de prisión y de veinticinco a cien días multa), ello se justifica, por un lado, por la menor intensidad que éste representa en la afectación al bien jurídico protegido y, por otro, que la mayor pena asignada al delito de secuestro simple también se justifica con la misma lógica, una afectación más intensa al bien jurídico protegido. Además, el hecho de que el secuestro tenga una pena mayor se valida, al tratarse de una modalidad delictiva que se ha propagado de forma alarmante en todo el país; proliferación que el legislador consideró para aumentar la pena en dicho delito, pues no sólo lesiona uno de los bienes jurídicos más importantes para </w:t>
      </w:r>
      <w:r w:rsidRPr="000977D6">
        <w:rPr>
          <w:rFonts w:ascii="Arial" w:hAnsi="Arial" w:cs="Arial"/>
          <w:bCs/>
          <w:sz w:val="19"/>
          <w:szCs w:val="19"/>
        </w:rPr>
        <w:lastRenderedPageBreak/>
        <w:t>el ser humano, como lo es la libertad, sino también conlleva una serie de implicaciones y consecuencias que suponen serias amenazas para el bienestar y adecuado desarrollo de la sociedad.</w:t>
      </w:r>
    </w:p>
    <w:p w14:paraId="604FF12D"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Amparo directo en revisión 7313/2016. 4 de octubre de 2017. Ponente: Arturo Zaldívar Lelo de Larrea. Secretario: Julio César Ramírez Carreón.</w:t>
      </w:r>
    </w:p>
    <w:p w14:paraId="75E434FE" w14:textId="77777777" w:rsidR="00A53DFB" w:rsidRPr="000977D6" w:rsidRDefault="00A53DFB" w:rsidP="002C2E43">
      <w:pPr>
        <w:spacing w:after="0" w:line="240" w:lineRule="auto"/>
        <w:ind w:right="-64"/>
        <w:jc w:val="both"/>
        <w:rPr>
          <w:rFonts w:ascii="Arial" w:hAnsi="Arial" w:cs="Arial"/>
          <w:bCs/>
          <w:sz w:val="19"/>
          <w:szCs w:val="19"/>
        </w:rPr>
      </w:pPr>
    </w:p>
    <w:p w14:paraId="4ED1F8D2"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Época: Décima Época </w:t>
      </w:r>
    </w:p>
    <w:p w14:paraId="68437690"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Registro: 2018823 </w:t>
      </w:r>
    </w:p>
    <w:p w14:paraId="7F287030"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Instancia: Primera Sala </w:t>
      </w:r>
    </w:p>
    <w:p w14:paraId="4D64E7A2"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Tipo de Tesis: Aislada </w:t>
      </w:r>
    </w:p>
    <w:p w14:paraId="331717FB"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Fuente: Gaceta del Semanario Judicial de la Federación </w:t>
      </w:r>
    </w:p>
    <w:p w14:paraId="17FFC1C4"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Libro 61, </w:t>
      </w:r>
      <w:proofErr w:type="gramStart"/>
      <w:r w:rsidRPr="000977D6">
        <w:rPr>
          <w:rFonts w:ascii="Arial" w:hAnsi="Arial" w:cs="Arial"/>
          <w:bCs/>
          <w:sz w:val="19"/>
          <w:szCs w:val="19"/>
        </w:rPr>
        <w:t>Diciembre</w:t>
      </w:r>
      <w:proofErr w:type="gramEnd"/>
      <w:r w:rsidRPr="000977D6">
        <w:rPr>
          <w:rFonts w:ascii="Arial" w:hAnsi="Arial" w:cs="Arial"/>
          <w:bCs/>
          <w:sz w:val="19"/>
          <w:szCs w:val="19"/>
        </w:rPr>
        <w:t xml:space="preserve"> de 2018, Tomo I </w:t>
      </w:r>
    </w:p>
    <w:p w14:paraId="49B93DE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Materia(s): Constitucional </w:t>
      </w:r>
    </w:p>
    <w:p w14:paraId="62891F4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Tesis: 1a. CCCXIV/2018 (10a.) </w:t>
      </w:r>
    </w:p>
    <w:p w14:paraId="418309B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Página: 411 </w:t>
      </w:r>
    </w:p>
    <w:p w14:paraId="5B18A086"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SECUESTRO. EL ARTÍCULO 9, FRACCIÓN I, INCISO C), DE LA LEY GENERAL PARA PREVENIR Y SANCIONAR LOS DELITOS EN LA MATERIA, NO VULNERA EL PRINCIPIO DE EXACTA APLICACIÓN DE LA LEY EN MATERIA PENAL EN SU VERTIENTE DE TAXATIVIDAD. </w:t>
      </w:r>
    </w:p>
    <w:p w14:paraId="5AD315DC"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El precepto citado al establecer, que al que prive de la libertad a otro se le aplicarán de cuarenta a ochenta años de prisión y de mil a cuatro mil días multa, si la privación de la libertad se efectúa con el propósito de causar daño o perjuicio a la persona privada de la libertad o a terceros, no vulnera el principio de exacta aplicación de la ley en materia penal en su vertiente de taxatividad, pues determina de forma precisa las conductas objeto de la prohibición. Esto es, el artículo 9 de la Ley General para Prevenir y Sancionar los Delitos en Materia de Secuestro no sólo prevé el tipo de conducta ilícita que puede desplegar el sujeto activo, sino que además, establece varias hipótesis para el medio comisivo y la finalidad de su actuar, y en el caso del inciso c) de su fracción I, se advierte que el delito de privación ilegal de la libertad debe darse con el propósito de causar un daño o perjuicio al sujeto pasivo, por lo que su destinatario puede conocer claramente los elementos de la prohibición y comprender de forma cierta cuál es la conducta punible.</w:t>
      </w:r>
    </w:p>
    <w:p w14:paraId="6EFA8950"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Amparo directo en revisión 7313/2016. 4 de octubre de 2017. Ponente: Arturo Zaldívar Lelo de Larrea. Secretario: Julio César Ramírez Carreón.</w:t>
      </w:r>
    </w:p>
    <w:p w14:paraId="1C72AD96" w14:textId="77777777" w:rsidR="00A53DFB" w:rsidRPr="000977D6" w:rsidRDefault="00A53DFB" w:rsidP="002C2E43">
      <w:pPr>
        <w:spacing w:after="0" w:line="240" w:lineRule="auto"/>
        <w:ind w:right="-64"/>
        <w:jc w:val="both"/>
        <w:rPr>
          <w:rFonts w:ascii="Arial" w:hAnsi="Arial" w:cs="Arial"/>
          <w:bCs/>
          <w:sz w:val="19"/>
          <w:szCs w:val="19"/>
        </w:rPr>
      </w:pPr>
    </w:p>
    <w:p w14:paraId="767A2024"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Época: Décima Época </w:t>
      </w:r>
    </w:p>
    <w:p w14:paraId="462FFE50"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Registro: 2018887 </w:t>
      </w:r>
    </w:p>
    <w:p w14:paraId="3A3C1902"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Instancia: Tribunales Colegiados de Circuito </w:t>
      </w:r>
    </w:p>
    <w:p w14:paraId="2E982251"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Tipo de Tesis: Aislada </w:t>
      </w:r>
    </w:p>
    <w:p w14:paraId="1D6946E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Fuente: Gaceta del Semanario Judicial de la Federación </w:t>
      </w:r>
    </w:p>
    <w:p w14:paraId="6AD2F991"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Libro 61, </w:t>
      </w:r>
      <w:proofErr w:type="gramStart"/>
      <w:r w:rsidRPr="000977D6">
        <w:rPr>
          <w:rFonts w:ascii="Arial" w:hAnsi="Arial" w:cs="Arial"/>
          <w:bCs/>
          <w:sz w:val="19"/>
          <w:szCs w:val="19"/>
        </w:rPr>
        <w:t>Diciembre</w:t>
      </w:r>
      <w:proofErr w:type="gramEnd"/>
      <w:r w:rsidRPr="000977D6">
        <w:rPr>
          <w:rFonts w:ascii="Arial" w:hAnsi="Arial" w:cs="Arial"/>
          <w:bCs/>
          <w:sz w:val="19"/>
          <w:szCs w:val="19"/>
        </w:rPr>
        <w:t xml:space="preserve"> de 2018, Tomo II </w:t>
      </w:r>
    </w:p>
    <w:p w14:paraId="3ABD191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Materia(s): Penal </w:t>
      </w:r>
    </w:p>
    <w:p w14:paraId="0378C3C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Tesis: (V </w:t>
      </w:r>
      <w:proofErr w:type="gramStart"/>
      <w:r w:rsidRPr="000977D6">
        <w:rPr>
          <w:rFonts w:ascii="Arial" w:hAnsi="Arial" w:cs="Arial"/>
          <w:bCs/>
          <w:sz w:val="19"/>
          <w:szCs w:val="19"/>
        </w:rPr>
        <w:t>Región)2o</w:t>
      </w:r>
      <w:proofErr w:type="gramEnd"/>
      <w:r w:rsidRPr="000977D6">
        <w:rPr>
          <w:rFonts w:ascii="Arial" w:hAnsi="Arial" w:cs="Arial"/>
          <w:bCs/>
          <w:sz w:val="19"/>
          <w:szCs w:val="19"/>
        </w:rPr>
        <w:t xml:space="preserve">.1 P (10a.) </w:t>
      </w:r>
    </w:p>
    <w:p w14:paraId="4AFC62A5"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Página: 1173 </w:t>
      </w:r>
    </w:p>
    <w:p w14:paraId="4F611F3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SECUESTRO SIMULADO. LA DESCRIPCIÓN TÍPICA DE ESTE DELITO, CONTENIDA EN EL ARTÍCULO 13 DE LA LEY GENERAL PARA PREVENIR Y SANCIONAR LOS DELITOS EN MATERIA DE SECUESTRO, NO SE ACTUALIZA RESPECTO DE QUIEN COLABORÓ CON AQUEL QUE FINGIÓ SU AUTOSECUESTRO.</w:t>
      </w:r>
    </w:p>
    <w:p w14:paraId="5BF87C6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En atención al principio de exacta aplicación de la ley penal en su vertiente de taxatividad, previsto en el artículo 14, párrafo tercero, de la Constitución Política de los Estados Unidos Mexicanos, al tenor del cual sólo pueden castigarse penalmente las conductas debidamente descritas como ilícitas en la legislación correspondiente, se concluye que la descripción típica del delito de secuestro simulado, contenida en el precepto citado, no puede actualizarse respecto de un individuo que colaboró con aquel que fingió su </w:t>
      </w:r>
      <w:proofErr w:type="spellStart"/>
      <w:r w:rsidRPr="000977D6">
        <w:rPr>
          <w:rFonts w:ascii="Arial" w:hAnsi="Arial" w:cs="Arial"/>
          <w:bCs/>
          <w:sz w:val="19"/>
          <w:szCs w:val="19"/>
        </w:rPr>
        <w:t>autosecuestro</w:t>
      </w:r>
      <w:proofErr w:type="spellEnd"/>
      <w:r w:rsidRPr="000977D6">
        <w:rPr>
          <w:rFonts w:ascii="Arial" w:hAnsi="Arial" w:cs="Arial"/>
          <w:bCs/>
          <w:sz w:val="19"/>
          <w:szCs w:val="19"/>
        </w:rPr>
        <w:t>. En efecto, el tipo penal de referencia está dirigido a sancionar a aquellos sujetos que simulen o hagan aparentar el secuestro de su propia persona; es decir, se trata de un tipo penal específico, cuya redacción no permite su aplicación a la conducta de sujetos diversos, pues la literalidad del precepto al establecer la frase "a quien por sí o por interpósita persona simule la privación de su libertad", acota su actualización sólo al individuo que finja su propio secuestro; es decir, se trata de un delito especial con un sujeto activo delimitado, cuya estructura (de acuerdo con su literalidad), no alcanza a punir la conducta colaboradora de un tercero, por no ser la legalmente descrita como acreedora de la pena en ese precepto, en todo caso podría actualizar alguna otra hipótesis de delito, pero no en ése porque no encuadra exactamente en la descripción típica del artículo 13 de la Ley General para Prevenir y Sancionar los Delitos en Materia de Secuestro, Reglamentaria de la Fracción XXI del Artículo 73 de la Constitución Política de los Estados Unidos Mexicanos.</w:t>
      </w:r>
    </w:p>
    <w:p w14:paraId="66C9E81D"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SEGUNDO TRIBUNAL COLEGIADO DE CIRCUITO DEL CENTRO AUXILIAR DE LA QUINTA REGIÓN.</w:t>
      </w:r>
    </w:p>
    <w:p w14:paraId="6ADA992B"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Amparo directo 534/2017 (cuaderno auxiliar 183/2018) del índice del Segundo Tribunal Colegiado del Vigésimo Cuarto Circuito, con apoyo del Segundo Tribunal Colegiado de Circuito del Centro Auxiliar de la Quinta Región. 30 de agosto de 2018. Unanimidad de votos. Ponente: Amaury Cárdenas Espinoza, secretario de tribunal autorizado por la Comisión de Carrera Judicial del Consejo de la Judicatura Federal para desempeñar las funciones de Magistrado. Secretario: Iván </w:t>
      </w:r>
      <w:proofErr w:type="spellStart"/>
      <w:r w:rsidRPr="000977D6">
        <w:rPr>
          <w:rFonts w:ascii="Arial" w:hAnsi="Arial" w:cs="Arial"/>
          <w:bCs/>
          <w:sz w:val="19"/>
          <w:szCs w:val="19"/>
        </w:rPr>
        <w:t>Andrei</w:t>
      </w:r>
      <w:proofErr w:type="spellEnd"/>
      <w:r w:rsidRPr="000977D6">
        <w:rPr>
          <w:rFonts w:ascii="Arial" w:hAnsi="Arial" w:cs="Arial"/>
          <w:bCs/>
          <w:sz w:val="19"/>
          <w:szCs w:val="19"/>
        </w:rPr>
        <w:t xml:space="preserve"> Espinosa Pereyra.</w:t>
      </w:r>
    </w:p>
    <w:p w14:paraId="5F32F164" w14:textId="77777777" w:rsidR="00A53DFB" w:rsidRPr="000977D6" w:rsidRDefault="00A53DFB" w:rsidP="002C2E43">
      <w:pPr>
        <w:spacing w:after="0" w:line="240" w:lineRule="auto"/>
        <w:ind w:right="-64"/>
        <w:jc w:val="both"/>
        <w:rPr>
          <w:rFonts w:ascii="Arial" w:hAnsi="Arial" w:cs="Arial"/>
          <w:bCs/>
          <w:sz w:val="19"/>
          <w:szCs w:val="19"/>
        </w:rPr>
      </w:pPr>
    </w:p>
    <w:p w14:paraId="40638363"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Época: Décima Época </w:t>
      </w:r>
    </w:p>
    <w:p w14:paraId="44B442A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Registro: 2018210 </w:t>
      </w:r>
    </w:p>
    <w:p w14:paraId="526F059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Instancia: Tribunales Colegiados de Circuito </w:t>
      </w:r>
    </w:p>
    <w:p w14:paraId="08377AA2"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Tipo de Tesis: Aislada </w:t>
      </w:r>
    </w:p>
    <w:p w14:paraId="5368527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lastRenderedPageBreak/>
        <w:t xml:space="preserve">Fuente: Gaceta del Semanario Judicial de la Federación </w:t>
      </w:r>
    </w:p>
    <w:p w14:paraId="6430B995"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Libro 59, </w:t>
      </w:r>
      <w:proofErr w:type="gramStart"/>
      <w:r w:rsidRPr="000977D6">
        <w:rPr>
          <w:rFonts w:ascii="Arial" w:hAnsi="Arial" w:cs="Arial"/>
          <w:bCs/>
          <w:sz w:val="19"/>
          <w:szCs w:val="19"/>
        </w:rPr>
        <w:t>Octubre</w:t>
      </w:r>
      <w:proofErr w:type="gramEnd"/>
      <w:r w:rsidRPr="000977D6">
        <w:rPr>
          <w:rFonts w:ascii="Arial" w:hAnsi="Arial" w:cs="Arial"/>
          <w:bCs/>
          <w:sz w:val="19"/>
          <w:szCs w:val="19"/>
        </w:rPr>
        <w:t xml:space="preserve"> de 2018, Tomo III </w:t>
      </w:r>
    </w:p>
    <w:p w14:paraId="3C4C69DD"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Materia(s): Penal </w:t>
      </w:r>
    </w:p>
    <w:p w14:paraId="5A8609D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Tesis: II.4o.P.8 P (10a.) </w:t>
      </w:r>
    </w:p>
    <w:p w14:paraId="6335678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Página: 2491 </w:t>
      </w:r>
    </w:p>
    <w:p w14:paraId="12D1BD1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SECUESTRO. LOS LUGARES UBICADOS EN LAS ZONAS POBLADAS NO PUEDEN CONSIDERARSE COMO "CAMINO PÚBLICO" O "LUGAR DESPROTEGIDO O SOLITARIO" PARA LA ACTUALIZACIÓN DE LA AGRAVANTE DE ESTE DELITO PREVISTA EN EL ARTÍCULO 10, FRACCIÓN I, INCISO A), DE LA LEY GENERAL PARA PREVENIR Y SANCIONAR LOS DELITOS EN MATERIA DE SECUESTRO.</w:t>
      </w:r>
    </w:p>
    <w:p w14:paraId="1350491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El artículo, fracción, e inciso mencionados establecen que las penas previstas en el artículo 9 de la Ley General para Prevenir y Sancionar los Delitos en Materia de Secuestro, Reglamentaria de la fracción XXI del Artículo 73 de la Constitución Política de los Estados Unidos Mexicanos, se agravarán, entre otros casos, cuando la privación de la libertad se realice en camino público, o en lugar desprotegido o solitario. Luego, para dar contenido a la locución "camino público" debe tenerse en cuenta, en primer lugar, el concepto previsto en el artículo 165 del Código Penal Federal, aplicable supletoriamente a la ley general citada, conforme al artículo 2, párrafo primero, de esta última, que dispone que es la vía de tránsito habitualmente destinada al uso público, sea quien fuere el propietario y cualquiera que sea el medio de locomoción que se permita y las dimensiones que tuviere; excluyendo los tramos que se hallen dentro de los límites de las poblaciones y, en segundo, que los lugares desprotegidos o solitarios son sitios distintos a aquellos en los que existen asentamientos humanos a los que se denomina "poblaciones". Por consiguiente, los lugares ubicados en las zonas pobladas no pueden considerarse como tales, porque para ello, el hecho ilícito debió cometerse fuera de los límites de una demarcación geográfica, justo porque las zonas despobladas generan un mayor grado de vulnerabilidad para la víctima y un ambiente propicio para facilitar la ejecución del propio evento delictivo, pues la conducta así desplegada tiende a superar o apartar los obstáculos para la comisión delictiva.</w:t>
      </w:r>
    </w:p>
    <w:p w14:paraId="0A11BFF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CUARTO TRIBUNAL COLEGIADO EN MATERIA PENAL DEL SEGUNDO CIRCUITO.</w:t>
      </w:r>
    </w:p>
    <w:p w14:paraId="65FF40AC"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Amparo directo 176/2017. 26 de marzo de 2018. Unanimidad de votos. Ponente: Mauricio Torres Martínez. Secretaria: </w:t>
      </w:r>
    </w:p>
    <w:p w14:paraId="6E2987DE" w14:textId="77777777" w:rsidR="00A53DFB" w:rsidRPr="000977D6" w:rsidRDefault="00A53DFB" w:rsidP="002C2E43">
      <w:pPr>
        <w:spacing w:after="0" w:line="240" w:lineRule="auto"/>
        <w:ind w:right="-64"/>
        <w:jc w:val="both"/>
        <w:rPr>
          <w:rFonts w:ascii="Arial" w:hAnsi="Arial" w:cs="Arial"/>
          <w:bCs/>
          <w:sz w:val="19"/>
          <w:szCs w:val="19"/>
        </w:rPr>
      </w:pPr>
    </w:p>
    <w:p w14:paraId="4A4E541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Época: Décima Época </w:t>
      </w:r>
    </w:p>
    <w:p w14:paraId="39FE087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Registro: 2016601 </w:t>
      </w:r>
    </w:p>
    <w:p w14:paraId="6198C4C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Instancia: Plenos de Circuito </w:t>
      </w:r>
    </w:p>
    <w:p w14:paraId="3CC2F66B"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Tipo de Tesis: Jurisprudencia </w:t>
      </w:r>
    </w:p>
    <w:p w14:paraId="1E7429B6"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Fuente: Gaceta del Semanario Judicial de la Federación </w:t>
      </w:r>
    </w:p>
    <w:p w14:paraId="6970DF7D"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Libro 53, </w:t>
      </w:r>
      <w:proofErr w:type="gramStart"/>
      <w:r w:rsidRPr="000977D6">
        <w:rPr>
          <w:rFonts w:ascii="Arial" w:hAnsi="Arial" w:cs="Arial"/>
          <w:bCs/>
          <w:sz w:val="19"/>
          <w:szCs w:val="19"/>
        </w:rPr>
        <w:t>Abril</w:t>
      </w:r>
      <w:proofErr w:type="gramEnd"/>
      <w:r w:rsidRPr="000977D6">
        <w:rPr>
          <w:rFonts w:ascii="Arial" w:hAnsi="Arial" w:cs="Arial"/>
          <w:bCs/>
          <w:sz w:val="19"/>
          <w:szCs w:val="19"/>
        </w:rPr>
        <w:t xml:space="preserve"> de 2018, Tomo II </w:t>
      </w:r>
    </w:p>
    <w:p w14:paraId="2A3ABD57"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Materia(s): Constitucional, Penal </w:t>
      </w:r>
    </w:p>
    <w:p w14:paraId="2A7E80E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Tesis: PC.I.P. J/42 P (10a.) </w:t>
      </w:r>
    </w:p>
    <w:p w14:paraId="52241700"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Página: 1467 </w:t>
      </w:r>
    </w:p>
    <w:p w14:paraId="4D93493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SECUESTRO. LAS AUTORIDADES LOCALES ENCARGADAS DE SU INVESTIGACIÓN, PERSECUCIÓN Y SANCIÓN DEBEN APLICAR EL CÓDIGO PENAL FEDERAL Y NO EL LOCAL, CUANDO ANALICEN ASPECTOS SUSTANTIVOS NO PREVISTOS EN LEY GENERAL PARA PREVENIR Y SANCIONAR LOS DELITOS EN ESA MATERIA (LEGISLACIÓN ANTERIOR A LA REFORMA PUBLICADA EN EL DIARIO OFICIAL DE LA FEDERACIÓN EL 17 DE JUNIO DE 2016).</w:t>
      </w:r>
    </w:p>
    <w:p w14:paraId="266CCA9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Conforme a la fracción XXI del artículo 73 de la Constitución Política de los Estados Unidos Mexicanos, corresponde exclusivamente a la Federación legislar en materia de secuestro, de manera que el Congreso de la Unión desarrolló esta facultad al emitir la Ley General para Prevenir y Sancionar los Delitos en Materia de Secuestro, Reglamentaria de la fracción XXI del artículo 73 de la Constitución Política de los Estados Unidos Mexicanos, en la que estableció los tipos y penas en la materia; de ahí que sólo corresponda a las entidades federativas el conocimiento y la resolución de ese delito, así como la ejecución de sus sanciones, acorde a lo señalado en la propia ley general, lo que implica que, el Congreso, en exclusiva, legislaría sobre los tipos penales y sus sanciones, aunado a que distribuiría o delegaría las facultades a los poderes y órganos de gobierno involucrados en materia de prevención, investigación, persecución y sanción, sobre un sistema de cooperación, coordinación y auxilio recíproco. De esta manera, en el artículo 2, párrafo primero, de la ley general referida, vigente hasta el 17 de junio de 2016, se dispuso que para la investigación, persecución, sanción y todo lo referente al procedimiento serán aplicables el Código Penal Federal, el Código Federal de Procedimientos Penales, la Ley Federal contra la Delincuencia Organizada y los códigos de procedimientos penales de los Estados; esto es, las autoridades locales que conozcan de este tipo de delitos deben aplicar únicamente las disposiciones legales que prevé la referida ley general; y por ende, tratándose de aspectos sustantivos no previstos en ésta, como la forma de comisión del delito, la participación, la causa de exclusión del delito, la individualización de las penas y la suspensión de derechos, entre otros, las autoridades del orden común deben aplicar el Código Penal Federal y no el código penal local, pues de lo contrario, se contravendrían los principios de legalidad y seguridad jurídica del gobernado.</w:t>
      </w:r>
    </w:p>
    <w:p w14:paraId="36A546F2"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PLENO EN MATERIA PENAL DEL PRIMER CIRCUITO.</w:t>
      </w:r>
    </w:p>
    <w:p w14:paraId="7D9F72F3"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Contradicción de tesis 3/2017. 12 de diciembre de 2017. Ponente: Silvia Carrasco Corona. Secretario: Víctor Manuel Ramírez Díaz. </w:t>
      </w:r>
    </w:p>
    <w:p w14:paraId="6909C797" w14:textId="77777777" w:rsidR="00A53DFB" w:rsidRPr="000977D6" w:rsidRDefault="00A53DFB" w:rsidP="002C2E43">
      <w:pPr>
        <w:spacing w:after="0" w:line="240" w:lineRule="auto"/>
        <w:ind w:right="-64"/>
        <w:jc w:val="both"/>
        <w:rPr>
          <w:rFonts w:ascii="Arial" w:hAnsi="Arial" w:cs="Arial"/>
          <w:bCs/>
          <w:sz w:val="19"/>
          <w:szCs w:val="19"/>
        </w:rPr>
      </w:pPr>
    </w:p>
    <w:p w14:paraId="373ADAAD"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Época: Décima Época </w:t>
      </w:r>
    </w:p>
    <w:p w14:paraId="67E3EB1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Registro: 2014021 </w:t>
      </w:r>
    </w:p>
    <w:p w14:paraId="2DC00105"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Instancia: Tribunales Colegiados de Circuito </w:t>
      </w:r>
    </w:p>
    <w:p w14:paraId="39F3E0D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Tipo de Tesis: Jurisprudencia </w:t>
      </w:r>
    </w:p>
    <w:p w14:paraId="5C05E256"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Fuente: Gaceta del Semanario Judicial de la Federación </w:t>
      </w:r>
    </w:p>
    <w:p w14:paraId="68C8E09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Libro 40, </w:t>
      </w:r>
      <w:proofErr w:type="gramStart"/>
      <w:r w:rsidRPr="000977D6">
        <w:rPr>
          <w:rFonts w:ascii="Arial" w:hAnsi="Arial" w:cs="Arial"/>
          <w:bCs/>
          <w:sz w:val="19"/>
          <w:szCs w:val="19"/>
        </w:rPr>
        <w:t>Marzo</w:t>
      </w:r>
      <w:proofErr w:type="gramEnd"/>
      <w:r w:rsidRPr="000977D6">
        <w:rPr>
          <w:rFonts w:ascii="Arial" w:hAnsi="Arial" w:cs="Arial"/>
          <w:bCs/>
          <w:sz w:val="19"/>
          <w:szCs w:val="19"/>
        </w:rPr>
        <w:t xml:space="preserve"> de 2017, Tomo IV </w:t>
      </w:r>
    </w:p>
    <w:p w14:paraId="7D5D21D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lastRenderedPageBreak/>
        <w:t xml:space="preserve">Materia(s): Constitucional, Penal </w:t>
      </w:r>
    </w:p>
    <w:p w14:paraId="78E97579"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Tesis: I.3o.P. J/2 (10a.) </w:t>
      </w:r>
    </w:p>
    <w:p w14:paraId="2F4CA0C3"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Página: 2516 </w:t>
      </w:r>
    </w:p>
    <w:p w14:paraId="29C031C8"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PRIVACIÓN ILEGAL DE LA LIBERTAD (SECUESTRO), REGULADO EN LA LEY GENERAL PARA PREVENIR Y SANCIONAR LOS DELITOS EN MATERIA DE SECUESTRO, REGLAMENTARIA DE LA FRACCIÓN XXI DEL ARTÍCULO 73 DE LA CONSTITUCIÓN POLÍTICA DE LOS ESTADOS UNIDOS MEXICANOS. EN RELACIÓN CON ASPECTOS SUSTANTIVOS DE ESTE DELITO NO PREVISTOS EN DICHA LEY ESPECIAL, LOS JUECES DEL FUERO COMÚN NO DEBEN APLICAR LOS CÓDIGOS PENALES LOCALES, SINO LO ESTABLECIDO EN EL LIBRO PRIMERO DEL CÓDIGO PENAL FEDERAL (LEGISLACIÓN VIGENTE HASTA EL 17 DE JUNIO DE 2016).</w:t>
      </w:r>
    </w:p>
    <w:p w14:paraId="4D42906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El 4 de mayo de 2009 se reformó la fracción XXI del artículo 73 de la Constitución Política de los Estados Unidos Mexicanos y se otorgaron facultades al Congreso de la Unión para que expidiera una ley de carácter general en materia de secuestro, en la que se establecieran como mínimo, los tipos penales y sus sanciones, la distribución de competencias y las formas de coordinación entre la Federación, el Distrito Federal -hoy Ciudad de México-, los Estados y Municipios. Luego, en ejercicio de dichas facultades, se emitió la Ley General para Prevenir y Sancionar los Delitos en Materia de Secuestro, Reglamentaria de la Fracción XXI del Artículo 73 de la Constitución Política de los Estados Unidos Mexicanos, normatividad que además de delimitar los delitos y las sanciones en dicha materia, estableció ámbitos de validez diferenciados donde las autoridades del fuero común deben investigar, perseguir y sancionar aquellos ilícitos que no sean del conocimiento de la Federación; en consonancia, el artículo 2, párrafo primero, de la referida legislación general, vigente hasta el 17 de junio de 2016, dispone que para la investigación, persecución, sanción y todo lo referente al procedimiento serán aplicables el Código Penal Federal, el Código Federal de Procedimientos Penales, la Ley Federal contra la Delincuencia Organizada y los códigos de procedimientos penales de los Estados. En ese orden de ideas, las autoridades locales convocadas a conocer de dicha clase de ilícitos deberán aplicar únicamente los cuerpos normativos que permite esa ley general; consecuentemente, en relación con los aspectos sustantivos no previstos en ésta, como las formas de comisión, participación, causas de exclusión del delito, individualización de las penas, concesión de sustitutivos y suspensión de derechos, entre otros, los Jueces del fuero común no deben aplicar los Códigos Penales locales, sino en estricto cumplimiento al principio de legalidad, de forma supletoria, lo previsto en el Libro Primero del Código Penal Federal pues, debido al carácter especial de la indicada ley reglamentaria, no permite a la autoridad judicial la aplicación de la legislación penal sustantiva local.</w:t>
      </w:r>
    </w:p>
    <w:p w14:paraId="0DABD6C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TERCER TRIBUNAL COLEGIADO EN MATERIA PENAL DEL PRIMER CIRCUITO.</w:t>
      </w:r>
    </w:p>
    <w:p w14:paraId="145C6692"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Amparo directo 341/2015. 25 de agosto de 2016. Unanimidad de votos. Ponente: Ricardo Ojeda Bohórquez. Secretaria: Karina María Refugio Hernández Torres.</w:t>
      </w:r>
    </w:p>
    <w:p w14:paraId="4CDEFA2A" w14:textId="77777777" w:rsidR="00315398" w:rsidRDefault="00315398" w:rsidP="002C2E43">
      <w:pPr>
        <w:spacing w:after="0" w:line="240" w:lineRule="auto"/>
        <w:ind w:right="-64"/>
        <w:jc w:val="both"/>
        <w:rPr>
          <w:rFonts w:ascii="Arial" w:hAnsi="Arial" w:cs="Arial"/>
          <w:bCs/>
          <w:sz w:val="19"/>
          <w:szCs w:val="19"/>
        </w:rPr>
      </w:pPr>
    </w:p>
    <w:p w14:paraId="37D79853" w14:textId="2807C360"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Época: Décima Época </w:t>
      </w:r>
    </w:p>
    <w:p w14:paraId="64FB8536"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Registro: 2013848 </w:t>
      </w:r>
    </w:p>
    <w:p w14:paraId="20325963"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Instancia: Tribunales Colegiados de Circuito </w:t>
      </w:r>
    </w:p>
    <w:p w14:paraId="469BEC9A"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Tipo de Tesis: Aislada </w:t>
      </w:r>
    </w:p>
    <w:p w14:paraId="66D0AE47"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Fuente: Gaceta del Semanario Judicial de la Federación </w:t>
      </w:r>
    </w:p>
    <w:p w14:paraId="6EBACDE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Libro 40, </w:t>
      </w:r>
      <w:proofErr w:type="gramStart"/>
      <w:r w:rsidRPr="000977D6">
        <w:rPr>
          <w:rFonts w:ascii="Arial" w:hAnsi="Arial" w:cs="Arial"/>
          <w:bCs/>
          <w:sz w:val="19"/>
          <w:szCs w:val="19"/>
        </w:rPr>
        <w:t>Marzo</w:t>
      </w:r>
      <w:proofErr w:type="gramEnd"/>
      <w:r w:rsidRPr="000977D6">
        <w:rPr>
          <w:rFonts w:ascii="Arial" w:hAnsi="Arial" w:cs="Arial"/>
          <w:bCs/>
          <w:sz w:val="19"/>
          <w:szCs w:val="19"/>
        </w:rPr>
        <w:t xml:space="preserve"> de 2017, Tomo IV </w:t>
      </w:r>
    </w:p>
    <w:p w14:paraId="0F7B1222"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Materia(s): Penal </w:t>
      </w:r>
    </w:p>
    <w:p w14:paraId="7F7360C3"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Tesis: I.9o.P.135 P (10a.) </w:t>
      </w:r>
    </w:p>
    <w:p w14:paraId="085424CF"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 xml:space="preserve">Página: 2863 </w:t>
      </w:r>
    </w:p>
    <w:p w14:paraId="1F14D85E"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PRISIÓN PREVENTIVA. TRATÁNDOSE DE LOS DELITOS DE DELINCUENCIA ORGANIZADA Y SECUESTRO, ES IMPROCEDENTE ORDENAR SU CESE Y LA IMPOSICIÓN DE UNA MEDIDA CAUTELAR DISTINTA, AUN CUANDO SU DURACIÓN EXCEDIERA DEL PLAZO DE DOS AÑOS, SIN QUE SE HAYA EMITIDO LA SENTENCIA DEFINITIVA CORRESPONDIENTE.</w:t>
      </w:r>
    </w:p>
    <w:p w14:paraId="7DBD4657"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El artículo 1o. de la Constitución Política de los Estados Unidos Mexicanos, en el tema de los derechos humanos, acoge principios importantes y trascendentes, cuyos postulados se rigen favoreciendo en todo tiempo a las personas la protección más amplia. Luego, el principio de convencionalidad implica la obligación de aplicar las disposiciones vigentes en el ordenamiento jurídico, así como en los tratados internacionales de los que el Estado Mexicano sea Parte. Así, en el ámbito de las obligaciones, toda autoridad debe promover, respetar, proteger y garantizar los derechos humanos; no obstante, el propio artículo 1o. y el 29 de la Ley Fundamental señalan restricciones en determinados supuestos a esos derechos humanos, esto cuando la propia Constitución así lo establezca. Por lo que las restricciones constitucionales al goce y su ejercicio de los derechos y libertades prevalecen sobre la norma convencional, sin dar lugar a emprender algún juicio de ponderación posterior. Así, el derecho a la libertad provisional y otras medidas cautelares, como excepción a la prisión preventiva, conforme al artículo 19 constitucional, en los casos de delincuencia organizada y secuestro, constituye un régimen de excepción, que también se contiene en el Código Nacional de Procedimientos Penales, en virtud de lo cual, tratándose de los delitos señalados, es improcedente ordenar el cese de la prisión preventiva y la imposición de una medida cautelar distinta, aun cuando su duración excediera del plazo de dos años, sin que se haya emitido la sentencia definitiva correspondiente; máxime si en el particular, ese exceso se justifica en el ejercicio de defensa del imputado.</w:t>
      </w:r>
    </w:p>
    <w:p w14:paraId="614080A6"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NOVENO TRIBUNAL COLEGIADO EN MATERIA PENAL DEL PRIMER CIRCUITO.</w:t>
      </w:r>
    </w:p>
    <w:p w14:paraId="029442B1" w14:textId="77777777" w:rsidR="00A53DFB" w:rsidRPr="000977D6" w:rsidRDefault="00A53DFB" w:rsidP="002C2E43">
      <w:pPr>
        <w:spacing w:after="0" w:line="240" w:lineRule="auto"/>
        <w:ind w:right="-64"/>
        <w:jc w:val="both"/>
        <w:rPr>
          <w:rFonts w:ascii="Arial" w:hAnsi="Arial" w:cs="Arial"/>
          <w:bCs/>
          <w:sz w:val="19"/>
          <w:szCs w:val="19"/>
        </w:rPr>
      </w:pPr>
      <w:r w:rsidRPr="000977D6">
        <w:rPr>
          <w:rFonts w:ascii="Arial" w:hAnsi="Arial" w:cs="Arial"/>
          <w:bCs/>
          <w:sz w:val="19"/>
          <w:szCs w:val="19"/>
        </w:rPr>
        <w:t>Amparo en revisión 271/2016. 27 de diciembre de 2016. Unanimidad de votos. Ponente: Miguel Ángel Aguilar López. Secretaria: Ma. de los Ángeles Baños Rojas.</w:t>
      </w:r>
    </w:p>
    <w:p w14:paraId="0CCF2060" w14:textId="77777777" w:rsidR="00A53DFB" w:rsidRPr="000977D6" w:rsidRDefault="00A53DFB" w:rsidP="002C2E43">
      <w:pPr>
        <w:spacing w:after="0" w:line="240" w:lineRule="auto"/>
        <w:ind w:right="-64"/>
        <w:jc w:val="both"/>
        <w:rPr>
          <w:rFonts w:ascii="Arial" w:hAnsi="Arial" w:cs="Arial"/>
          <w:bCs/>
          <w:sz w:val="19"/>
          <w:szCs w:val="19"/>
        </w:rPr>
      </w:pPr>
    </w:p>
    <w:p w14:paraId="7CB2CD60" w14:textId="15BD08AD" w:rsidR="009A0843" w:rsidRPr="000977D6" w:rsidRDefault="009A0843" w:rsidP="002C2E43">
      <w:pPr>
        <w:pStyle w:val="Normal0"/>
        <w:ind w:right="-64"/>
        <w:jc w:val="both"/>
        <w:rPr>
          <w:sz w:val="19"/>
          <w:szCs w:val="19"/>
        </w:rPr>
      </w:pPr>
    </w:p>
    <w:sectPr w:rsidR="009A0843" w:rsidRPr="000977D6" w:rsidSect="00CF3644">
      <w:headerReference w:type="default" r:id="rId6"/>
      <w:pgSz w:w="12240" w:h="15840" w:code="1"/>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FF072" w14:textId="77777777" w:rsidR="00865C0B" w:rsidRDefault="00865C0B" w:rsidP="000A4C1D">
      <w:pPr>
        <w:spacing w:after="0" w:line="240" w:lineRule="auto"/>
      </w:pPr>
      <w:r>
        <w:separator/>
      </w:r>
    </w:p>
  </w:endnote>
  <w:endnote w:type="continuationSeparator" w:id="0">
    <w:p w14:paraId="01E16ECC" w14:textId="77777777" w:rsidR="00865C0B" w:rsidRDefault="00865C0B" w:rsidP="000A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FC42D" w14:textId="77777777" w:rsidR="00865C0B" w:rsidRDefault="00865C0B" w:rsidP="000A4C1D">
      <w:pPr>
        <w:spacing w:after="0" w:line="240" w:lineRule="auto"/>
      </w:pPr>
      <w:r>
        <w:separator/>
      </w:r>
    </w:p>
  </w:footnote>
  <w:footnote w:type="continuationSeparator" w:id="0">
    <w:p w14:paraId="46E73A11" w14:textId="77777777" w:rsidR="00865C0B" w:rsidRDefault="00865C0B" w:rsidP="000A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2425"/>
      <w:docPartObj>
        <w:docPartGallery w:val="Page Numbers (Top of Page)"/>
        <w:docPartUnique/>
      </w:docPartObj>
    </w:sdtPr>
    <w:sdtEndPr/>
    <w:sdtContent>
      <w:p w14:paraId="55CE77EA" w14:textId="77777777" w:rsidR="000A4C1D" w:rsidRDefault="00A74DD9" w:rsidP="00A223CE">
        <w:pPr>
          <w:pStyle w:val="Encabezado"/>
          <w:ind w:right="-64"/>
          <w:jc w:val="right"/>
        </w:pPr>
        <w:r>
          <w:fldChar w:fldCharType="begin"/>
        </w:r>
        <w:r>
          <w:instrText xml:space="preserve"> PAGE   \* MERGEFORMAT </w:instrText>
        </w:r>
        <w:r>
          <w:fldChar w:fldCharType="separate"/>
        </w:r>
        <w:r w:rsidR="00655ED9">
          <w:rPr>
            <w:noProof/>
          </w:rPr>
          <w:t>8</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1134"/>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E4"/>
    <w:rsid w:val="00010703"/>
    <w:rsid w:val="000977D6"/>
    <w:rsid w:val="000A4C1D"/>
    <w:rsid w:val="000C24FA"/>
    <w:rsid w:val="000C6A93"/>
    <w:rsid w:val="000E3F39"/>
    <w:rsid w:val="000E6EAC"/>
    <w:rsid w:val="000E728E"/>
    <w:rsid w:val="00111604"/>
    <w:rsid w:val="00114EDE"/>
    <w:rsid w:val="00127028"/>
    <w:rsid w:val="00145F4B"/>
    <w:rsid w:val="001A4E76"/>
    <w:rsid w:val="001C336F"/>
    <w:rsid w:val="002961CF"/>
    <w:rsid w:val="002A3173"/>
    <w:rsid w:val="002B5D68"/>
    <w:rsid w:val="002C2E43"/>
    <w:rsid w:val="002E179B"/>
    <w:rsid w:val="00307D63"/>
    <w:rsid w:val="00315398"/>
    <w:rsid w:val="003156E8"/>
    <w:rsid w:val="00351C6D"/>
    <w:rsid w:val="00362720"/>
    <w:rsid w:val="00391FCB"/>
    <w:rsid w:val="00402B78"/>
    <w:rsid w:val="00402B7A"/>
    <w:rsid w:val="00403897"/>
    <w:rsid w:val="00410163"/>
    <w:rsid w:val="004256A0"/>
    <w:rsid w:val="00460973"/>
    <w:rsid w:val="00481043"/>
    <w:rsid w:val="004A5B9F"/>
    <w:rsid w:val="005161DB"/>
    <w:rsid w:val="0052652E"/>
    <w:rsid w:val="005412B1"/>
    <w:rsid w:val="00546988"/>
    <w:rsid w:val="005876F3"/>
    <w:rsid w:val="00594738"/>
    <w:rsid w:val="005B48B4"/>
    <w:rsid w:val="00614A44"/>
    <w:rsid w:val="00617A4D"/>
    <w:rsid w:val="00624D9E"/>
    <w:rsid w:val="006333BE"/>
    <w:rsid w:val="00655ED9"/>
    <w:rsid w:val="00667CEC"/>
    <w:rsid w:val="0069187E"/>
    <w:rsid w:val="006950AE"/>
    <w:rsid w:val="006965E8"/>
    <w:rsid w:val="006B7F4D"/>
    <w:rsid w:val="006D3358"/>
    <w:rsid w:val="006D3FA0"/>
    <w:rsid w:val="00711C49"/>
    <w:rsid w:val="00777FB1"/>
    <w:rsid w:val="007802AF"/>
    <w:rsid w:val="00790EC9"/>
    <w:rsid w:val="007B4074"/>
    <w:rsid w:val="007D3728"/>
    <w:rsid w:val="007D6C38"/>
    <w:rsid w:val="007F1D2D"/>
    <w:rsid w:val="007F26B5"/>
    <w:rsid w:val="00837E01"/>
    <w:rsid w:val="008419A7"/>
    <w:rsid w:val="00850D0F"/>
    <w:rsid w:val="00865C0B"/>
    <w:rsid w:val="00867481"/>
    <w:rsid w:val="00882598"/>
    <w:rsid w:val="00892C4E"/>
    <w:rsid w:val="008F1ADC"/>
    <w:rsid w:val="009016CB"/>
    <w:rsid w:val="0094434F"/>
    <w:rsid w:val="00963A44"/>
    <w:rsid w:val="009772C6"/>
    <w:rsid w:val="009A0843"/>
    <w:rsid w:val="009C420B"/>
    <w:rsid w:val="009C4E84"/>
    <w:rsid w:val="009D3D8F"/>
    <w:rsid w:val="009F1186"/>
    <w:rsid w:val="00A05D2A"/>
    <w:rsid w:val="00A223CE"/>
    <w:rsid w:val="00A42E3A"/>
    <w:rsid w:val="00A53DFB"/>
    <w:rsid w:val="00A74DD9"/>
    <w:rsid w:val="00AA5994"/>
    <w:rsid w:val="00B13F41"/>
    <w:rsid w:val="00B3414E"/>
    <w:rsid w:val="00B50DF3"/>
    <w:rsid w:val="00B752DF"/>
    <w:rsid w:val="00B940E1"/>
    <w:rsid w:val="00BB3211"/>
    <w:rsid w:val="00BD133A"/>
    <w:rsid w:val="00C61B55"/>
    <w:rsid w:val="00C703A1"/>
    <w:rsid w:val="00CF3644"/>
    <w:rsid w:val="00D1051F"/>
    <w:rsid w:val="00D824CD"/>
    <w:rsid w:val="00D920E4"/>
    <w:rsid w:val="00DA2114"/>
    <w:rsid w:val="00DB52E8"/>
    <w:rsid w:val="00DC11F4"/>
    <w:rsid w:val="00DC155B"/>
    <w:rsid w:val="00DD308E"/>
    <w:rsid w:val="00E20F41"/>
    <w:rsid w:val="00EB46C4"/>
    <w:rsid w:val="00EE6627"/>
    <w:rsid w:val="00F1259E"/>
    <w:rsid w:val="00F3214B"/>
    <w:rsid w:val="00F71216"/>
    <w:rsid w:val="00FA17B3"/>
    <w:rsid w:val="00FA7809"/>
    <w:rsid w:val="00FD76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DEAECF"/>
  <w15:docId w15:val="{CFD27B56-06BC-4CF5-9472-6A8770EF2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A4D"/>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617A4D"/>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uiPriority w:val="99"/>
    <w:semiHidden/>
    <w:unhideWhenUsed/>
    <w:rsid w:val="002961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61CF"/>
    <w:rPr>
      <w:rFonts w:ascii="Tahoma" w:hAnsi="Tahoma" w:cs="Tahoma"/>
      <w:sz w:val="16"/>
      <w:szCs w:val="16"/>
    </w:rPr>
  </w:style>
  <w:style w:type="paragraph" w:styleId="Encabezado">
    <w:name w:val="header"/>
    <w:basedOn w:val="Normal"/>
    <w:link w:val="EncabezadoCar"/>
    <w:uiPriority w:val="99"/>
    <w:unhideWhenUsed/>
    <w:rsid w:val="000A4C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4C1D"/>
    <w:rPr>
      <w:sz w:val="22"/>
      <w:szCs w:val="22"/>
    </w:rPr>
  </w:style>
  <w:style w:type="paragraph" w:styleId="Piedepgina">
    <w:name w:val="footer"/>
    <w:basedOn w:val="Normal"/>
    <w:link w:val="PiedepginaCar"/>
    <w:uiPriority w:val="99"/>
    <w:semiHidden/>
    <w:unhideWhenUsed/>
    <w:rsid w:val="000A4C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A4C1D"/>
    <w:rPr>
      <w:sz w:val="22"/>
      <w:szCs w:val="22"/>
    </w:rPr>
  </w:style>
  <w:style w:type="character" w:styleId="Hipervnculo">
    <w:name w:val="Hyperlink"/>
    <w:basedOn w:val="Fuentedeprrafopredeter"/>
    <w:uiPriority w:val="99"/>
    <w:semiHidden/>
    <w:unhideWhenUsed/>
    <w:rsid w:val="00351C6D"/>
    <w:rPr>
      <w:color w:val="0033CC"/>
      <w:u w:val="single"/>
    </w:rPr>
  </w:style>
  <w:style w:type="paragraph" w:styleId="NormalWeb">
    <w:name w:val="Normal (Web)"/>
    <w:basedOn w:val="Normal"/>
    <w:uiPriority w:val="99"/>
    <w:semiHidden/>
    <w:unhideWhenUsed/>
    <w:rsid w:val="00351C6D"/>
    <w:pPr>
      <w:spacing w:before="100" w:beforeAutospacing="1" w:after="100" w:afterAutospacing="1" w:line="240" w:lineRule="auto"/>
    </w:pPr>
    <w:rPr>
      <w:rFonts w:ascii="Times New Roman" w:hAnsi="Times New Roman"/>
      <w:color w:val="000000"/>
      <w:sz w:val="24"/>
      <w:szCs w:val="24"/>
    </w:rPr>
  </w:style>
  <w:style w:type="character" w:styleId="Textoennegrita">
    <w:name w:val="Strong"/>
    <w:basedOn w:val="Fuentedeprrafopredeter"/>
    <w:uiPriority w:val="22"/>
    <w:qFormat/>
    <w:rsid w:val="00FA17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5099</Words>
  <Characters>28048</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calvaradoa</dc:creator>
  <cp:lastModifiedBy>ELIZABETH LOPEZ GARCIA</cp:lastModifiedBy>
  <cp:revision>5</cp:revision>
  <cp:lastPrinted>2020-03-06T19:16:00Z</cp:lastPrinted>
  <dcterms:created xsi:type="dcterms:W3CDTF">2021-05-06T01:02:00Z</dcterms:created>
  <dcterms:modified xsi:type="dcterms:W3CDTF">2021-06-25T19:26:00Z</dcterms:modified>
</cp:coreProperties>
</file>