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29108" w14:textId="1D49CA72" w:rsidR="00E73D63" w:rsidRPr="00E73D63" w:rsidRDefault="00B115A0" w:rsidP="00E73D63">
      <w:pPr>
        <w:jc w:val="center"/>
        <w:rPr>
          <w:rFonts w:ascii="Arial" w:eastAsia="Arial" w:hAnsi="Arial" w:cs="Arial"/>
          <w:b/>
          <w:sz w:val="20"/>
          <w:szCs w:val="20"/>
        </w:rPr>
      </w:pPr>
      <w:bookmarkStart w:id="0" w:name="_heading=h.gjdgxs" w:colFirst="0" w:colLast="0"/>
      <w:bookmarkEnd w:id="0"/>
      <w:r>
        <w:rPr>
          <w:rFonts w:ascii="Arial" w:eastAsia="Arial" w:hAnsi="Arial" w:cs="Arial"/>
          <w:b/>
          <w:sz w:val="20"/>
          <w:szCs w:val="20"/>
        </w:rPr>
        <w:t>DELITO DE VIOLACIÓN</w:t>
      </w:r>
    </w:p>
    <w:p w14:paraId="0152C24B"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Registro digital: 2022621</w:t>
      </w:r>
    </w:p>
    <w:p w14:paraId="5EF4575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Instancia: Tribunales Colegiados de Circuito</w:t>
      </w:r>
    </w:p>
    <w:p w14:paraId="5EC68E6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Décima Época</w:t>
      </w:r>
    </w:p>
    <w:p w14:paraId="0250D6EA"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Materias(s): Penal</w:t>
      </w:r>
    </w:p>
    <w:p w14:paraId="725180E8"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Tesis: XI.P.45 P (10a.)</w:t>
      </w:r>
    </w:p>
    <w:p w14:paraId="3BCB437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Fuente: Gaceta del Semanario Judicial de la Federación. Libro 82, </w:t>
      </w:r>
      <w:proofErr w:type="gramStart"/>
      <w:r w:rsidRPr="00E73D63">
        <w:rPr>
          <w:rFonts w:ascii="Arial" w:eastAsia="Arial" w:hAnsi="Arial" w:cs="Arial"/>
          <w:sz w:val="20"/>
          <w:szCs w:val="20"/>
        </w:rPr>
        <w:t>Enero</w:t>
      </w:r>
      <w:proofErr w:type="gramEnd"/>
      <w:r w:rsidRPr="00E73D63">
        <w:rPr>
          <w:rFonts w:ascii="Arial" w:eastAsia="Arial" w:hAnsi="Arial" w:cs="Arial"/>
          <w:sz w:val="20"/>
          <w:szCs w:val="20"/>
        </w:rPr>
        <w:t xml:space="preserve"> de 2021, Tomo II, página 1375</w:t>
      </w:r>
    </w:p>
    <w:p w14:paraId="7FE6F387"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Tipo: Aislada</w:t>
      </w:r>
    </w:p>
    <w:p w14:paraId="5A198C0F"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VIOLACIÓN EQUIPARADA, EN LAS HIPÓTESIS DE REALIZAR CÓPULA CON PERSONA QUE NO TENGA CAPACIDAD PARA COMPRENDER EL SIGNIFICADO DEL HECHO O POR CUALQUIER CAUSA NO PUEDA RESISTIRLO, CUYA VÍCTIMA NO SEA MENOR DE 18 AÑOS. AL NO ESTAR SEÑALADA EXPRESAMENTE LA PENA PARA ESTE DELITO –POR OMISIÓN LEGISLATIVA–, DEBE APLICARSE LA PREVISTA PARA EL DE VIOLACIÓN GENÉRICA, AL SER LA MÁS FAVORABLE AL SENTENCIADO (LEGISLACIÓN DEL ESTADO DE MICHOACÁN).</w:t>
      </w:r>
    </w:p>
    <w:p w14:paraId="211F0BC5"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Tratándose del delito de violación equiparada, previsto en el artículo 165, fracción I, del Código Penal para el Estado de Michoacán de Ocampo, en las hipótesis de realizar cópula con persona que no tenga capacidad para comprender el significado del hecho o por cualquier causa no pueda resistirlo, y sancionado por el diverso 164, párrafo primero, de la legislación sustantiva en comento, cuyo parámetro de punibilidad es de cinco a quince años de prisión para el delito de violación genérica y de diez a veinte años de cárcel para la modalidad agravada, es decir, cuando la víctima sea menor de dieciocho años, el juzgador al momento de imponer la sanción que corresponda, en cumplimiento al principio de exacta aplicación de la ley penal previsto en el artículo 14 de la Constitución General de la República, y ante la omisión del legislador de establecer en la norma penal que describe el delito de violación equiparada en las hipótesis en mención, la sanción a imponer cuando la víctima no sea menor de dieciocho años, debe optar por la pena prevista para el delito de violación genérica, al ser la que le resulta más favorable al reo.</w:t>
      </w:r>
    </w:p>
    <w:p w14:paraId="3F1342C2"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TRIBUNAL COLEGIADO EN MATERIA PENAL DEL DÉCIMO PRIMER CIRCUITO.</w:t>
      </w:r>
    </w:p>
    <w:p w14:paraId="60F4DD2C"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Amparo directo 175/2019. 24 de septiembre de 2020. Unanimidad de votos. Ponente: José Valle Hernández. Secretario: Guadalupe Antonio Velasco Jaramillo.</w:t>
      </w:r>
    </w:p>
    <w:p w14:paraId="7D4DF35C" w14:textId="1A909139" w:rsidR="00E73D63" w:rsidRDefault="00E73D63" w:rsidP="00E73D63">
      <w:pPr>
        <w:jc w:val="both"/>
        <w:rPr>
          <w:rFonts w:ascii="Arial" w:eastAsia="Arial" w:hAnsi="Arial" w:cs="Arial"/>
          <w:sz w:val="20"/>
          <w:szCs w:val="20"/>
        </w:rPr>
      </w:pPr>
      <w:r w:rsidRPr="00E73D63">
        <w:rPr>
          <w:rFonts w:ascii="Arial" w:eastAsia="Arial" w:hAnsi="Arial" w:cs="Arial"/>
          <w:sz w:val="20"/>
          <w:szCs w:val="20"/>
        </w:rPr>
        <w:t>Esta tesis se publicó el viernes 08 de enero de 2021 a las 10:09 horas en el Semanario Judicial de la Federación.</w:t>
      </w:r>
    </w:p>
    <w:p w14:paraId="371FFDD7" w14:textId="6159FB8B" w:rsidR="00E73D63" w:rsidRDefault="00E73D63" w:rsidP="00E73D63">
      <w:pPr>
        <w:jc w:val="both"/>
        <w:rPr>
          <w:rFonts w:ascii="Arial" w:eastAsia="Arial" w:hAnsi="Arial" w:cs="Arial"/>
          <w:sz w:val="20"/>
          <w:szCs w:val="20"/>
        </w:rPr>
      </w:pPr>
    </w:p>
    <w:p w14:paraId="1A808E02"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Registro digital: 2022557</w:t>
      </w:r>
    </w:p>
    <w:p w14:paraId="50D4B3F3"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Instancia: Tribunales Colegiados de Circuito</w:t>
      </w:r>
    </w:p>
    <w:p w14:paraId="0B084739"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Décima Época</w:t>
      </w:r>
    </w:p>
    <w:p w14:paraId="57A1164B"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Materias(s): Constitucional, Penal</w:t>
      </w:r>
    </w:p>
    <w:p w14:paraId="59E12B1D"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Tesis: I.9o.P.288 P (10a.)</w:t>
      </w:r>
    </w:p>
    <w:p w14:paraId="2E3FD8A5"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Fuente: Gaceta del Semanario Judicial de la Federación. Libro 81, </w:t>
      </w:r>
      <w:proofErr w:type="gramStart"/>
      <w:r w:rsidRPr="00E73D63">
        <w:rPr>
          <w:rFonts w:ascii="Arial" w:eastAsia="Arial" w:hAnsi="Arial" w:cs="Arial"/>
          <w:sz w:val="20"/>
          <w:szCs w:val="20"/>
        </w:rPr>
        <w:t>Diciembre</w:t>
      </w:r>
      <w:proofErr w:type="gramEnd"/>
      <w:r w:rsidRPr="00E73D63">
        <w:rPr>
          <w:rFonts w:ascii="Arial" w:eastAsia="Arial" w:hAnsi="Arial" w:cs="Arial"/>
          <w:sz w:val="20"/>
          <w:szCs w:val="20"/>
        </w:rPr>
        <w:t xml:space="preserve"> de 2020, Tomo II, página 1671</w:t>
      </w:r>
    </w:p>
    <w:p w14:paraId="6266F50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Tipo: Aislada</w:t>
      </w:r>
    </w:p>
    <w:p w14:paraId="22D1F0A5"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DELITO DE VIOLACIÓN. EL ARTÍCULO 265 DEL CÓDIGO PENAL FEDERAL QUE LO PREVÉ, NO VULNERA LOS DERECHOS HUMANOS DE IGUALDAD ENTRE EL VARÓN Y LA MUJER, Y NO DISCRIMINACIÓN ANTE LA LEY, PREVISTOS EN EL ARTÍCULO 4o. DE LA CONSTITUCIÓN GENERAL.</w:t>
      </w:r>
    </w:p>
    <w:p w14:paraId="6B09B624"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Hechos: El quejoso reclamó la inconstitucionalidad del artículo 265 del Código Penal Federal, por vulnerar el artículo 4o. constitucional, que garantiza la igualdad del varón y la mujer ante la ley, ya que el tipo penal de violación que prevé dicho precepto solamente va dirigido –por cuanto a la calidad del sujeto activo–, al hombre, razón por la cual, se le discrimina por razón de género por el solo hecho de ser varón, lo que produce que se le menoscaben sus derechos.</w:t>
      </w:r>
    </w:p>
    <w:p w14:paraId="6E9D78DD"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Criterio jurídico: Este órgano colegiado determina que el artículo 265 del Código Penal Federal es constitucional, ya que no vulnera los derechos humanos de igualdad entre el varón y la mujer, y no discriminación ante la ley, establecidos en el artículo 4o. de la Constitución General, pues la calidad de sujeto activo en el delito en estudio no está dirigida a un género específico.</w:t>
      </w:r>
    </w:p>
    <w:p w14:paraId="2A32A4CE"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Justificación: Lo anterior, en virtud de que conforme a la tesis aislada 1a. CLXXVI/2012 (10a.), de la Primera Sala de la Suprema Corte de Justicia de la Nación, el artículo 4o. de la Constitución Política de los Estados Unidos Mexicanos, que dispone el derecho humano a la igualdad entre el varón y la mujer, establece una prohibición para el legislador de discriminar por razón de género, esto es, frente a la ley deben ser tratados por igual, es decir, busca garantizar la igualdad de oportunidades para que la mujer intervenga activamente en la vida social, económica, política y jurídica del país, sin distinción alguna por causa de su sexo, dada su calidad de persona; y también comprende la igualdad con el varón en el ejercicio de sus derechos y en el cumplimiento de responsabilidades. Así, el marco jurídico relativo a este derecho humano desde la perspectiva convencional del sistema </w:t>
      </w:r>
      <w:proofErr w:type="gramStart"/>
      <w:r w:rsidRPr="00E73D63">
        <w:rPr>
          <w:rFonts w:ascii="Arial" w:eastAsia="Arial" w:hAnsi="Arial" w:cs="Arial"/>
          <w:sz w:val="20"/>
          <w:szCs w:val="20"/>
        </w:rPr>
        <w:t>universal,</w:t>
      </w:r>
      <w:proofErr w:type="gramEnd"/>
      <w:r w:rsidRPr="00E73D63">
        <w:rPr>
          <w:rFonts w:ascii="Arial" w:eastAsia="Arial" w:hAnsi="Arial" w:cs="Arial"/>
          <w:sz w:val="20"/>
          <w:szCs w:val="20"/>
        </w:rPr>
        <w:t xml:space="preserve"> comprende los artículos 1 y 2 de la Declaración Universal de los Derechos Humanos, así como 2, 3 y 26 del Pacto Internacional de Derechos Civiles y Políticos; y desde el sistema convencional interamericano destacan el Preámbulo y el artículo II de la Declaración Americana de los Derechos y Deberes del Hombre, así como 1 y 24 de la Convención Americana sobre Derechos Humanos. De este modo, del tipo penal en estudio, se advierte que la calidad de sujeto activo la adquiere la persona que impone la cópula a otra, ya sea doblegando su voluntad al ejercer sobre ella violencia física o moral, con independencia de la mecánica en que ocurra, esto es, que el activo introduzca su miembro viril, o cualquier elemento o instrumento distinto a éste en el cuerpo de la víctima, por alguna de las cavidades que describen las normas. Entonces, la disposición normativa no restringe a determinado sexo o género </w:t>
      </w:r>
      <w:r w:rsidRPr="00E73D63">
        <w:rPr>
          <w:rFonts w:ascii="Arial" w:eastAsia="Arial" w:hAnsi="Arial" w:cs="Arial"/>
          <w:sz w:val="20"/>
          <w:szCs w:val="20"/>
        </w:rPr>
        <w:lastRenderedPageBreak/>
        <w:t>la calidad de sujeto activo del delito, ya que la expresión "Al que" y "Quien" son pronombres relativos que se entienden neutros, dado que sólo identifican a la persona hipotética que materializa la conducta típica. Asimismo, la definición del elemento normativo "cópula", tampoco limita a determinado sexo la condición del sujeto activo, pues la acción que describe "la introducción del miembro viril, cualquier elemento o instrumento distinto al miembro viril, en el cuerpo de la víctima por vía vaginal, anal u oral, independientemente de su sexo", no constituye el núcleo del tipo, dado que no es la simple introducción del miembro viril o cualquier instrumento en alguna de las cavidades del pasivo o del activo que describe la norma, sino los determinados medios empleados o las circunstancias particulares que concurren en el sujeto pasivo los que imprimen relieve antijurídico y significación típica a la conducta.</w:t>
      </w:r>
    </w:p>
    <w:p w14:paraId="73E949AD"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NOVENO TRIBUNAL COLEGIADO EN MATERIA PENAL DEL PRIMER CIRCUITO.</w:t>
      </w:r>
    </w:p>
    <w:p w14:paraId="57BC5FB1"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Amparo directo 40/2020. 3 de septiembre de 2020. Unanimidad de votos. Ponente: Daniel Guzmán Aguado, secretario de tribunal autorizado por la Comisión de Carrera Judicial del Consejo de la Judicatura Federal para desempeñar las funciones de Magistrado. Secretario: Hugo Morales de la Rosa.</w:t>
      </w:r>
    </w:p>
    <w:p w14:paraId="70AFEE3A"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Nota: Esta tesis refleja un criterio firme sustentado por un Tribunal Colegiado de Circuito al resolver un juicio de amparo directo, por lo que atendiendo a la tesis P. LX/98, publicada en el Semanario Judicial de la Federación y su Gaceta, Novena Época, Tomo VIII, septiembre de 1998, página 56, con número de registro digital: 195528, de rubro: "TRIBUNALES COLEGIADOS DE CIRCUITO. AUNQUE LAS CONSIDERACIONES SOBRE CONSTITUCIONALIDAD DE LEYES QUE EFECTÚAN EN LOS JUICIOS DE AMPARO DIRECTO, NO SON APTAS PARA INTEGRAR JURISPRUDENCIA, RESULTA ÚTIL LA PUBLICACIÓN DE LOS CRITERIOS.", no es obligatorio ni apto para integrar jurisprudencia.</w:t>
      </w:r>
    </w:p>
    <w:p w14:paraId="28531A9D"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La tesis aislada 1a. CLXXVI/2012 (10a.) citada, integró la jurisprudencia 1a./J. 30/2017 (10a.), de título y subtítulo: "DERECHO HUMANO A LA IGUALDAD ENTRE EL VARÓN Y LA MUJER. SU ALCANCE CONFORME A LO PREVISTO EN EL ARTÍCULO 4o. DE LA CONSTITUCIÓN POLÍTICA DE LOS ESTADOS UNIDOS MEXICANOS Y EN LOS TRATADOS INTERNACIONALES.", publicada en el Semanario Judicial de la Federación del viernes 21 de abril de 2017 a las 10:25 horas y en la Gaceta del Semanario Judicial de la Federación, Décima Época, Libro 41, Tomo I, abril de 2017, página 789, con número de registro digital: 2014099.</w:t>
      </w:r>
    </w:p>
    <w:p w14:paraId="5413E68D" w14:textId="41E0E90E" w:rsidR="00E73D63" w:rsidRDefault="00E73D63" w:rsidP="00E73D63">
      <w:pPr>
        <w:jc w:val="both"/>
        <w:rPr>
          <w:rFonts w:ascii="Arial" w:eastAsia="Arial" w:hAnsi="Arial" w:cs="Arial"/>
          <w:sz w:val="20"/>
          <w:szCs w:val="20"/>
        </w:rPr>
      </w:pPr>
      <w:r w:rsidRPr="00E73D63">
        <w:rPr>
          <w:rFonts w:ascii="Arial" w:eastAsia="Arial" w:hAnsi="Arial" w:cs="Arial"/>
          <w:sz w:val="20"/>
          <w:szCs w:val="20"/>
        </w:rPr>
        <w:t>Esta tesis se publicó el viernes 11 de diciembre de 2020 a las 10:23 horas en el Semanario Judicial de la Federación.</w:t>
      </w:r>
    </w:p>
    <w:p w14:paraId="52377F11" w14:textId="77777777" w:rsidR="00E73D63" w:rsidRDefault="00E73D63" w:rsidP="00E73D63">
      <w:pPr>
        <w:jc w:val="both"/>
        <w:rPr>
          <w:rFonts w:ascii="Arial" w:eastAsia="Arial" w:hAnsi="Arial" w:cs="Arial"/>
          <w:sz w:val="20"/>
          <w:szCs w:val="20"/>
        </w:rPr>
      </w:pPr>
    </w:p>
    <w:p w14:paraId="7189ECEB" w14:textId="4DD07C25"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Registro digital: 2018867</w:t>
      </w:r>
    </w:p>
    <w:p w14:paraId="5352F0CD"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Instancia: Primera Sala</w:t>
      </w:r>
    </w:p>
    <w:p w14:paraId="2FECC503"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Décima Época</w:t>
      </w:r>
    </w:p>
    <w:p w14:paraId="294EC415"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Materias(s): Constitucional, Penal</w:t>
      </w:r>
    </w:p>
    <w:p w14:paraId="4DC511C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Tesis: 1a. CCXLIX/2018 (10a.)</w:t>
      </w:r>
    </w:p>
    <w:p w14:paraId="1C46CE77"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Fuente: Gaceta del Semanario Judicial de la Federación. Libro 61, </w:t>
      </w:r>
      <w:proofErr w:type="gramStart"/>
      <w:r w:rsidRPr="00E73D63">
        <w:rPr>
          <w:rFonts w:ascii="Arial" w:eastAsia="Arial" w:hAnsi="Arial" w:cs="Arial"/>
          <w:sz w:val="20"/>
          <w:szCs w:val="20"/>
        </w:rPr>
        <w:t>Diciembre</w:t>
      </w:r>
      <w:proofErr w:type="gramEnd"/>
      <w:r w:rsidRPr="00E73D63">
        <w:rPr>
          <w:rFonts w:ascii="Arial" w:eastAsia="Arial" w:hAnsi="Arial" w:cs="Arial"/>
          <w:sz w:val="20"/>
          <w:szCs w:val="20"/>
        </w:rPr>
        <w:t xml:space="preserve"> de 2018, Tomo I, página 469</w:t>
      </w:r>
    </w:p>
    <w:p w14:paraId="636B6B4B"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Tipo: Aislada</w:t>
      </w:r>
    </w:p>
    <w:p w14:paraId="2B0001B3"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VIOLACIÓN. EL ARTÍCULO 274, FRACCIÓN VI, DEL CÓDIGO PENAL DEL ESTADO DE MÉXICO, NO TRANSGREDE EL PRINCIPIO DE EXACTA APLICACIÓN DE LA LEY EN MATERIA PENAL, EN SU VERTIENTE DE TAXATIVIDAD. </w:t>
      </w:r>
    </w:p>
    <w:p w14:paraId="3A4E079F"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El precepto citado, al prever que son circunstancias que modifican el delito de violación el hecho de que el ofendido tenga alguna discapacidad que limite las actividades de su vida diaria e impida su desarrollo individual y social, no transgrede el principio de exacta aplicación de la ley en materia penal, en su vertiente de taxatividad, contenido en el artículo 14 de la Constitución Política de los Estados Unidos Mexicanos, aun cuando no precise qué tipo de discapacidades actualizarían la modificativa agravante en ese delito, pues la acepción gramatical de la palabra "discapacidad" hace referencia a aquellas personas que tienen alguna deficiencia de carácter físico, mental, intelectual o sensorial. En este sentido, la falta de precisión de dicho concepto por parte del legislador, no conlleva la inconstitucionalidad del artículo 274, fracción VI, del Código Penal del Estado de México, ya que si no hizo esa precisión es porque conforme al inciso e) del Preámbulo de la Convención sobre los Derechos de las Personas con Discapacidad, la discapacidad es un concepto que evoluciona y que resulta de la interacción de las personas con deficiencia y las barreras debidas a la actitud y al entorno que evitan su participación plena y efectiva en la sociedad, en igualdad de condiciones con los demás y, por tanto, sería imposible enlistarlas; de ahí que corresponderá al órgano investigador del delito acreditar qué tipo de barreras, en su interacción con cuál deficiencia, genera la discapacidad.</w:t>
      </w:r>
    </w:p>
    <w:p w14:paraId="187176DB" w14:textId="7F1DCF08"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Amparo directo en revisión 5176/2017. 18 de abril de 2018. Cinco votos de los </w:t>
      </w:r>
      <w:proofErr w:type="gramStart"/>
      <w:r w:rsidRPr="00E73D63">
        <w:rPr>
          <w:rFonts w:ascii="Arial" w:eastAsia="Arial" w:hAnsi="Arial" w:cs="Arial"/>
          <w:sz w:val="20"/>
          <w:szCs w:val="20"/>
        </w:rPr>
        <w:t>Ministros</w:t>
      </w:r>
      <w:proofErr w:type="gramEnd"/>
      <w:r w:rsidRPr="00E73D63">
        <w:rPr>
          <w:rFonts w:ascii="Arial" w:eastAsia="Arial" w:hAnsi="Arial" w:cs="Arial"/>
          <w:sz w:val="20"/>
          <w:szCs w:val="20"/>
        </w:rPr>
        <w:t xml:space="preserve"> Arturo Zaldívar Lelo de Larrea, José Ramón Cossío Díaz, Jorge Mario Pardo Rebolledo, Alfredo Gutiérrez Ortiz Mena y Norma Lucía Piña Hernández. Ponente: José Ramón Cossío Díaz. Secretario: Gabino González Santos. </w:t>
      </w:r>
    </w:p>
    <w:p w14:paraId="53E971DF"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Esta tesis se publicó el viernes 07 de diciembre de 2018 a las </w:t>
      </w:r>
      <w:proofErr w:type="gramStart"/>
      <w:r w:rsidRPr="00E73D63">
        <w:rPr>
          <w:rFonts w:ascii="Arial" w:eastAsia="Arial" w:hAnsi="Arial" w:cs="Arial"/>
          <w:sz w:val="20"/>
          <w:szCs w:val="20"/>
        </w:rPr>
        <w:t>10:19  horas</w:t>
      </w:r>
      <w:proofErr w:type="gramEnd"/>
      <w:r w:rsidRPr="00E73D63">
        <w:rPr>
          <w:rFonts w:ascii="Arial" w:eastAsia="Arial" w:hAnsi="Arial" w:cs="Arial"/>
          <w:sz w:val="20"/>
          <w:szCs w:val="20"/>
        </w:rPr>
        <w:t xml:space="preserve">  en el Semanario Judicial de la Federación.</w:t>
      </w:r>
    </w:p>
    <w:p w14:paraId="3DC253D6" w14:textId="77777777" w:rsidR="00E73D63" w:rsidRPr="00E73D63" w:rsidRDefault="00E73D63" w:rsidP="00E73D63">
      <w:pPr>
        <w:jc w:val="both"/>
        <w:rPr>
          <w:rFonts w:ascii="Arial" w:eastAsia="Arial" w:hAnsi="Arial" w:cs="Arial"/>
          <w:sz w:val="20"/>
          <w:szCs w:val="20"/>
        </w:rPr>
      </w:pPr>
    </w:p>
    <w:p w14:paraId="63171667"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Registro digital: 2020228</w:t>
      </w:r>
    </w:p>
    <w:p w14:paraId="07C34935"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Instancia: Tribunales Colegiados de Circuito</w:t>
      </w:r>
    </w:p>
    <w:p w14:paraId="69DC3D49"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Décima Época</w:t>
      </w:r>
    </w:p>
    <w:p w14:paraId="4127FADA"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Materias(s): Penal</w:t>
      </w:r>
    </w:p>
    <w:p w14:paraId="35CF5529"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Tesis: XXII.P.A.58 P (10a.)</w:t>
      </w:r>
    </w:p>
    <w:p w14:paraId="6E02E92C"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Fuente: Gaceta del Semanario Judicial de la Federación. Libro 67, </w:t>
      </w:r>
      <w:proofErr w:type="gramStart"/>
      <w:r w:rsidRPr="00E73D63">
        <w:rPr>
          <w:rFonts w:ascii="Arial" w:eastAsia="Arial" w:hAnsi="Arial" w:cs="Arial"/>
          <w:sz w:val="20"/>
          <w:szCs w:val="20"/>
        </w:rPr>
        <w:t>Junio</w:t>
      </w:r>
      <w:proofErr w:type="gramEnd"/>
      <w:r w:rsidRPr="00E73D63">
        <w:rPr>
          <w:rFonts w:ascii="Arial" w:eastAsia="Arial" w:hAnsi="Arial" w:cs="Arial"/>
          <w:sz w:val="20"/>
          <w:szCs w:val="20"/>
        </w:rPr>
        <w:t xml:space="preserve"> de 2019, Tomo VI, página 5390</w:t>
      </w:r>
    </w:p>
    <w:p w14:paraId="00B830AE"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Tipo: Aislada</w:t>
      </w:r>
    </w:p>
    <w:p w14:paraId="353021B5"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lastRenderedPageBreak/>
        <w:t>VIOLACIÓN EQUIPARADA. PARA LA CONFIGURACIÓN DE ESTE DELITO, EL JUEZ NO DEBE REALIZAR EXPRESIONES Y PREJUZGAR SOBRE LA VIDA SEXUAL ANTERIOR DE LA VÍCTIMA Y SU CONSENTIMIENTO CON EL HECHO ILÍCITO, SINO ANALIZAR QUE AL MOMENTO DE SU COMISIÓN AQUÉLLA ERA MENOR DE EDAD Y QUE NO ESTUVO EN POSIBILIDAD DE RESISTIR ESA CONDUCTA (LEGISLACIÓN DEL ESTADO DE QUERÉTARO VIGENTE HASTA EL 23 DE OCTUBRE DE 2009).</w:t>
      </w:r>
    </w:p>
    <w:p w14:paraId="515BA72D" w14:textId="21777705"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El delito de violación equiparada previsto y sancionado por el artículo 161 del Código Penal para el Estado de Querétaro, vigente hasta el 23 de octubre de 2009, se integra por los siguientes elementos: a) la existencia de una acción de cópula, b) que esa acción se lleve a cabo sin violencia, y c) que fuera con persona que por cualquier causa no pueda resistir la conducta delictuosa. Por ello, en relación con el tercer elemento integrante del delito, resulta indispensable precisar que en ese tipo de asuntos, las autoridades jurisdiccionales deben abstenerse de realizar expresiones y prejuzgar sobre la vida sexual anterior de la víctima del delito y su consentimiento, toda vez que no es posible que se conduzca con libre albedrío respecto a su conducta sexual, en atención a la falta de desarrollo físico y mental, ya que al realizar esas expresiones se atribuyen a la víctima características de una persona mayor de dieciocho años de edad, cuando lo que debe analizarse es que al momento de la comisión del ilícito de violación equiparada, la víctima era menor de doce años, y que no estuvo en posibilidad de resistir la conducta delictiva que se le impuso, pues esa circunstancia es lo que torna equiparada la conducta delictiva.</w:t>
      </w:r>
    </w:p>
    <w:p w14:paraId="44295069"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TRIBUNAL COLEGIADO EN MATERIAS PENAL Y ADMINISTRATIVA DEL VIGÉSIMO SEGUNDO CIRCUITO.</w:t>
      </w:r>
    </w:p>
    <w:p w14:paraId="7FFEB33E"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Amparo directo 251/2018. 4 de enero de 2019. Unanimidad de votos. Ponente: Luis Almazán Barrera. Secretario: Roberto Jaime Nieto </w:t>
      </w:r>
      <w:proofErr w:type="spellStart"/>
      <w:r w:rsidRPr="00E73D63">
        <w:rPr>
          <w:rFonts w:ascii="Arial" w:eastAsia="Arial" w:hAnsi="Arial" w:cs="Arial"/>
          <w:sz w:val="20"/>
          <w:szCs w:val="20"/>
        </w:rPr>
        <w:t>Arreygue</w:t>
      </w:r>
      <w:proofErr w:type="spellEnd"/>
      <w:r w:rsidRPr="00E73D63">
        <w:rPr>
          <w:rFonts w:ascii="Arial" w:eastAsia="Arial" w:hAnsi="Arial" w:cs="Arial"/>
          <w:sz w:val="20"/>
          <w:szCs w:val="20"/>
        </w:rPr>
        <w:t>.</w:t>
      </w:r>
    </w:p>
    <w:p w14:paraId="692F4F53"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Esta tesis se publicó el viernes 28 de junio de 2019 a las </w:t>
      </w:r>
      <w:proofErr w:type="gramStart"/>
      <w:r w:rsidRPr="00E73D63">
        <w:rPr>
          <w:rFonts w:ascii="Arial" w:eastAsia="Arial" w:hAnsi="Arial" w:cs="Arial"/>
          <w:sz w:val="20"/>
          <w:szCs w:val="20"/>
        </w:rPr>
        <w:t>10:34  horas</w:t>
      </w:r>
      <w:proofErr w:type="gramEnd"/>
      <w:r w:rsidRPr="00E73D63">
        <w:rPr>
          <w:rFonts w:ascii="Arial" w:eastAsia="Arial" w:hAnsi="Arial" w:cs="Arial"/>
          <w:sz w:val="20"/>
          <w:szCs w:val="20"/>
        </w:rPr>
        <w:t xml:space="preserve">  en el Semanario Judicial de la Federación.</w:t>
      </w:r>
    </w:p>
    <w:p w14:paraId="57032274" w14:textId="77777777" w:rsidR="00E73D63" w:rsidRPr="00E73D63" w:rsidRDefault="00E73D63" w:rsidP="00E73D63">
      <w:pPr>
        <w:jc w:val="both"/>
        <w:rPr>
          <w:rFonts w:ascii="Arial" w:eastAsia="Arial" w:hAnsi="Arial" w:cs="Arial"/>
          <w:sz w:val="20"/>
          <w:szCs w:val="20"/>
        </w:rPr>
      </w:pPr>
    </w:p>
    <w:p w14:paraId="2E4DAD49"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Registro digital: 2020433</w:t>
      </w:r>
    </w:p>
    <w:p w14:paraId="74FD87A2"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Instancia: Tribunales Colegiados de Circuito</w:t>
      </w:r>
    </w:p>
    <w:p w14:paraId="3D4941F2"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Décima Época</w:t>
      </w:r>
    </w:p>
    <w:p w14:paraId="3E73B09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Materias(s): Penal</w:t>
      </w:r>
    </w:p>
    <w:p w14:paraId="7749615F"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Tesis: II.2o.P.85 P (10a.)</w:t>
      </w:r>
    </w:p>
    <w:p w14:paraId="55296A47"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Fuente: Gaceta del Semanario Judicial de la Federación. Libro 69, </w:t>
      </w:r>
      <w:proofErr w:type="gramStart"/>
      <w:r w:rsidRPr="00E73D63">
        <w:rPr>
          <w:rFonts w:ascii="Arial" w:eastAsia="Arial" w:hAnsi="Arial" w:cs="Arial"/>
          <w:sz w:val="20"/>
          <w:szCs w:val="20"/>
        </w:rPr>
        <w:t>Agosto</w:t>
      </w:r>
      <w:proofErr w:type="gramEnd"/>
      <w:r w:rsidRPr="00E73D63">
        <w:rPr>
          <w:rFonts w:ascii="Arial" w:eastAsia="Arial" w:hAnsi="Arial" w:cs="Arial"/>
          <w:sz w:val="20"/>
          <w:szCs w:val="20"/>
        </w:rPr>
        <w:t xml:space="preserve"> de 2019, Tomo IV, página 4679</w:t>
      </w:r>
    </w:p>
    <w:p w14:paraId="30DF0DDF"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Tipo: Aislada</w:t>
      </w:r>
    </w:p>
    <w:p w14:paraId="7823E2F3"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VIOLACIÓN EQUIPARADA. NO SE ACTUALIZA EL CONCURSO REAL DE DELITOS CUANDO UN MISMO SUJETO ACTIVO COMETE ACTOS COPULATORIOS, REALIZADOS EN DISTINTO TIEMPO, CONTRA UNA MENOR DE EDAD, SI SE ACREDITA QUE EN ESOS ACTOS PREDOMINÓ UNA RELACIÓN AFECTIVA ENTRE AMBOS, CON EL CONSENTIMIENTO DE LA PASIVO Y ÁNIMO DE VIVIR EN PAREJA (LEGISLACIÓN DEL ESTADO DE MÉXICO).</w:t>
      </w:r>
    </w:p>
    <w:p w14:paraId="3F68505D" w14:textId="68B922C3"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La Primera Sala de la Suprema Corte de Justicia de la Nación, en la jurisprudencia 1a./J. 24/2011, de rubro: "VIOLACIÓN. SE ACTUALIZA EL CONCURSO REAL HOMOGÉNEO DE DELITOS CUANDO UN MISMO SUJETO ACTIVO COMETE DOS O MÁS ILÍCITOS IGUALES EN CONTRA DEL MISMO PASIVO, REALIZADOS EN DISTINTO TIEMPO (ARTÍCULOS 182 Y 183 DEL CÓDIGO PENAL PARA EL ESTADO DE VERACRUZ, ANTES DE SU REFORMA Y REUBICACIÓN, PUBLICADA EL DOS DE ABRIL DE 2010).", sostuvo que en el delito de violación se actualiza el concurso real homogéneo de delitos cuando un mismo sujeto activo comete dos o más ilícitos iguales en contra del mismo pasivo, realizados en distinto tiempo. Asimismo, al resolver la contradicción de tesis 397/2010, de la que derivó la tesis mencionada, estableció que constituye una excepción al criterio anterior, cuando en un solo hecho de violación, el activo impone la cópula </w:t>
      </w:r>
      <w:proofErr w:type="gramStart"/>
      <w:r w:rsidRPr="00E73D63">
        <w:rPr>
          <w:rFonts w:ascii="Arial" w:eastAsia="Arial" w:hAnsi="Arial" w:cs="Arial"/>
          <w:sz w:val="20"/>
          <w:szCs w:val="20"/>
        </w:rPr>
        <w:t>a la pasivo</w:t>
      </w:r>
      <w:proofErr w:type="gramEnd"/>
      <w:r w:rsidRPr="00E73D63">
        <w:rPr>
          <w:rFonts w:ascii="Arial" w:eastAsia="Arial" w:hAnsi="Arial" w:cs="Arial"/>
          <w:sz w:val="20"/>
          <w:szCs w:val="20"/>
        </w:rPr>
        <w:t xml:space="preserve"> por más de una vía, con continuidad temporal y sin que hayan cesado los medios comisivos, pues en ese supuesto se actualiza un solo hecho violento (sexual) contra la misma víctima. De ahí que puede establecerse, como una diversa excepción a dicho criterio, el supuesto de </w:t>
      </w:r>
      <w:proofErr w:type="gramStart"/>
      <w:r w:rsidRPr="00E73D63">
        <w:rPr>
          <w:rFonts w:ascii="Arial" w:eastAsia="Arial" w:hAnsi="Arial" w:cs="Arial"/>
          <w:sz w:val="20"/>
          <w:szCs w:val="20"/>
        </w:rPr>
        <w:t>que</w:t>
      </w:r>
      <w:proofErr w:type="gramEnd"/>
      <w:r w:rsidRPr="00E73D63">
        <w:rPr>
          <w:rFonts w:ascii="Arial" w:eastAsia="Arial" w:hAnsi="Arial" w:cs="Arial"/>
          <w:sz w:val="20"/>
          <w:szCs w:val="20"/>
        </w:rPr>
        <w:t xml:space="preserve"> en los actos copulatorios, eventuales o autónomos, predominó una relación afectiva entre ambos sujetos sobre el válido consentimiento de la pasivo, de minoría de edad específica. Así, al individualizar la pena del delito de violación equiparada, conforme al artículo 57 del Código Penal del Estado de México, en relación con el diverso 8, fracción V, del mismo código, el juzgador debe atender a la unidad de resolución del delito de violación equiparada, precisamente, porque en los hechos ilícitos, concretos o distintos entre sí, predominó la relación sentimental o afectiva sobre la pasivo con interés manifiesto de sostener encuentros sexuales de los que describe la norma aplicable. De tal manera que, la sanción penal se concrete en atender la lesión jurídica que produjo el imputado al imponer la cópula a la pasivo, con minoría de edad específica, conforme a los parámetros de la pena prevista en el párrafo primero del artículo 273 del código mencionado, siempre que no se actualice el motivo excepcional de extinción de la acción penal o la pena, previsto en el cuarto párrafo de ese precepto, pues la reiteración de cópula entre los sujetos implicados constituye una relación de continuidad de fines de permanencia, emanada de la propia relación afectiva probada con ánimo de vivir en pareja y no una reproducción de actos homogéneos e independientes sancionables como concurso real de delitos; por tanto, ese supuesto constituye una excepción específica.</w:t>
      </w:r>
    </w:p>
    <w:p w14:paraId="1FDFE7F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SEGUNDO TRIBUNAL COLEGIADO EN MATERIA PENAL DEL SEGUNDO CIRCUITO.</w:t>
      </w:r>
    </w:p>
    <w:p w14:paraId="652A8C9D" w14:textId="13D379B9"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Amparo directo 245/2018. 23 de mayo de 2019. Unanimidad de votos. Ponente: Andrés Pérez Lozano. Secretario: Guillermo Pérez García.</w:t>
      </w:r>
    </w:p>
    <w:p w14:paraId="2C615274"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Nota: La tesis de jurisprudencia 1a./J. 24/2011 y la parte conducente de la ejecutoria relativa a la contradicción de tesis 397/2010 citadas, aparecen publicadas en el Semanario Judicial de la Federación y su Gaceta, Novena Época, Tomo XXXIII, mayo de 2011, páginas 179 y </w:t>
      </w:r>
      <w:proofErr w:type="gramStart"/>
      <w:r w:rsidRPr="00E73D63">
        <w:rPr>
          <w:rFonts w:ascii="Arial" w:eastAsia="Arial" w:hAnsi="Arial" w:cs="Arial"/>
          <w:sz w:val="20"/>
          <w:szCs w:val="20"/>
        </w:rPr>
        <w:t>180,  registros</w:t>
      </w:r>
      <w:proofErr w:type="gramEnd"/>
      <w:r w:rsidRPr="00E73D63">
        <w:rPr>
          <w:rFonts w:ascii="Arial" w:eastAsia="Arial" w:hAnsi="Arial" w:cs="Arial"/>
          <w:sz w:val="20"/>
          <w:szCs w:val="20"/>
        </w:rPr>
        <w:t xml:space="preserve"> digitales: 161932 y 22886, respectivamente.</w:t>
      </w:r>
    </w:p>
    <w:p w14:paraId="2CA509CD"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lastRenderedPageBreak/>
        <w:t xml:space="preserve">Esta tesis se publicó el viernes 16 de agosto de 2019 a las </w:t>
      </w:r>
      <w:proofErr w:type="gramStart"/>
      <w:r w:rsidRPr="00E73D63">
        <w:rPr>
          <w:rFonts w:ascii="Arial" w:eastAsia="Arial" w:hAnsi="Arial" w:cs="Arial"/>
          <w:sz w:val="20"/>
          <w:szCs w:val="20"/>
        </w:rPr>
        <w:t>10:24  horas</w:t>
      </w:r>
      <w:proofErr w:type="gramEnd"/>
      <w:r w:rsidRPr="00E73D63">
        <w:rPr>
          <w:rFonts w:ascii="Arial" w:eastAsia="Arial" w:hAnsi="Arial" w:cs="Arial"/>
          <w:sz w:val="20"/>
          <w:szCs w:val="20"/>
        </w:rPr>
        <w:t xml:space="preserve">  en el Semanario Judicial de la Federación.</w:t>
      </w:r>
    </w:p>
    <w:p w14:paraId="5275D942" w14:textId="77777777" w:rsidR="00E73D63" w:rsidRPr="00E73D63" w:rsidRDefault="00E73D63" w:rsidP="00E73D63">
      <w:pPr>
        <w:jc w:val="both"/>
        <w:rPr>
          <w:rFonts w:ascii="Arial" w:eastAsia="Arial" w:hAnsi="Arial" w:cs="Arial"/>
          <w:sz w:val="20"/>
          <w:szCs w:val="20"/>
        </w:rPr>
      </w:pPr>
    </w:p>
    <w:p w14:paraId="0E1CA66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Registro digital: 2020975</w:t>
      </w:r>
    </w:p>
    <w:p w14:paraId="7C276BD7"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Instancia: Primera Sala</w:t>
      </w:r>
    </w:p>
    <w:p w14:paraId="0F61157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Décima Época</w:t>
      </w:r>
    </w:p>
    <w:p w14:paraId="1A8026C2"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Materias(s): Penal</w:t>
      </w:r>
    </w:p>
    <w:p w14:paraId="415B956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Tesis: 1a. XCVI/2019 (10a.)</w:t>
      </w:r>
    </w:p>
    <w:p w14:paraId="717E66DA"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Fuente: Gaceta del Semanario Judicial de la Federación. Libro 72, </w:t>
      </w:r>
      <w:proofErr w:type="gramStart"/>
      <w:r w:rsidRPr="00E73D63">
        <w:rPr>
          <w:rFonts w:ascii="Arial" w:eastAsia="Arial" w:hAnsi="Arial" w:cs="Arial"/>
          <w:sz w:val="20"/>
          <w:szCs w:val="20"/>
        </w:rPr>
        <w:t>Noviembre</w:t>
      </w:r>
      <w:proofErr w:type="gramEnd"/>
      <w:r w:rsidRPr="00E73D63">
        <w:rPr>
          <w:rFonts w:ascii="Arial" w:eastAsia="Arial" w:hAnsi="Arial" w:cs="Arial"/>
          <w:sz w:val="20"/>
          <w:szCs w:val="20"/>
        </w:rPr>
        <w:t xml:space="preserve"> de 2019, Tomo I, página 374</w:t>
      </w:r>
    </w:p>
    <w:p w14:paraId="193CB761"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Tipo: Aislada</w:t>
      </w:r>
    </w:p>
    <w:p w14:paraId="4953B338"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INCAPACIDAD DE RESISTENCIA O AUSENCIA DE COMPRENSIÓN. SON DESCARTADAS COMO MUESTRA DE CONSENTIMIENTO EN EL DELITO DE VIOLACIÓN EQUIPARADA (ARTÍCULO 175 DEL CÓDIGO PENAL DEL DISTRITO FEDERAL, APLICABLE PARA LA CIUDAD DE MÉXICO).</w:t>
      </w:r>
    </w:p>
    <w:p w14:paraId="2B0F40EA"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La norma penal que describe la violación sexual equiparada no requiere que se someta a la víctima con la fuerza física o que se le neutralice con amenazas como sí lo requiere el tipo penal básico, sino que reprocha el aprovechamiento que hace el sujeto activo de ciertas circunstancias que impiden la producción voluntaria de una decisión respecto a la participación del sujeto pasivo en la cópula, sea porque le es inexigible jurídicamente oponerse a ésta, sea porque la víctima no tiene la habilidad o capacidad para comprender lo que está ocurriendo. El sometimiento a la cópula que, en esas circunstancias, no se puede resistir o no se puede comprender –y en esa medida, hace innecesario el uso de la violencia física o moral– es descartado por el injusto penal equiparado como muestra de consentimiento. Pues cuando el legislador secundario adopta esta figura típica, entiende que consentir es decidir lo que se quiere o se acepta a partir de opciones, circunstancias y valoraciones, cuando se tiene conocimiento de las consecuencias o, por lo menos, puede presumirse razonablemente que se tienen las habilidades cognitivas necesarias para entenderlas, dado aquello que se decide y el momento en que se decide. Así, las personas menores de cierta edad pueden “querer” o “aceptar” la conducta sexual, pero no consentirla. Así, las personas con discapacidad, permanente o temporal, considerando el carácter, grado y contexto de su discapacidad resienten, pero no consienten, la actividad sexual para la cual no han expresado su voluntad. Algo muy similar ocurre con las personas inconscientes o cuasi inconscientes. Así, las personas que se encuentran presionadas, intimidadas o coaccionadas por un entorno o relaciones de franca dominación pueden padecer o tolerar la agresión sexual, pero no la consienten. Respecto de las personas con discapacidad, conviene aclarar </w:t>
      </w:r>
      <w:proofErr w:type="gramStart"/>
      <w:r w:rsidRPr="00E73D63">
        <w:rPr>
          <w:rFonts w:ascii="Arial" w:eastAsia="Arial" w:hAnsi="Arial" w:cs="Arial"/>
          <w:sz w:val="20"/>
          <w:szCs w:val="20"/>
        </w:rPr>
        <w:t>que</w:t>
      </w:r>
      <w:proofErr w:type="gramEnd"/>
      <w:r w:rsidRPr="00E73D63">
        <w:rPr>
          <w:rFonts w:ascii="Arial" w:eastAsia="Arial" w:hAnsi="Arial" w:cs="Arial"/>
          <w:sz w:val="20"/>
          <w:szCs w:val="20"/>
        </w:rPr>
        <w:t xml:space="preserve"> de acuerdo con la Convención sobre los Derechos de las Personas con Discapacidad, las personas con discapacidad deben ser respetadas en su diversidad, su dignidad inherente y su autonomía individual. Además, su libertad para tomar decisiones debe ser garantizada, incluido su derecho a expresar su voluntad y preferencias. Estos derechos claramente abarcan la expresión consentida y feliz de la propia sexualidad. Por eso, la capacidad de consentir la actividad sexual de las personas con discapacidad debe protegerse, pero no descartarse a priori sin mirar el grado y contexto de la discapacidad, así como las circunstancias específicas de la conducta sexual de que se trate.</w:t>
      </w:r>
    </w:p>
    <w:p w14:paraId="033A151F"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Amparo directo en revisión 1260/2016. 28 de septiembre de 2016. Mayoría de cuatro votos de los </w:t>
      </w:r>
      <w:proofErr w:type="gramStart"/>
      <w:r w:rsidRPr="00E73D63">
        <w:rPr>
          <w:rFonts w:ascii="Arial" w:eastAsia="Arial" w:hAnsi="Arial" w:cs="Arial"/>
          <w:sz w:val="20"/>
          <w:szCs w:val="20"/>
        </w:rPr>
        <w:t>Ministros</w:t>
      </w:r>
      <w:proofErr w:type="gramEnd"/>
      <w:r w:rsidRPr="00E73D63">
        <w:rPr>
          <w:rFonts w:ascii="Arial" w:eastAsia="Arial" w:hAnsi="Arial" w:cs="Arial"/>
          <w:sz w:val="20"/>
          <w:szCs w:val="20"/>
        </w:rPr>
        <w:t xml:space="preserve"> Arturo Zaldívar Lelo de Larrea, quien se reservó su derecho para formular voto concurrente, José Ramón Cossío Díaz, Jorge Mario Pardo Rebolledo, quien formuló voto concurrente y Alfredo Gutiérrez Ortiz Mena. Disidente: Norma Lucía Piña Hernández, quien votó en contra al considerar que el recurso sólo procedía por la inconstitucionalidad de leyes, lo que no afecta al criterio contenido en esta tesis. Ponente: Alfredo Gutiérrez Ortiz Mena. Secretaria: M.G. Adriana Ortega Ortiz.</w:t>
      </w:r>
    </w:p>
    <w:p w14:paraId="6648FE02"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Esta tesis se publicó el viernes 08 de noviembre de 2019 a las </w:t>
      </w:r>
      <w:proofErr w:type="gramStart"/>
      <w:r w:rsidRPr="00E73D63">
        <w:rPr>
          <w:rFonts w:ascii="Arial" w:eastAsia="Arial" w:hAnsi="Arial" w:cs="Arial"/>
          <w:sz w:val="20"/>
          <w:szCs w:val="20"/>
        </w:rPr>
        <w:t>10:19  horas</w:t>
      </w:r>
      <w:proofErr w:type="gramEnd"/>
      <w:r w:rsidRPr="00E73D63">
        <w:rPr>
          <w:rFonts w:ascii="Arial" w:eastAsia="Arial" w:hAnsi="Arial" w:cs="Arial"/>
          <w:sz w:val="20"/>
          <w:szCs w:val="20"/>
        </w:rPr>
        <w:t xml:space="preserve">  en el Semanario Judicial de la Federación.</w:t>
      </w:r>
    </w:p>
    <w:p w14:paraId="194571F7" w14:textId="77777777" w:rsidR="00E73D63" w:rsidRPr="00E73D63" w:rsidRDefault="00E73D63" w:rsidP="00E73D63">
      <w:pPr>
        <w:jc w:val="both"/>
        <w:rPr>
          <w:rFonts w:ascii="Arial" w:eastAsia="Arial" w:hAnsi="Arial" w:cs="Arial"/>
          <w:sz w:val="20"/>
          <w:szCs w:val="20"/>
        </w:rPr>
      </w:pPr>
    </w:p>
    <w:p w14:paraId="1831D60B"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Registro digital: 2021018</w:t>
      </w:r>
    </w:p>
    <w:p w14:paraId="4AED1825"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Instancia: Primera Sala</w:t>
      </w:r>
    </w:p>
    <w:p w14:paraId="04C42D78"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Décima Época</w:t>
      </w:r>
    </w:p>
    <w:p w14:paraId="751108E4"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Materias(s): Penal</w:t>
      </w:r>
    </w:p>
    <w:p w14:paraId="298F0ACA"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Tesis: 1a. XCV/2019 (10a.)</w:t>
      </w:r>
    </w:p>
    <w:p w14:paraId="6F9DB9E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Fuente: Gaceta del Semanario Judicial de la Federación. Libro 72, </w:t>
      </w:r>
      <w:proofErr w:type="gramStart"/>
      <w:r w:rsidRPr="00E73D63">
        <w:rPr>
          <w:rFonts w:ascii="Arial" w:eastAsia="Arial" w:hAnsi="Arial" w:cs="Arial"/>
          <w:sz w:val="20"/>
          <w:szCs w:val="20"/>
        </w:rPr>
        <w:t>Noviembre</w:t>
      </w:r>
      <w:proofErr w:type="gramEnd"/>
      <w:r w:rsidRPr="00E73D63">
        <w:rPr>
          <w:rFonts w:ascii="Arial" w:eastAsia="Arial" w:hAnsi="Arial" w:cs="Arial"/>
          <w:sz w:val="20"/>
          <w:szCs w:val="20"/>
        </w:rPr>
        <w:t xml:space="preserve"> de 2019, Tomo I, página 379</w:t>
      </w:r>
    </w:p>
    <w:p w14:paraId="10F0C60E"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Tipo: Aislada</w:t>
      </w:r>
    </w:p>
    <w:p w14:paraId="7FEACE57"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VIOLACIÓN EQUIPARADA PREVISTA EN EL ARTÍCULO 175 DEL CÓDIGO PENAL PARA EL DISTRITO FEDERAL, APLICABLE PARA LA CIUDAD DE MÉXICO. LA CALIFICATIVA DE VIOLENCIA FÍSICA O MORAL NO ES UNA CLAÚSULA DE DOBLE PUNICIÓN.</w:t>
      </w:r>
    </w:p>
    <w:p w14:paraId="6DFAD5D7"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El consentimiento pleno y válido de quienes participan en una cierta actividad sexual es un elemento fundamental para el respeto, la protección y la garantía de la libertad y seguridad sexuales. Por tanto, el Estado asume la obligación –incluso recurriendo a su poder coactivo– de proteger que dicho consentimiento sea la regla en el actuar sexual. Así, guarda relación proporcional, instrumental y razonable con el bien jurídicamente tutelado el hecho de que el legislador haya reconocido que la violación equiparada –como conducta que atenta contra la libertad sexual– pueda consumarse empleando medios comisivos distintos a la violencia física o moral, para hacerse cargo de aquellas circunstancias objetivas y subjetivas que hacen innecesario el uso de tales formas de violencia para someter a la víctima e imponerle la cópula. Luego, es también razonable que aumentase el grado de reproche penal a quien traspasa el mero aprovechamiento de esas circunstancias para obrar, además, de forma violenta, y, en consecuencia, agravara la pena, por recurrir al ejercicio de la violencia física o moral en la imposición de la cópula, a quien ya estaba en aptitud y ocasión de lesionar el bien jurídicamente tutelado. </w:t>
      </w:r>
      <w:r w:rsidRPr="00E73D63">
        <w:rPr>
          <w:rFonts w:ascii="Arial" w:eastAsia="Arial" w:hAnsi="Arial" w:cs="Arial"/>
          <w:sz w:val="20"/>
          <w:szCs w:val="20"/>
        </w:rPr>
        <w:lastRenderedPageBreak/>
        <w:t>Por tanto, es constitucionalmente válida la inclusión del uso de la violencia, física o moral, como una circunstancia calificativa del delito de violación equiparada, sin que esto implique una transgresión de los principios constitucionales de exacta aplicación de la ley penal y de que ninguna persona será juzgada dos veces por el mismo delito, o la misma conducta.</w:t>
      </w:r>
    </w:p>
    <w:p w14:paraId="4AEA8B39"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Amparo directo en revisión 1260/2016. 28 de septiembre de 2016. Mayoría de cuatro votos de los </w:t>
      </w:r>
      <w:proofErr w:type="gramStart"/>
      <w:r w:rsidRPr="00E73D63">
        <w:rPr>
          <w:rFonts w:ascii="Arial" w:eastAsia="Arial" w:hAnsi="Arial" w:cs="Arial"/>
          <w:sz w:val="20"/>
          <w:szCs w:val="20"/>
        </w:rPr>
        <w:t>Ministros</w:t>
      </w:r>
      <w:proofErr w:type="gramEnd"/>
      <w:r w:rsidRPr="00E73D63">
        <w:rPr>
          <w:rFonts w:ascii="Arial" w:eastAsia="Arial" w:hAnsi="Arial" w:cs="Arial"/>
          <w:sz w:val="20"/>
          <w:szCs w:val="20"/>
        </w:rPr>
        <w:t xml:space="preserve"> Arturo Zaldívar Lelo de Larrea, quien reservó su derecho para formular voto concurrente, José Ramón Cossío Díaz, Jorge Mario Pardo Rebolledo, quien formuló voto concurrente, y Alfredo Gutiérrez Ortiz Mena. Disidente: Norma Lucía Piña Hernández, quien votó en contra al considerar que el recurso sólo procedía por la inconstitucionalidad de leyes, lo que no afecta al criterio contenido en esta tesis. Ponente: Alfredo Gutiérrez Ortiz Mena. Secretaria: M.G. Adriana Ortega Ortiz.</w:t>
      </w:r>
    </w:p>
    <w:p w14:paraId="22EBD5C3"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Esta tesis se publicó el viernes 08 de noviembre de 2019 a las </w:t>
      </w:r>
      <w:proofErr w:type="gramStart"/>
      <w:r w:rsidRPr="00E73D63">
        <w:rPr>
          <w:rFonts w:ascii="Arial" w:eastAsia="Arial" w:hAnsi="Arial" w:cs="Arial"/>
          <w:sz w:val="20"/>
          <w:szCs w:val="20"/>
        </w:rPr>
        <w:t>10:19  horas</w:t>
      </w:r>
      <w:proofErr w:type="gramEnd"/>
      <w:r w:rsidRPr="00E73D63">
        <w:rPr>
          <w:rFonts w:ascii="Arial" w:eastAsia="Arial" w:hAnsi="Arial" w:cs="Arial"/>
          <w:sz w:val="20"/>
          <w:szCs w:val="20"/>
        </w:rPr>
        <w:t xml:space="preserve">  en el Semanario Judicial de la Federación.</w:t>
      </w:r>
    </w:p>
    <w:p w14:paraId="4C745B54" w14:textId="77777777" w:rsidR="00E73D63" w:rsidRPr="00E73D63" w:rsidRDefault="00E73D63" w:rsidP="00E73D63">
      <w:pPr>
        <w:jc w:val="both"/>
        <w:rPr>
          <w:rFonts w:ascii="Arial" w:eastAsia="Arial" w:hAnsi="Arial" w:cs="Arial"/>
          <w:sz w:val="20"/>
          <w:szCs w:val="20"/>
        </w:rPr>
      </w:pPr>
    </w:p>
    <w:p w14:paraId="26E075EA"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Registro digital: 2021019</w:t>
      </w:r>
    </w:p>
    <w:p w14:paraId="0C186807"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Instancia: Primera Sala</w:t>
      </w:r>
    </w:p>
    <w:p w14:paraId="1F5B9C1A"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Décima Época</w:t>
      </w:r>
    </w:p>
    <w:p w14:paraId="188056D5"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Materias(s): Penal</w:t>
      </w:r>
    </w:p>
    <w:p w14:paraId="0E8FE48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Tesis: 1a. XCIII/2019 (10a.)</w:t>
      </w:r>
    </w:p>
    <w:p w14:paraId="413DC20A"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Fuente: Gaceta del Semanario Judicial de la Federación. Libro 72, </w:t>
      </w:r>
      <w:proofErr w:type="gramStart"/>
      <w:r w:rsidRPr="00E73D63">
        <w:rPr>
          <w:rFonts w:ascii="Arial" w:eastAsia="Arial" w:hAnsi="Arial" w:cs="Arial"/>
          <w:sz w:val="20"/>
          <w:szCs w:val="20"/>
        </w:rPr>
        <w:t>Noviembre</w:t>
      </w:r>
      <w:proofErr w:type="gramEnd"/>
      <w:r w:rsidRPr="00E73D63">
        <w:rPr>
          <w:rFonts w:ascii="Arial" w:eastAsia="Arial" w:hAnsi="Arial" w:cs="Arial"/>
          <w:sz w:val="20"/>
          <w:szCs w:val="20"/>
        </w:rPr>
        <w:t xml:space="preserve"> de 2019, Tomo I, página 380</w:t>
      </w:r>
    </w:p>
    <w:p w14:paraId="7949D4AB"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Tipo: Aislada</w:t>
      </w:r>
    </w:p>
    <w:p w14:paraId="20709890"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VIOLACIÓN EQUIPARADA PREVISTA EN EL ARTÍCULO 175 DEL CÓDIGO PENAL PARA EL DISTRITO FEDERAL (APLICABLE PARA LA CIUDAD DE MÉXICO). SENTIDO Y ALCANCE DE LA INCAPACIDAD DE RESISTENCIA DE LA VÍCTIMA.</w:t>
      </w:r>
    </w:p>
    <w:p w14:paraId="1A998A48"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El artículo citado prevé que la violación equiparada alcanza el carácter de ilícito penal, aun en ausencia de la violencia como medio comisivo, cuando el sujeto activo realiza cópula con persona que no tenga la capacidad de comprender el significado del hecho o por cualquier causa no pueda resistirlo; esto es, cuando el agresor aprovecha la situación de indefensión o vulnerabilidad específica de la víctima, lo que abarcaría también aquellas circunstancias que hacen inexigible una oposición manifiesta y contundente a la realización de la cópula, dada la presencia de relaciones o entornos que funcionan como suficiente y razonablemente coactivos o intimidatorios. Así, el delito de violación equiparada, previsto en el artículo 175 del Código Penal para el Distrito Federal, aplicable para la Ciudad de México, permite que la legislación sustantiva penal y sus sucesivas interpretaciones atiendan aquellas situaciones en que la violencia, sea física o moral, no sea el instrumento necesario para someter a la víctima y lograr imponerle la cópula, pues ésta se encuentra en estado de indefensión derivado de condiciones permanentes o circunstanciales, ya sea atribuibles a la persona de la víctima o al contexto y situación en que desarrolla y consuma el hacer delictivo del agresor: condición de discapacidad, física o intelectual, permanente o transitoria; inconsciencia o estados asimilables –sean inducidos o voluntarios– de la víctima, o bien la presencia de relaciones de franca dominación o entornos coercitivos (que están definidos por la presencia de relaciones asimétricas de poder de tal entidad que configuran dominación –transitoria o permanente– y que hacen inexigible una oposición manifiesta a la imposición de la cópula, dada la posibilidad –objetivamente evaluable, pero subjetivamente considerada– de padecer un daño o grave perjuicio en la integridad personal de la víctima o de las personas a las que está ligada por vínculos de amor o protección), entre otras circunstancias, situaciones o contextos que impiden la oposición manifiesta o la comprensión por parte de la víctima.</w:t>
      </w:r>
    </w:p>
    <w:p w14:paraId="0F5AA7F4" w14:textId="77777777" w:rsidR="00E73D63" w:rsidRPr="00E73D63" w:rsidRDefault="00E73D63" w:rsidP="00E73D63">
      <w:pPr>
        <w:jc w:val="both"/>
        <w:rPr>
          <w:rFonts w:ascii="Arial" w:eastAsia="Arial" w:hAnsi="Arial" w:cs="Arial"/>
          <w:sz w:val="20"/>
          <w:szCs w:val="20"/>
        </w:rPr>
      </w:pPr>
      <w:r w:rsidRPr="00E73D63">
        <w:rPr>
          <w:rFonts w:ascii="Arial" w:eastAsia="Arial" w:hAnsi="Arial" w:cs="Arial"/>
          <w:sz w:val="20"/>
          <w:szCs w:val="20"/>
        </w:rPr>
        <w:t xml:space="preserve">Amparo directo en revisión 1260/2016. 28 de septiembre de 2016. Mayoría de cuatro votos de los </w:t>
      </w:r>
      <w:proofErr w:type="gramStart"/>
      <w:r w:rsidRPr="00E73D63">
        <w:rPr>
          <w:rFonts w:ascii="Arial" w:eastAsia="Arial" w:hAnsi="Arial" w:cs="Arial"/>
          <w:sz w:val="20"/>
          <w:szCs w:val="20"/>
        </w:rPr>
        <w:t>Ministros</w:t>
      </w:r>
      <w:proofErr w:type="gramEnd"/>
      <w:r w:rsidRPr="00E73D63">
        <w:rPr>
          <w:rFonts w:ascii="Arial" w:eastAsia="Arial" w:hAnsi="Arial" w:cs="Arial"/>
          <w:sz w:val="20"/>
          <w:szCs w:val="20"/>
        </w:rPr>
        <w:t xml:space="preserve"> Arturo Zaldívar Lelo de Larrea, quien se reservó su derecho para formular voto concurrente, José Ramón Cossío Díaz, Jorge Mario Pardo Rebolledo, quien formuló voto concurrente y Alfredo Gutiérrez Ortiz Mena. Disidente: Norma Lucía Piña Hernández, quien votó en contra al considerar que el recurso sólo procedía por la inconstitucionalidad de leyes, lo que no afecta al criterio contenido en esta tesis. Ponente: Alfredo Gutiérrez Ortiz Mena. Secretaria: M.G. Adriana Ortega Ortiz.</w:t>
      </w:r>
    </w:p>
    <w:p w14:paraId="47F6B9B5" w14:textId="0A452B08" w:rsidR="00E73D63" w:rsidRDefault="00E73D63">
      <w:pPr>
        <w:jc w:val="both"/>
        <w:rPr>
          <w:rFonts w:ascii="Arial" w:eastAsia="Arial" w:hAnsi="Arial" w:cs="Arial"/>
          <w:sz w:val="20"/>
          <w:szCs w:val="20"/>
        </w:rPr>
      </w:pPr>
      <w:r w:rsidRPr="00E73D63">
        <w:rPr>
          <w:rFonts w:ascii="Arial" w:eastAsia="Arial" w:hAnsi="Arial" w:cs="Arial"/>
          <w:sz w:val="20"/>
          <w:szCs w:val="20"/>
        </w:rPr>
        <w:t xml:space="preserve">Esta tesis se publicó el viernes 08 de noviembre de 2019 a las </w:t>
      </w:r>
      <w:proofErr w:type="gramStart"/>
      <w:r w:rsidRPr="00E73D63">
        <w:rPr>
          <w:rFonts w:ascii="Arial" w:eastAsia="Arial" w:hAnsi="Arial" w:cs="Arial"/>
          <w:sz w:val="20"/>
          <w:szCs w:val="20"/>
        </w:rPr>
        <w:t>10:19  horas</w:t>
      </w:r>
      <w:proofErr w:type="gramEnd"/>
      <w:r w:rsidRPr="00E73D63">
        <w:rPr>
          <w:rFonts w:ascii="Arial" w:eastAsia="Arial" w:hAnsi="Arial" w:cs="Arial"/>
          <w:sz w:val="20"/>
          <w:szCs w:val="20"/>
        </w:rPr>
        <w:t xml:space="preserve">  en el Semanario Judicial de la Federación.</w:t>
      </w:r>
    </w:p>
    <w:p w14:paraId="15CBB051" w14:textId="77777777" w:rsidR="00E73D63" w:rsidRDefault="00E73D63">
      <w:pPr>
        <w:jc w:val="both"/>
        <w:rPr>
          <w:rFonts w:ascii="Arial" w:eastAsia="Arial" w:hAnsi="Arial" w:cs="Arial"/>
          <w:sz w:val="20"/>
          <w:szCs w:val="20"/>
        </w:rPr>
      </w:pPr>
    </w:p>
    <w:p w14:paraId="00000004"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Época: Décima Época </w:t>
      </w:r>
    </w:p>
    <w:p w14:paraId="00000005"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Registro: 2016550 </w:t>
      </w:r>
    </w:p>
    <w:p w14:paraId="00000006"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07"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Tipo de Tesis: Aislada </w:t>
      </w:r>
    </w:p>
    <w:p w14:paraId="00000008"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09"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Libro 53, </w:t>
      </w:r>
      <w:proofErr w:type="gramStart"/>
      <w:r>
        <w:rPr>
          <w:rFonts w:ascii="Arial" w:eastAsia="Arial" w:hAnsi="Arial" w:cs="Arial"/>
          <w:sz w:val="20"/>
          <w:szCs w:val="20"/>
        </w:rPr>
        <w:t>Abril</w:t>
      </w:r>
      <w:proofErr w:type="gramEnd"/>
      <w:r>
        <w:rPr>
          <w:rFonts w:ascii="Arial" w:eastAsia="Arial" w:hAnsi="Arial" w:cs="Arial"/>
          <w:sz w:val="20"/>
          <w:szCs w:val="20"/>
        </w:rPr>
        <w:t xml:space="preserve"> de 2018, Tomo III </w:t>
      </w:r>
    </w:p>
    <w:p w14:paraId="0000000A"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Materia(s): Penal </w:t>
      </w:r>
    </w:p>
    <w:p w14:paraId="0000000B"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Tesis: XVI.1o.P.21 P (10a.) </w:t>
      </w:r>
    </w:p>
    <w:p w14:paraId="0000000C"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Página: 1928 </w:t>
      </w:r>
    </w:p>
    <w:p w14:paraId="0000000D" w14:textId="77777777" w:rsidR="00A56AB2" w:rsidRDefault="00B115A0">
      <w:pPr>
        <w:jc w:val="both"/>
        <w:rPr>
          <w:rFonts w:ascii="Arial" w:eastAsia="Arial" w:hAnsi="Arial" w:cs="Arial"/>
          <w:sz w:val="20"/>
          <w:szCs w:val="20"/>
        </w:rPr>
      </w:pPr>
      <w:r>
        <w:rPr>
          <w:rFonts w:ascii="Arial" w:eastAsia="Arial" w:hAnsi="Arial" w:cs="Arial"/>
          <w:sz w:val="20"/>
          <w:szCs w:val="20"/>
        </w:rPr>
        <w:t>DELITO DE VIOLACIÓN. RESTAR VALOR PROBATORIO A LA DECLARACIÓN DE LA VÍCTIMA, CON BASE EN QUE SU ACTITUD ANTE EL ATAQUE NO FUE "ALTAMENTE REACTIVA", ES ILEGAL (LEGISLACIÓN DEL ESTADO DE GUANAJUATO).</w:t>
      </w:r>
    </w:p>
    <w:p w14:paraId="0000000E"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El tipo penal de violación, previsto en el artículo 180 del Código Penal del Estado de Guanajuato, sanciona un tipo de conducta que atenta contra la libertad sexual en la que reside la facultad de elegir la realización o no de un acto sexual con diversa persona, sin que generalmente medie algún tipo de actitud o acto que reduzca su capacidad de decidir al respecto. </w:t>
      </w:r>
      <w:r>
        <w:rPr>
          <w:rFonts w:ascii="Arial" w:eastAsia="Arial" w:hAnsi="Arial" w:cs="Arial"/>
          <w:sz w:val="20"/>
          <w:szCs w:val="20"/>
        </w:rPr>
        <w:lastRenderedPageBreak/>
        <w:t>Así, el consentimiento sexual es un acto de elección individual, racional y autónomo, que implica el goce y equilibrio mental para estimar la trascendencia del hecho, establecer su alcance y calcular razonadamente sus beneficios o perjuicios. Para expresarlo, la persona debe gozar de razón, hacerlo sin mediar coacción o engaño y exteriorizarlo de manera reconocible de manera anterior o concomitante al hecho. Ahora bien, al justipreciar una conducta atentatoria de dicha prerrogativa, es ilegal restar valor probatorio a la declaración de la víctima, con base en que su actitud ante el ataque no fue "altamente reactiva", pues ello se basa en una práctica añeja de juzgar con base en estereotipos de víctimas de violencia sexual, conforme a los cuales se espera que todas griten, pateen, luchen e, incluso, expongan su vida para evitar ser violentadas. Por ello, es imperativo que los órganos impartidores de justicia se sumen al esfuerzo de erradicarla, pues no puede desconocerse que las reacciones humanas son tan variables como víctimas existen y pueden ir desde una oposición absoluta y hasta agresiva, pasando por la pasividad tolerante, hasta la total paralización, lo que además puede tener relación con quién es el agresor y en qué circunstancias se suscitó el delito.</w:t>
      </w:r>
    </w:p>
    <w:p w14:paraId="0000000F" w14:textId="77777777" w:rsidR="00A56AB2" w:rsidRDefault="00B115A0">
      <w:pPr>
        <w:jc w:val="both"/>
        <w:rPr>
          <w:rFonts w:ascii="Arial" w:eastAsia="Arial" w:hAnsi="Arial" w:cs="Arial"/>
          <w:sz w:val="20"/>
          <w:szCs w:val="20"/>
        </w:rPr>
      </w:pPr>
      <w:r>
        <w:rPr>
          <w:rFonts w:ascii="Arial" w:eastAsia="Arial" w:hAnsi="Arial" w:cs="Arial"/>
          <w:sz w:val="20"/>
          <w:szCs w:val="20"/>
        </w:rPr>
        <w:t>PRIMER TRIBUNAL COLEGIADO EN MATERIA PENAL DEL DÉCIMO SEXTO CIRCUITO.</w:t>
      </w:r>
    </w:p>
    <w:p w14:paraId="00000010" w14:textId="77777777" w:rsidR="00A56AB2" w:rsidRDefault="00B115A0">
      <w:pPr>
        <w:jc w:val="both"/>
        <w:rPr>
          <w:rFonts w:ascii="Arial" w:eastAsia="Arial" w:hAnsi="Arial" w:cs="Arial"/>
          <w:sz w:val="20"/>
          <w:szCs w:val="20"/>
        </w:rPr>
      </w:pPr>
      <w:r>
        <w:rPr>
          <w:rFonts w:ascii="Arial" w:eastAsia="Arial" w:hAnsi="Arial" w:cs="Arial"/>
          <w:sz w:val="20"/>
          <w:szCs w:val="20"/>
        </w:rPr>
        <w:t>Amparo directo 75/2017. 8 de noviembre de 2017. Unanimidad de votos. Ponente: Alberto Augusto De La Rosa Baraibar. Secretaria: Paola Patricia Ugalde Almada.</w:t>
      </w:r>
    </w:p>
    <w:p w14:paraId="00000011" w14:textId="77777777" w:rsidR="00A56AB2" w:rsidRDefault="00A56AB2">
      <w:pPr>
        <w:jc w:val="both"/>
        <w:rPr>
          <w:rFonts w:ascii="Arial" w:eastAsia="Arial" w:hAnsi="Arial" w:cs="Arial"/>
          <w:sz w:val="20"/>
          <w:szCs w:val="20"/>
        </w:rPr>
      </w:pPr>
    </w:p>
    <w:p w14:paraId="00000012"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Época: Décima Época </w:t>
      </w:r>
    </w:p>
    <w:p w14:paraId="00000013"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Registro: 2016549 </w:t>
      </w:r>
    </w:p>
    <w:p w14:paraId="00000014"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15"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Tipo de Tesis: Aislada </w:t>
      </w:r>
    </w:p>
    <w:p w14:paraId="00000016"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17"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Libro 53, </w:t>
      </w:r>
      <w:proofErr w:type="gramStart"/>
      <w:r>
        <w:rPr>
          <w:rFonts w:ascii="Arial" w:eastAsia="Arial" w:hAnsi="Arial" w:cs="Arial"/>
          <w:sz w:val="20"/>
          <w:szCs w:val="20"/>
        </w:rPr>
        <w:t>Abril</w:t>
      </w:r>
      <w:proofErr w:type="gramEnd"/>
      <w:r>
        <w:rPr>
          <w:rFonts w:ascii="Arial" w:eastAsia="Arial" w:hAnsi="Arial" w:cs="Arial"/>
          <w:sz w:val="20"/>
          <w:szCs w:val="20"/>
        </w:rPr>
        <w:t xml:space="preserve"> de 2018, Tomo III </w:t>
      </w:r>
    </w:p>
    <w:p w14:paraId="00000018"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Materia(s): Penal </w:t>
      </w:r>
    </w:p>
    <w:p w14:paraId="00000019"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Tesis: XVI.1o.P.20 P (10a.) </w:t>
      </w:r>
    </w:p>
    <w:p w14:paraId="0000001A"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Página: 1927 </w:t>
      </w:r>
    </w:p>
    <w:p w14:paraId="0000001B" w14:textId="77777777" w:rsidR="00A56AB2" w:rsidRDefault="00B115A0">
      <w:pPr>
        <w:jc w:val="both"/>
        <w:rPr>
          <w:rFonts w:ascii="Arial" w:eastAsia="Arial" w:hAnsi="Arial" w:cs="Arial"/>
          <w:sz w:val="20"/>
          <w:szCs w:val="20"/>
        </w:rPr>
      </w:pPr>
      <w:r>
        <w:rPr>
          <w:rFonts w:ascii="Arial" w:eastAsia="Arial" w:hAnsi="Arial" w:cs="Arial"/>
          <w:sz w:val="20"/>
          <w:szCs w:val="20"/>
        </w:rPr>
        <w:t>DELITO DE VIOLACIÓN. LA DEMOSTRACIÓN DEL ELEMENTO VIOLENCIA (FÍSICA) COMO MEDIO PARA LA IMPOSICIÓN DE LA CÓPULA, NO ESTÁ CONDICIONADA A LA EXISTENCIA DE LESIONES DE NATURALEZA Y ASPECTO EXPLÍCITAMENTE VINCULANTES A LA EJECUCIÓN DEL ILÍCITO (LEGISLACIÓN DEL ESTADO DE GUANAJUATO).</w:t>
      </w:r>
    </w:p>
    <w:p w14:paraId="0000001C" w14:textId="77777777" w:rsidR="00A56AB2" w:rsidRDefault="00B115A0">
      <w:pPr>
        <w:jc w:val="both"/>
        <w:rPr>
          <w:rFonts w:ascii="Arial" w:eastAsia="Arial" w:hAnsi="Arial" w:cs="Arial"/>
          <w:sz w:val="20"/>
          <w:szCs w:val="20"/>
        </w:rPr>
      </w:pPr>
      <w:r>
        <w:rPr>
          <w:rFonts w:ascii="Arial" w:eastAsia="Arial" w:hAnsi="Arial" w:cs="Arial"/>
          <w:sz w:val="20"/>
          <w:szCs w:val="20"/>
        </w:rPr>
        <w:t xml:space="preserve">El tipo penal de violación, previsto en el artículo 180 del Código Penal del Estado de Guanajuato, exige para su configuración la comprobación del elemento violencia como medio para la imposición de la cópula. Ahora bien, tratándose de la </w:t>
      </w:r>
      <w:proofErr w:type="spellStart"/>
      <w:r>
        <w:rPr>
          <w:rFonts w:ascii="Arial" w:eastAsia="Arial" w:hAnsi="Arial" w:cs="Arial"/>
          <w:sz w:val="20"/>
          <w:szCs w:val="20"/>
        </w:rPr>
        <w:t>causación</w:t>
      </w:r>
      <w:proofErr w:type="spellEnd"/>
      <w:r>
        <w:rPr>
          <w:rFonts w:ascii="Arial" w:eastAsia="Arial" w:hAnsi="Arial" w:cs="Arial"/>
          <w:sz w:val="20"/>
          <w:szCs w:val="20"/>
        </w:rPr>
        <w:t xml:space="preserve"> de violencia física, el elemento en cuestión, si bien puede evidenciarse a partir de lesiones graves o profundas en la piel, o bien explícitas por haber sido causadas en el área genital, dada la naturaleza del evento; sin embargo, exigir que se demuestre así en todos los casos, es denegatorio de justicia, en tanto que asumir que el vencimiento de la resistencia de una víctima de violación, sólo puede lograrse a partir de la </w:t>
      </w:r>
      <w:proofErr w:type="spellStart"/>
      <w:r>
        <w:rPr>
          <w:rFonts w:ascii="Arial" w:eastAsia="Arial" w:hAnsi="Arial" w:cs="Arial"/>
          <w:sz w:val="20"/>
          <w:szCs w:val="20"/>
        </w:rPr>
        <w:t>causación</w:t>
      </w:r>
      <w:proofErr w:type="spellEnd"/>
      <w:r>
        <w:rPr>
          <w:rFonts w:ascii="Arial" w:eastAsia="Arial" w:hAnsi="Arial" w:cs="Arial"/>
          <w:sz w:val="20"/>
          <w:szCs w:val="20"/>
        </w:rPr>
        <w:t xml:space="preserve"> de actos de violencia física manifestados en lesiones de naturaleza y aspecto explícitamente vinculantes a la ejecución del delito, constituye un estereotipo en vías de erradicación, incluso, porque de un ataque podrían no resultar lesiones aparentes, más que de tipo psicológico. En ese tenor, conforme a una adecuada práctica jurisdiccional, si la víctima de ese delito presentó sólo ciertas marcas en su cuerpo, empero, su origen y ubicación son acordes con la mecánica de los hechos que relató, ello es bastante para considerarlas como indicios vinculados al hecho denunciado. Con mayor razón, si existen otros elementos de prueba con los que puedan verse robustecidos, como las conclusiones de la prueba pericial en materia de psicología.</w:t>
      </w:r>
    </w:p>
    <w:p w14:paraId="0000001D" w14:textId="77777777" w:rsidR="00A56AB2" w:rsidRDefault="00B115A0">
      <w:pPr>
        <w:jc w:val="both"/>
        <w:rPr>
          <w:rFonts w:ascii="Arial" w:eastAsia="Arial" w:hAnsi="Arial" w:cs="Arial"/>
          <w:sz w:val="20"/>
          <w:szCs w:val="20"/>
        </w:rPr>
      </w:pPr>
      <w:r>
        <w:rPr>
          <w:rFonts w:ascii="Arial" w:eastAsia="Arial" w:hAnsi="Arial" w:cs="Arial"/>
          <w:sz w:val="20"/>
          <w:szCs w:val="20"/>
        </w:rPr>
        <w:t>PRIMER TRIBUNAL COLEGIADO EN MATERIA PENAL DEL DÉCIMO SEXTO CIRCUITO.</w:t>
      </w:r>
    </w:p>
    <w:p w14:paraId="0000001E" w14:textId="77777777" w:rsidR="00A56AB2" w:rsidRDefault="00B115A0">
      <w:pPr>
        <w:jc w:val="both"/>
        <w:rPr>
          <w:rFonts w:ascii="Arial" w:eastAsia="Arial" w:hAnsi="Arial" w:cs="Arial"/>
          <w:sz w:val="20"/>
          <w:szCs w:val="20"/>
        </w:rPr>
      </w:pPr>
      <w:r>
        <w:rPr>
          <w:rFonts w:ascii="Arial" w:eastAsia="Arial" w:hAnsi="Arial" w:cs="Arial"/>
          <w:sz w:val="20"/>
          <w:szCs w:val="20"/>
        </w:rPr>
        <w:t>Amparo directo 75/2017. 8 de noviembre de 2017. Unanimidad de votos. Ponente: Alberto Augusto De La Rosa Baraibar. Secretaria: Paola Patricia Ugalde Almada.</w:t>
      </w:r>
    </w:p>
    <w:p w14:paraId="0000001F" w14:textId="77777777" w:rsidR="00A56AB2" w:rsidRDefault="00A56AB2">
      <w:pPr>
        <w:jc w:val="both"/>
        <w:rPr>
          <w:rFonts w:ascii="Arial" w:eastAsia="Arial" w:hAnsi="Arial" w:cs="Arial"/>
          <w:sz w:val="20"/>
          <w:szCs w:val="20"/>
        </w:rPr>
      </w:pPr>
    </w:p>
    <w:p w14:paraId="0000014A" w14:textId="63D72CAC" w:rsidR="00A56AB2" w:rsidRDefault="00A56AB2">
      <w:pPr>
        <w:jc w:val="both"/>
        <w:rPr>
          <w:rFonts w:ascii="Arial" w:eastAsia="Arial" w:hAnsi="Arial" w:cs="Arial"/>
          <w:sz w:val="20"/>
          <w:szCs w:val="20"/>
        </w:rPr>
      </w:pPr>
    </w:p>
    <w:sectPr w:rsidR="00A56AB2">
      <w:headerReference w:type="default" r:id="rId7"/>
      <w:pgSz w:w="12242" w:h="15842"/>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456A" w14:textId="77777777" w:rsidR="00E10EFE" w:rsidRDefault="00E10EFE">
      <w:r>
        <w:separator/>
      </w:r>
    </w:p>
  </w:endnote>
  <w:endnote w:type="continuationSeparator" w:id="0">
    <w:p w14:paraId="41F67052" w14:textId="77777777" w:rsidR="00E10EFE" w:rsidRDefault="00E10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A07EF" w14:textId="77777777" w:rsidR="00E10EFE" w:rsidRDefault="00E10EFE">
      <w:r>
        <w:separator/>
      </w:r>
    </w:p>
  </w:footnote>
  <w:footnote w:type="continuationSeparator" w:id="0">
    <w:p w14:paraId="6BDE6F75" w14:textId="77777777" w:rsidR="00E10EFE" w:rsidRDefault="00E10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B" w14:textId="34465A27" w:rsidR="00A56AB2" w:rsidRDefault="00B115A0">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separate"/>
    </w:r>
    <w:r w:rsidR="00E73D63">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AB2"/>
    <w:rsid w:val="00502433"/>
    <w:rsid w:val="00A56AB2"/>
    <w:rsid w:val="00B115A0"/>
    <w:rsid w:val="00E10EFE"/>
    <w:rsid w:val="00E73D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D73D2"/>
  <w15:docId w15:val="{52833302-CEDF-47E6-8241-264BEC8CD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5974E8"/>
    <w:pPr>
      <w:tabs>
        <w:tab w:val="center" w:pos="4419"/>
        <w:tab w:val="right" w:pos="8838"/>
      </w:tabs>
    </w:pPr>
  </w:style>
  <w:style w:type="character" w:customStyle="1" w:styleId="EncabezadoCar">
    <w:name w:val="Encabezado Car"/>
    <w:basedOn w:val="Fuentedeprrafopredeter"/>
    <w:link w:val="Encabezado"/>
    <w:uiPriority w:val="99"/>
    <w:rsid w:val="005974E8"/>
  </w:style>
  <w:style w:type="paragraph" w:styleId="Piedepgina">
    <w:name w:val="footer"/>
    <w:basedOn w:val="Normal"/>
    <w:link w:val="PiedepginaCar"/>
    <w:uiPriority w:val="99"/>
    <w:unhideWhenUsed/>
    <w:rsid w:val="005974E8"/>
    <w:pPr>
      <w:tabs>
        <w:tab w:val="center" w:pos="4419"/>
        <w:tab w:val="right" w:pos="8838"/>
      </w:tabs>
    </w:pPr>
  </w:style>
  <w:style w:type="character" w:customStyle="1" w:styleId="PiedepginaCar">
    <w:name w:val="Pie de página Car"/>
    <w:basedOn w:val="Fuentedeprrafopredeter"/>
    <w:link w:val="Piedepgina"/>
    <w:uiPriority w:val="99"/>
    <w:rsid w:val="005974E8"/>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5loZGLR5Rb47Mn5ucHb1/3EbUA==">AMUW2mVbxumCNYkbg/NRsfIAoG3is87RBB7cppzGFbfFgWcl/BY1LJhEAV/xncvDWWmJnqX1ptoGFQM9d62dCGCG0VH8xcvEg+j2qRCvTQycW2qTKKLwwtcNCe7TPN8uSJv/QS1djEGo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4714</Words>
  <Characters>25927</Characters>
  <Application>Microsoft Office Word</Application>
  <DocSecurity>0</DocSecurity>
  <Lines>216</Lines>
  <Paragraphs>61</Paragraphs>
  <ScaleCrop>false</ScaleCrop>
  <Company/>
  <LinksUpToDate>false</LinksUpToDate>
  <CharactersWithSpaces>30580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DE LOS ANGELES ANTONIA OCEGUEDA INFANTE</dc:creator>
  <cp:lastModifiedBy>Sandy López</cp:lastModifiedBy>
  <cp:revision>3</cp:revision>
  <dcterms:created xsi:type="dcterms:W3CDTF">2021-06-20T16:45:00Z</dcterms:created>
  <dcterms:modified xsi:type="dcterms:W3CDTF">2021-08-06T16:18:00Z</dcterms:modified>
</cp:coreProperties>
</file>