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C224F" w14:textId="7D261EDD" w:rsidR="00D91D89" w:rsidRPr="00F2709C" w:rsidRDefault="003E148D" w:rsidP="00D91D89">
      <w:pPr>
        <w:spacing w:after="0" w:line="240" w:lineRule="auto"/>
        <w:jc w:val="center"/>
        <w:rPr>
          <w:rFonts w:ascii="Arial" w:hAnsi="Arial" w:cs="Arial"/>
          <w:b/>
          <w:sz w:val="20"/>
          <w:szCs w:val="20"/>
        </w:rPr>
      </w:pPr>
      <w:r w:rsidRPr="00F2709C">
        <w:rPr>
          <w:rFonts w:ascii="Arial" w:hAnsi="Arial" w:cs="Arial"/>
          <w:b/>
          <w:sz w:val="20"/>
          <w:szCs w:val="20"/>
        </w:rPr>
        <w:t>PORTACIÓN DE ARMAS</w:t>
      </w:r>
      <w:r w:rsidR="00CE420C" w:rsidRPr="00F2709C">
        <w:rPr>
          <w:rFonts w:ascii="Arial" w:hAnsi="Arial" w:cs="Arial"/>
          <w:b/>
          <w:sz w:val="20"/>
          <w:szCs w:val="20"/>
        </w:rPr>
        <w:t xml:space="preserve"> DE FUEGO SIN LICENCIA</w:t>
      </w:r>
    </w:p>
    <w:p w14:paraId="65320F1F" w14:textId="77777777"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Registro digital: 2014919</w:t>
      </w:r>
    </w:p>
    <w:p w14:paraId="4C7B0CC6" w14:textId="77777777"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Instancia: Primera Sala</w:t>
      </w:r>
    </w:p>
    <w:p w14:paraId="27A5F314" w14:textId="77777777"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Décima Época</w:t>
      </w:r>
    </w:p>
    <w:p w14:paraId="246B165E" w14:textId="77777777"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Materias(s): Penal</w:t>
      </w:r>
    </w:p>
    <w:p w14:paraId="3B45CE4B" w14:textId="77777777"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Tesis: 1a./J. 40/2017 (10a.)</w:t>
      </w:r>
    </w:p>
    <w:p w14:paraId="0007EB4B" w14:textId="77777777"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 xml:space="preserve">Fuente: Gaceta del Semanario Judicial de la Federación. Libro 45, </w:t>
      </w:r>
      <w:proofErr w:type="gramStart"/>
      <w:r w:rsidRPr="00152AD2">
        <w:rPr>
          <w:rFonts w:ascii="Arial" w:hAnsi="Arial" w:cs="Arial"/>
          <w:sz w:val="20"/>
          <w:szCs w:val="20"/>
        </w:rPr>
        <w:t>Agosto</w:t>
      </w:r>
      <w:proofErr w:type="gramEnd"/>
      <w:r w:rsidRPr="00152AD2">
        <w:rPr>
          <w:rFonts w:ascii="Arial" w:hAnsi="Arial" w:cs="Arial"/>
          <w:sz w:val="20"/>
          <w:szCs w:val="20"/>
        </w:rPr>
        <w:t xml:space="preserve"> de 2017, Tomo I, página 493</w:t>
      </w:r>
    </w:p>
    <w:p w14:paraId="30E703C6" w14:textId="2605480E"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Tipo: Jurisprudencia</w:t>
      </w:r>
    </w:p>
    <w:p w14:paraId="77E7AF43" w14:textId="4376220E"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PORTACIÓN DE ARMA DE FUEGO SIN LICENCIA. CUANDO PERICIALMENTE SE DEMUESTRA QUE EL MECANISMO DE DISPARO DEL ARMA ES DE "FUEGO CIRCULAR", EL OBJETO MATERIAL DEL DELITO DEBE ENCUADRARSE EN EL ARTÍCULO 10, FRACCIÓN I, DE LA LEY FEDERAL DE ARMAS DE FUEGO Y EXPLOSIVOS.</w:t>
      </w:r>
    </w:p>
    <w:p w14:paraId="1FF81098" w14:textId="68A600B6"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 xml:space="preserve">El artículo 81 de la Ley invocada prevé como delito la portación de armas de las comprendidas en los artículos 9 y 10 de la citada ley, sin tener expedida la licencia correspondiente. Asimismo el artículo 10, fracción I, de dicho ordenamiento, describe tres cualidades en las armas que comprende, a saber: 1. Tipo (pistolas, revólveres y rifles), 2. Calibre (.22") y 3. Sistema de disparo (de fuego circular), esto es, técnicamente la expresión "fuego circular" se refiere a un mecanismo específico de percutir los cartuchos, conforme al cual el percutor del arma está diseñado para impactar cualquier punto de la periferia de la base del cartucho, donde concentra la cápsula detonante y su carga fulminante, para producir el disparo -a diferencia de las armas con mecanismo de disparo de "fuego central", en las que el percutor se confecciona para que impacte el centro de la base o culote del cartucho, zona en la que concentra la cápsula detonante y su carga fulminante, como ocurre prácticamente con la mayoría de las armas y cartuchos-. En ese sentido, cuando la conducta ilícita consista en portar sin licencia un revólver, calibre .22" y pericialmente se demuestra que su mecanismo de disparo es de "fuego circular", el juzgador debe encuadrar el objeto material del delito en la hipótesis que describe el referido artículo 10, fracción I. En el entendido de que, la falta de demostración de ese específico mecanismo de disparo no genera la atipicidad del delito, sino que obliga a clasificar dicho objeto en términos del artículo 9, fracción II, de la citada Ley Federal, por concurrir las dos características del arma que describe: i. Tipo (revólver) y </w:t>
      </w:r>
      <w:proofErr w:type="spellStart"/>
      <w:r w:rsidRPr="00152AD2">
        <w:rPr>
          <w:rFonts w:ascii="Arial" w:hAnsi="Arial" w:cs="Arial"/>
          <w:sz w:val="20"/>
          <w:szCs w:val="20"/>
        </w:rPr>
        <w:t>ii</w:t>
      </w:r>
      <w:proofErr w:type="spellEnd"/>
      <w:r w:rsidRPr="00152AD2">
        <w:rPr>
          <w:rFonts w:ascii="Arial" w:hAnsi="Arial" w:cs="Arial"/>
          <w:sz w:val="20"/>
          <w:szCs w:val="20"/>
        </w:rPr>
        <w:t>. Calibre (no superior al .38" Especial, quedando exceptuado el calibre .357" Magnum), ya que para esta hipótesis normativa no es condición necesaria que el revólver cuente con un determinado sistema de disparo; sin que ello implique vulnerar los derechos fundamentales de legalidad y seguridad jurídica del inculpado, pues al tratarse de los mismos hechos: portar un revólver calibre .22", ni siquiera habrá que variarse el delito, en tanto que la conducta que se le atribuye no sufre ninguna modificación.</w:t>
      </w:r>
    </w:p>
    <w:p w14:paraId="69B57515" w14:textId="7C3DC470"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 xml:space="preserve">Contradicción de tesis 119/2016. Suscitada entre el Tercer Tribunal Colegiado del Décimo Quinto Circuito y el Primer Tribunal Colegiado en Materias Penal y Administrativa del Quinto Circuito. 22 de febrero de 2017. La votación se dividió en dos partes: mayoría de cuatro votos por la competencia. Disidente: José Ramón Cossío Díaz. Unanimidad de cinco votos de los </w:t>
      </w:r>
      <w:proofErr w:type="gramStart"/>
      <w:r w:rsidRPr="00152AD2">
        <w:rPr>
          <w:rFonts w:ascii="Arial" w:hAnsi="Arial" w:cs="Arial"/>
          <w:sz w:val="20"/>
          <w:szCs w:val="20"/>
        </w:rPr>
        <w:t>Ministros</w:t>
      </w:r>
      <w:proofErr w:type="gramEnd"/>
      <w:r w:rsidRPr="00152AD2">
        <w:rPr>
          <w:rFonts w:ascii="Arial" w:hAnsi="Arial" w:cs="Arial"/>
          <w:sz w:val="20"/>
          <w:szCs w:val="20"/>
        </w:rPr>
        <w:t xml:space="preserve"> Arturo Zaldívar Lelo de Larrea, José Ramón Cossío Díaz, quien reservó su derecho para formular voto concurrente, Jorge Mario Pardo Rebolledo, Alfredo Gutiérrez Ortiz Mena y Norma Lucía Piña Hernández, en cuanto al fondo. Ponente: Jorge Mario Pardo Rebolledo. Secretario: Alejandro Alberto Díaz Cruz.</w:t>
      </w:r>
    </w:p>
    <w:p w14:paraId="155402B8" w14:textId="57E80CBE"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Tesis y/o criterios contendientes:</w:t>
      </w:r>
    </w:p>
    <w:p w14:paraId="39487087" w14:textId="22CAC4AE"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El Primer Tribunal Colegiado en Materias Penal y Administrativa del Quinto Circuito, al resolver el juicio de amparo directo 314/2015, sostuvo que atendiendo al dictamen pericial del arma de fuego tipo calibre .22", se obtiene que es de aquellas que pueden poseerse o portarse de acuerdo con las limitaciones previstas en el artículo 9, fracción II, en relación con el artículo 81, párrafo primero, ambos de la Ley Federal de Armas de Fuego y Explosivos.</w:t>
      </w:r>
    </w:p>
    <w:p w14:paraId="5FD85085" w14:textId="37E9E389"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El Tercer Tribunal Colegiado del Décimo Quinto Circuito, al resolver el juicio de amparo directo 381/2015, sostuvo que atendiendo al dictamen pericial del arma de fuego tipo calibre .22", se obtiene que es de aquellas que pueden poseerse o portarse de acuerdo con las limitaciones previstas en el artículo 9, fracción II, en relación con el diverso numeral 24 de la Ley Federal de Armas de Fuego y Explosivos, lo cierto es que el órgano jurisdiccional que conoce de la apelación del expediente en proceso está facultado para cambiar la clasificación del arma en cuestión, así como también el Ministerio Público durante la averiguación previa, por lo que la clasificación correcta del arma en cuestión es la que prevé la fracción III del artículo 9, en relación con los diversos 10 y 81 de la Ley Federal de Armas de Fuego y Explosivos.</w:t>
      </w:r>
    </w:p>
    <w:p w14:paraId="0895DE27" w14:textId="77777777"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 xml:space="preserve">Tesis de jurisprudencia 40/2017 (10a.). Aprobada por la Primera Sala de este Alto Tribunal, en sesión de diecisiete de mayo de dos mil diecisiete. </w:t>
      </w:r>
    </w:p>
    <w:p w14:paraId="1B59CD51" w14:textId="78783DDB" w:rsid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Esta tesis se publicó el viernes 18 de agosto de 2017 a las 10:26 horas en el Semanario Judicial de la Federación y, por ende, se considera de aplicación obligatoria a partir del lunes 21 de agosto de 2017, para los efectos previstos en el punto séptimo del Acuerdo General Plenario 19/2013.</w:t>
      </w:r>
    </w:p>
    <w:p w14:paraId="5D5DF0DF" w14:textId="33AA1A2D" w:rsidR="00152AD2" w:rsidRDefault="00152AD2" w:rsidP="00924FAC">
      <w:pPr>
        <w:spacing w:after="0" w:line="240" w:lineRule="auto"/>
        <w:jc w:val="both"/>
        <w:rPr>
          <w:rFonts w:ascii="Arial" w:hAnsi="Arial" w:cs="Arial"/>
          <w:sz w:val="20"/>
          <w:szCs w:val="20"/>
        </w:rPr>
      </w:pPr>
    </w:p>
    <w:p w14:paraId="3719B664" w14:textId="77777777"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Registro digital: 2005694</w:t>
      </w:r>
    </w:p>
    <w:p w14:paraId="7076DC56" w14:textId="77777777"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Instancia: Tribunales Colegiados de Circuito</w:t>
      </w:r>
    </w:p>
    <w:p w14:paraId="1AEFD06C" w14:textId="77777777"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Décima Época</w:t>
      </w:r>
    </w:p>
    <w:p w14:paraId="7D1B7867" w14:textId="77777777"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Materias(s): Penal</w:t>
      </w:r>
    </w:p>
    <w:p w14:paraId="21E6F7F6" w14:textId="77777777"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Tesis: III.2o.P.42 P (10a.)</w:t>
      </w:r>
    </w:p>
    <w:p w14:paraId="34C36B9D" w14:textId="77777777"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 xml:space="preserve">Fuente: Gaceta del Semanario Judicial de la Federación. Libro 3, </w:t>
      </w:r>
      <w:proofErr w:type="gramStart"/>
      <w:r w:rsidRPr="00152AD2">
        <w:rPr>
          <w:rFonts w:ascii="Arial" w:hAnsi="Arial" w:cs="Arial"/>
          <w:sz w:val="20"/>
          <w:szCs w:val="20"/>
        </w:rPr>
        <w:t>Febrero</w:t>
      </w:r>
      <w:proofErr w:type="gramEnd"/>
      <w:r w:rsidRPr="00152AD2">
        <w:rPr>
          <w:rFonts w:ascii="Arial" w:hAnsi="Arial" w:cs="Arial"/>
          <w:sz w:val="20"/>
          <w:szCs w:val="20"/>
        </w:rPr>
        <w:t xml:space="preserve"> de 2014, Tomo III, página 2481</w:t>
      </w:r>
    </w:p>
    <w:p w14:paraId="64F0F31B" w14:textId="2C1F0BC8"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Tipo: Aislada</w:t>
      </w:r>
    </w:p>
    <w:p w14:paraId="68ADD67E" w14:textId="6D77E87E"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PORTACIÓN DE ARMA DE FUEGO SIN LICENCIA. INCUMPLIR ALGUNO DE LOS REQUISITOS SEÑALADOS EN EL PERMISO DE LA SECRETARÍA DE LA DEFENSA NACIONAL PARA TRANSPORTARLA, NO ACTUALIZA EL ELEMENTO NORMATIVO "SIN EL PERMISO CORRESPONDIENTE" DE DICHO DELITO, SINO UNA INFRACCIÓN ADMINISTRATIVA DEL CONOCIMIENTO DE ESA DEPENDENCIA.</w:t>
      </w:r>
    </w:p>
    <w:p w14:paraId="621B31D4" w14:textId="43995C54"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lastRenderedPageBreak/>
        <w:t>Uno de los elementos normativos del delito de portación de arma de fuego sin licencia previsto y sancionado por el artículo 81 de la Ley Federal de Armas de Fuego y Explosivos, lo constituye la frase "sin el permiso correspondiente"; luego, si al quejoso se le encontró un arma de fuego desabastecida, de las permitidas a los particulares y los tiros útiles se encontraban en una caja por separado, y en ese momento exhibió el permiso otorgado por la Secretaría de la Defensa Nacional para su transportación, así como el de cacería, es inconcuso que no se actualiza el elemento citado, por consiguiente, el delito de referencia; pues aun cuando haya incumplido con alguno de los requisitos que señala el permiso correspondiente (llevarla fuera de su estuche o que no comprobó que se dirigía a un campo de tiro), en todo caso, esto sería constitutivo de una infracción administrativa del conocimiento de esa dependencia.</w:t>
      </w:r>
    </w:p>
    <w:p w14:paraId="44D3316B" w14:textId="0B61D79D"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SEGUNDO TRIBUNAL COLEGIADO EN MATERIA PENAL DEL TERCER CIRCUITO.</w:t>
      </w:r>
    </w:p>
    <w:p w14:paraId="751BB09B" w14:textId="77777777" w:rsidR="00152AD2" w:rsidRP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Amparo directo 158/2013. 5 de septiembre de 2013. Unanimidad de votos. Ponente: José Luis González. Secretaria: Angélica Ramos Vaca.</w:t>
      </w:r>
    </w:p>
    <w:p w14:paraId="1FBB0911" w14:textId="4253293D" w:rsidR="00152AD2" w:rsidRDefault="00152AD2" w:rsidP="00152AD2">
      <w:pPr>
        <w:spacing w:after="0" w:line="240" w:lineRule="auto"/>
        <w:jc w:val="both"/>
        <w:rPr>
          <w:rFonts w:ascii="Arial" w:hAnsi="Arial" w:cs="Arial"/>
          <w:sz w:val="20"/>
          <w:szCs w:val="20"/>
        </w:rPr>
      </w:pPr>
      <w:r w:rsidRPr="00152AD2">
        <w:rPr>
          <w:rFonts w:ascii="Arial" w:hAnsi="Arial" w:cs="Arial"/>
          <w:sz w:val="20"/>
          <w:szCs w:val="20"/>
        </w:rPr>
        <w:t>Esta tesis se publicó el viernes 21 de febrero de 2014 a las 10:32 horas en el Semanario Judicial de la Federación.</w:t>
      </w:r>
    </w:p>
    <w:p w14:paraId="69E4C833" w14:textId="77777777" w:rsidR="00152AD2" w:rsidRDefault="00152AD2" w:rsidP="00924FAC">
      <w:pPr>
        <w:spacing w:after="0" w:line="240" w:lineRule="auto"/>
        <w:jc w:val="both"/>
        <w:rPr>
          <w:rFonts w:ascii="Arial" w:hAnsi="Arial" w:cs="Arial"/>
          <w:sz w:val="20"/>
          <w:szCs w:val="20"/>
        </w:rPr>
      </w:pPr>
    </w:p>
    <w:p w14:paraId="41ACEA78" w14:textId="5F265A2A"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Décima Época</w:t>
      </w:r>
    </w:p>
    <w:p w14:paraId="21ABD929"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Registro: 2004054</w:t>
      </w:r>
    </w:p>
    <w:p w14:paraId="58B6AC05"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Instancia: Tribunales Colegiados de Circuito</w:t>
      </w:r>
    </w:p>
    <w:p w14:paraId="72F22982"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Aislada</w:t>
      </w:r>
    </w:p>
    <w:p w14:paraId="4F2F5D6E"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Fuente: Semanario Judicial de la Federación y su Gaceta</w:t>
      </w:r>
    </w:p>
    <w:p w14:paraId="672032E1"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Libro XXII, Julio de 2013, Tomo 2</w:t>
      </w:r>
    </w:p>
    <w:p w14:paraId="594CCD7C"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Materia(s): Penal</w:t>
      </w:r>
    </w:p>
    <w:p w14:paraId="7273EF87"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III.2o.P.31 P (10a.)</w:t>
      </w:r>
    </w:p>
    <w:p w14:paraId="64B8F3F2"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Página: 1521</w:t>
      </w:r>
    </w:p>
    <w:p w14:paraId="267365F4"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PORTACIÓN DE ARMA DE FUEGO. SI EL ACTIVO EN UN MISMO ACTO PORTA TANTO DE LAS RESERVADAS PARA USO EXCLUSIVO DEL EJÉRCITO, ARMADA Y FUERZA AÉREA COMO DE LAS QUE REQUIEREN LICENCIA SIN CONTAR CON ELLA, NO SE CONFIGURA UN CONCURSO REAL DE DELITOS, SINO LA AGRAVANTE PREVISTA EN LOS ARTÍCULOS 81, PÁRRAFO SEGUNDO Y 83, PENÚLTIMO PÁRRAFO, DE LA LEY FEDERAL DE ARMAS DE FUEGO Y EXPLOSIVOS.</w:t>
      </w:r>
    </w:p>
    <w:p w14:paraId="341B0FB8"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El hecho de que el sujeto activo en un mismo acto porte varias armas de fuego (4), que pericialmente fueron identificadas, unas de ellas como de las permitidas para portar por los particulares, previa expedición de la licencia correspondiente -sin contar con ella- y otras de las reservadas para uso exclusivo del Ejército, Armada y Fuerza Aérea, no configura un concurso real de delitos, sino la agravante prevista en los artículos 81, párrafo segundo y 83, penúltimo párrafo, de la Ley Federal de Armas de Fuego y Explosivos, toda vez que el ilícito de portación de armas reservadas para las fuerzas castrenses, constituye un delito complementado del de portación de armas de fuego sin licencia, pues el primero no forma una figura típica autónoma, sino que se constituye por el básico o fundamental, es decir, la portación de un arma de fuego, más el complemento, consistente en la calidad de reservada para el uso de las fuerzas armadas del país; lo que revela que a ambas hipótesis les resulta común que si se trata "de dos o más armas, la pena correspondiente se aumentará hasta en dos terceras partes", ya que la intención del legislador, en cuanto a que en presencia de tal pluralidad de armas, fue que se agrave la pena correspondiente en los términos señalados (hasta en dos terceras partes), pues de optarse por las reglas de punibilidad del concurso material se impondrían penas singularizadas; de ahí que, por la portación de ambas armas de fuego deberá imponerse la sanción que establece el delito de portación reservada para las fuerzas castrenses, por ser el que prevé la pena mayor y aplicarse la agravante prevista por los referidos numerales 81 y 83 de la ley en cita.</w:t>
      </w:r>
      <w:r w:rsidRPr="00F2709C">
        <w:rPr>
          <w:rFonts w:ascii="Arial" w:hAnsi="Arial" w:cs="Arial"/>
          <w:sz w:val="20"/>
          <w:szCs w:val="20"/>
        </w:rPr>
        <w:cr/>
        <w:t>SEGUNDO TRIBUNAL COLEGIADO EN MATERIA PENAL DEL TERCER CIRCUITO.</w:t>
      </w:r>
    </w:p>
    <w:p w14:paraId="0D36C3AA"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Amparo directo 362/2012. 18 de abril de 2013. Unanimidad de votos. Ponente: Óscar Vázquez Marín. Secretaria: Elsa Beatriz Navarro López.</w:t>
      </w:r>
      <w:r w:rsidRPr="00F2709C">
        <w:rPr>
          <w:rFonts w:ascii="Arial" w:hAnsi="Arial" w:cs="Arial"/>
          <w:sz w:val="20"/>
          <w:szCs w:val="20"/>
        </w:rPr>
        <w:cr/>
      </w:r>
      <w:r w:rsidR="00F2709C" w:rsidRPr="00F2709C">
        <w:rPr>
          <w:rFonts w:ascii="Arial" w:hAnsi="Arial" w:cs="Arial"/>
          <w:sz w:val="20"/>
          <w:szCs w:val="20"/>
        </w:rPr>
        <w:t xml:space="preserve"> </w:t>
      </w:r>
    </w:p>
    <w:p w14:paraId="08FCFE9E"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Décima Época</w:t>
      </w:r>
    </w:p>
    <w:p w14:paraId="6CC0AD2A"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Registro: 2002152</w:t>
      </w:r>
    </w:p>
    <w:p w14:paraId="36C0262F"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Instancia: Tribunales Colegiados de Circuito</w:t>
      </w:r>
    </w:p>
    <w:p w14:paraId="0485B1B8"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Aislada</w:t>
      </w:r>
    </w:p>
    <w:p w14:paraId="17FF8EC0"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Fuente: Semanario Judicial de la Federación y su Gaceta</w:t>
      </w:r>
    </w:p>
    <w:p w14:paraId="42142A5A"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Libro XIV, </w:t>
      </w:r>
      <w:proofErr w:type="gramStart"/>
      <w:r w:rsidRPr="00F2709C">
        <w:rPr>
          <w:rFonts w:ascii="Arial" w:hAnsi="Arial" w:cs="Arial"/>
          <w:sz w:val="20"/>
          <w:szCs w:val="20"/>
        </w:rPr>
        <w:t>Noviembre</w:t>
      </w:r>
      <w:proofErr w:type="gramEnd"/>
      <w:r w:rsidRPr="00F2709C">
        <w:rPr>
          <w:rFonts w:ascii="Arial" w:hAnsi="Arial" w:cs="Arial"/>
          <w:sz w:val="20"/>
          <w:szCs w:val="20"/>
        </w:rPr>
        <w:t xml:space="preserve"> de 2012, Tomo 3</w:t>
      </w:r>
    </w:p>
    <w:p w14:paraId="1AA986EE"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Materia(s): Penal</w:t>
      </w:r>
    </w:p>
    <w:p w14:paraId="74AA0FD4"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III.2o.P.7 P (10a.)</w:t>
      </w:r>
    </w:p>
    <w:p w14:paraId="3B2E4123"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Página:  1865</w:t>
      </w:r>
    </w:p>
    <w:p w14:paraId="78859EC6"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INDIVIDUALIZACIÓN DE LA PENA EN EL DELITO DE PORTACIÓN DE ARMA DE FUEGO SIN LICENCIA. PARA DETERMINAR EL GRADO DE CULPABILIDAD DEL SENTENCIADO POR ESTE ILÍCITO NO DEBEN EVALUARSE SUS ANTECEDENTES PENALES CON APOYO EN EL ARTÍCULO 83 BIS, ÚLTIMO PÁRRAFO, DE LA LEY FEDERAL DE ARMAS DE FUEGO Y EXPLOSIVOS.</w:t>
      </w:r>
    </w:p>
    <w:p w14:paraId="39290193"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La autoridad responsable, al individualizar la pena y determinar el grado de culpabilidad por el delito de portación de arma de fuego sin licencia, previsto y sancionado por el artículo 81 de la Ley Federal de Armas de Fuego y Explosivos, ponderó los antecedentes penales del sentenciado, con apoyo en lo dispuesto por el artículo 83 Bis, último párrafo, del ordenamiento legal en cita, al tratarse de la ley especial; sin embargo, adverso a lo considerado por ésta y de acuerdo a lo previsto por el primer párrafo del artículo 6o. del Código Penal Federal, al aplicar una ley especial, deberán tomarse en consideración las disposiciones del libro primero del citado código punitivo y, en su caso, las conducentes del libro segundo, por lo que si dentro del título primero se contemplan los artículos 51 y 52, que regulan la individualización de las penas, debe estarse en forma preferente a lo previsto en esas disposiciones, </w:t>
      </w:r>
      <w:r w:rsidRPr="00F2709C">
        <w:rPr>
          <w:rFonts w:ascii="Arial" w:hAnsi="Arial" w:cs="Arial"/>
          <w:sz w:val="20"/>
          <w:szCs w:val="20"/>
        </w:rPr>
        <w:lastRenderedPageBreak/>
        <w:t>respecto del precepto de la ley especial citada, por tener mayores parámetros a los que debe atender el juzgador, consistentes en las circunstancias exteriores de ejecución del delito, peculiaridades del delincuente, gravedad del ilícito y grado de culpabilidad, que en su conjunto son los que permiten equilibrar el derecho punitivo del Estado con la finalidad de determinar la sanción a imponer y, de manera complementaria a lo dispuesto por la norma especial. Por tanto, al abandonarse además el criterio de peligrosidad por el de culpabilidad, es incuestionable que los antecedentes penales no pueden incluirse entre los factores que los juzgadores deben atender para establecer la pena a imponer; máxime que la ley especial no los señala de manera expresa, sino que sólo refiere que el Juez deberá tomar en cuenta, entre otros, ''sus antecedentes"; por lo que en dicha función y en relación con ello sólo deberán destacarse las circunstancias peculiares del delincuente.</w:t>
      </w:r>
      <w:r w:rsidRPr="00F2709C">
        <w:rPr>
          <w:rFonts w:ascii="Arial" w:hAnsi="Arial" w:cs="Arial"/>
          <w:sz w:val="20"/>
          <w:szCs w:val="20"/>
        </w:rPr>
        <w:cr/>
        <w:t>SEGUNDO TRIBUNAL COLEGIADO EN MATERIA PENAL DEL TERCER CIRCUITO.</w:t>
      </w:r>
    </w:p>
    <w:p w14:paraId="752E30C0"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Amparo directo 446/2011. 19 de abril de 2012. Unanimidad de votos. Ponente: María de los Ángeles Estrada Sedano, secretaria de tribunal autorizada para desempeñar las funciones de Magistrada en términos del artículo 81, fracción XXII, de la Ley Orgánica del Poder Judicial de la Federación. Secretario: Omar Humberto Romero </w:t>
      </w:r>
      <w:proofErr w:type="spellStart"/>
      <w:r w:rsidRPr="00F2709C">
        <w:rPr>
          <w:rFonts w:ascii="Arial" w:hAnsi="Arial" w:cs="Arial"/>
          <w:sz w:val="20"/>
          <w:szCs w:val="20"/>
        </w:rPr>
        <w:t>Romero</w:t>
      </w:r>
      <w:proofErr w:type="spellEnd"/>
      <w:r w:rsidRPr="00F2709C">
        <w:rPr>
          <w:rFonts w:ascii="Arial" w:hAnsi="Arial" w:cs="Arial"/>
          <w:sz w:val="20"/>
          <w:szCs w:val="20"/>
        </w:rPr>
        <w:t>.</w:t>
      </w:r>
    </w:p>
    <w:p w14:paraId="0811397A" w14:textId="77777777" w:rsidR="00924FAC" w:rsidRPr="00F2709C" w:rsidRDefault="00924FAC" w:rsidP="00924FAC">
      <w:pPr>
        <w:spacing w:after="0" w:line="240" w:lineRule="auto"/>
        <w:jc w:val="both"/>
        <w:rPr>
          <w:rFonts w:ascii="Arial" w:hAnsi="Arial" w:cs="Arial"/>
          <w:sz w:val="20"/>
          <w:szCs w:val="20"/>
        </w:rPr>
      </w:pPr>
    </w:p>
    <w:p w14:paraId="17D6BD63"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Décima Época</w:t>
      </w:r>
    </w:p>
    <w:p w14:paraId="242C3E0E"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Registro: 2001264</w:t>
      </w:r>
    </w:p>
    <w:p w14:paraId="505576AD"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Instancia: Tribunales Colegiados de Circuito</w:t>
      </w:r>
    </w:p>
    <w:p w14:paraId="79B6B1A5"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Aislada</w:t>
      </w:r>
    </w:p>
    <w:p w14:paraId="70CA0F3C"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Fuente: Semanario Judicial de la Federación y su Gaceta</w:t>
      </w:r>
    </w:p>
    <w:p w14:paraId="12B75A39"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Libro XI, </w:t>
      </w:r>
      <w:proofErr w:type="gramStart"/>
      <w:r w:rsidRPr="00F2709C">
        <w:rPr>
          <w:rFonts w:ascii="Arial" w:hAnsi="Arial" w:cs="Arial"/>
          <w:sz w:val="20"/>
          <w:szCs w:val="20"/>
        </w:rPr>
        <w:t>Agosto</w:t>
      </w:r>
      <w:proofErr w:type="gramEnd"/>
      <w:r w:rsidRPr="00F2709C">
        <w:rPr>
          <w:rFonts w:ascii="Arial" w:hAnsi="Arial" w:cs="Arial"/>
          <w:sz w:val="20"/>
          <w:szCs w:val="20"/>
        </w:rPr>
        <w:t xml:space="preserve"> de 2012, Tomo 2</w:t>
      </w:r>
    </w:p>
    <w:p w14:paraId="1F0D0610"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Materia(s): Penal</w:t>
      </w:r>
    </w:p>
    <w:p w14:paraId="51AE66FB"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III.2o.(III Región) 1 P (10a.)</w:t>
      </w:r>
    </w:p>
    <w:p w14:paraId="2AB19CDA"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Página: 1696</w:t>
      </w:r>
    </w:p>
    <w:p w14:paraId="7ADB1FB9"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CONCURSO IDEAL DE DELITOS. DEBEN SEGUIRSE SUS REGLAS Y NO LAS DEL CONCURSO REAL, SI EL ACUSADO FUE CONDENADO POR LOS ILÍCITOS DE PORTACIÓN DE ARMA DE FUEGO SIN LICENCIA Y DE PORTACIÓN DE ARMA DE FUEGO DE USO EXCLUSIVO DEL EJÉRCITO, ARMADA O FUERZA AÉREA POR HABERLOS COMETIDO EN UN MISMO ACTO, EN APLICACIÓN DE LOS PRINCIPIOS </w:t>
      </w:r>
      <w:proofErr w:type="gramStart"/>
      <w:r w:rsidRPr="00F2709C">
        <w:rPr>
          <w:rFonts w:ascii="Arial" w:hAnsi="Arial" w:cs="Arial"/>
          <w:sz w:val="20"/>
          <w:szCs w:val="20"/>
        </w:rPr>
        <w:t>PRO PERSONA</w:t>
      </w:r>
      <w:proofErr w:type="gramEnd"/>
      <w:r w:rsidRPr="00F2709C">
        <w:rPr>
          <w:rFonts w:ascii="Arial" w:hAnsi="Arial" w:cs="Arial"/>
          <w:sz w:val="20"/>
          <w:szCs w:val="20"/>
        </w:rPr>
        <w:t xml:space="preserve"> Y DE EXACTA APLICACIÓN DE LA LEY.</w:t>
      </w:r>
    </w:p>
    <w:p w14:paraId="435CF5D1"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De una interpretación sistemática y funcional y en coherencia con el principio pro persona a que se refieren tanto la Constitución Política de los Estados Unidos Mexicanos, como la Convención Americana sobre Derechos Humanos "Pacto de San José de Costa Rica" y el Pacto Internacional de Derechos Civiles y Políticos, se concluye que si el acusado fue condenado por los delitos de portación de arma de fuego sin licencia y de portación de arma de fuego de uso exclusivo del Ejército, Armada o Fuerza Aérea, por haberlos cometido en un mismo acto, deben aplicarse las reglas del concurso ideal de delitos y no las del concurso real. Ello, porque de los artículos 81, párrafo segundo y 83, penúltimo párrafo, de la Ley Federal de Armas de Fuego y Explosivos se advierten hipótesis a las cuales les resulta común que si se trata "de dos o más armas, la pena correspondiente se aumentará hasta en dos terceras partes"; lo que evidencia la intención del legislador, en cuanto a que en presencia de tal pluralidad de armas, de optarse por las reglas de punibilidad del concurso material, se trataría de una interpretación de la ley (según su espíritu), con detrimento al principio de su exacta aplicación, porque en caso de portar una y otra armas de las mencionadas características, se impondrían penas singularizadas a cada una, siendo que justamente, tratándose de portación de dos o más armas de similar clasificación, el legislador optó por el aumento "hasta en dos terceras partes". En consecuencia, cuando se trate de artefactos de la naturaleza señalada, no puede hablarse de concurso real, por imperar el espíritu que inspiró la verdadera intención del legislador, es decir, de proscripción de dicho concurso, en tanto que continúa la premisa de portación de dos o más armas, a lo cual la ley no ha querido sancionar con la pena correspondiente a cada una. Así, en correspondencia con lo más favorable a la persona humana, deben seguirse las reglas del concurso ideal, ya que la intelección con base en el citado principio, y de por medio la exacta aplicación de la </w:t>
      </w:r>
      <w:proofErr w:type="gramStart"/>
      <w:r w:rsidRPr="00F2709C">
        <w:rPr>
          <w:rFonts w:ascii="Arial" w:hAnsi="Arial" w:cs="Arial"/>
          <w:sz w:val="20"/>
          <w:szCs w:val="20"/>
        </w:rPr>
        <w:t>norma,</w:t>
      </w:r>
      <w:proofErr w:type="gramEnd"/>
      <w:r w:rsidRPr="00F2709C">
        <w:rPr>
          <w:rFonts w:ascii="Arial" w:hAnsi="Arial" w:cs="Arial"/>
          <w:sz w:val="20"/>
          <w:szCs w:val="20"/>
        </w:rPr>
        <w:t xml:space="preserve"> da lugar al acto sancionatorio en los indicados términos.</w:t>
      </w:r>
      <w:r w:rsidRPr="00F2709C">
        <w:rPr>
          <w:rFonts w:ascii="Arial" w:hAnsi="Arial" w:cs="Arial"/>
          <w:sz w:val="20"/>
          <w:szCs w:val="20"/>
        </w:rPr>
        <w:cr/>
        <w:t>SEGUNDO TRIBUNAL COLEGIADO DE CIRCUITO DEL CENTRO AUXILIAR DE LA TERCERA REGIÓN.</w:t>
      </w:r>
    </w:p>
    <w:p w14:paraId="604F2545"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Amparo directo 786/2011. 14 de marzo de 2012. Mayoría de votos. Disidente: Ángel Michel Sánchez. Ponente: Celestino Miranda Vázquez. Secretaria: Blanca Edith Saldívar Gutiérrez.</w:t>
      </w:r>
      <w:r w:rsidRPr="00F2709C">
        <w:rPr>
          <w:rFonts w:ascii="Arial" w:hAnsi="Arial" w:cs="Arial"/>
          <w:sz w:val="20"/>
          <w:szCs w:val="20"/>
        </w:rPr>
        <w:cr/>
      </w:r>
    </w:p>
    <w:p w14:paraId="5755B9CE"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Décima Época</w:t>
      </w:r>
    </w:p>
    <w:p w14:paraId="0EC609B4"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Registro: 2000420</w:t>
      </w:r>
    </w:p>
    <w:p w14:paraId="5E6EE726"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Instancia: Primera Sala</w:t>
      </w:r>
    </w:p>
    <w:p w14:paraId="5FA695D0"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Jurisprudencia</w:t>
      </w:r>
    </w:p>
    <w:p w14:paraId="14CE33D1"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Fuente: Semanario Judicial de la Federación y su Gaceta</w:t>
      </w:r>
    </w:p>
    <w:p w14:paraId="45A697F1"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Libro VI, </w:t>
      </w:r>
      <w:proofErr w:type="gramStart"/>
      <w:r w:rsidRPr="00F2709C">
        <w:rPr>
          <w:rFonts w:ascii="Arial" w:hAnsi="Arial" w:cs="Arial"/>
          <w:sz w:val="20"/>
          <w:szCs w:val="20"/>
        </w:rPr>
        <w:t>Marzo</w:t>
      </w:r>
      <w:proofErr w:type="gramEnd"/>
      <w:r w:rsidRPr="00F2709C">
        <w:rPr>
          <w:rFonts w:ascii="Arial" w:hAnsi="Arial" w:cs="Arial"/>
          <w:sz w:val="20"/>
          <w:szCs w:val="20"/>
        </w:rPr>
        <w:t xml:space="preserve"> de 2012, Tomo 1</w:t>
      </w:r>
    </w:p>
    <w:p w14:paraId="231FC92D"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Materia(s): Penal</w:t>
      </w:r>
    </w:p>
    <w:p w14:paraId="157587E9"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1a./J. 1/2012 (10a).</w:t>
      </w:r>
    </w:p>
    <w:p w14:paraId="58EBB0D6"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Página:   144</w:t>
      </w:r>
    </w:p>
    <w:p w14:paraId="64EBEE9C"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PORTACIÓN DE ARMA DE FUEGO SIN LICENCIA. PUEDE CONFIGURARSE ESE DELITO RESPECTO DE LAS PERSONAS QUE HAYAN SIDO DETENIDAS A BORDO DE UN VEHÍCULO EN EL QUE SE ENCUENTRE UN ARMA, INDEPENDIENTEMENTE DE QUE ESTÉ PRESENTE QUIEN ASUMIÓ SU TENENCIA.</w:t>
      </w:r>
    </w:p>
    <w:p w14:paraId="4A2DD3F4"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La Primera Sala de la Suprema Corte de Justicia de la Nación, en la jurisprudencia 1a./J. 195/2005, publicada en el Semanario Judicial de la Federación y su Gaceta, Novena Época, Tomo XXIII, febrero de 2006, página 396, con el rubro: "PORTACIÓN DE ARMA DE FUEGO. SE INTEGRA ESE DELITO CUANDO ÉSTA SE LLEVA CONSIGO, EN CUALQUIER PARTE DEL VEHÍCULO Y CON INDEPENDENCIA DEL NÚMERO DE MOVIMIENTOS QUE EL SUJETO ACTIVO DEBA REALIZAR PARA </w:t>
      </w:r>
      <w:r w:rsidRPr="00F2709C">
        <w:rPr>
          <w:rFonts w:ascii="Arial" w:hAnsi="Arial" w:cs="Arial"/>
          <w:sz w:val="20"/>
          <w:szCs w:val="20"/>
        </w:rPr>
        <w:lastRenderedPageBreak/>
        <w:t>ALLEGÁRSELA.", determinó que el delito de portación de arma de fuego no se actualiza únicamente cuando el arma se encuentre al alcance inmediato de la persona, sino también cuando tal objeto está en cualquier sitio de la cabina, en la guantera, en la cajuela trasera, en el motor o en cualquier otra parte del vehículo en donde ésta pudiera ocultarse, independientemente del número de movimientos que deba realizar el sujeto activo para hacerse de ella. En ese sentido, el delito de portación de arma de fuego sin licencia puede configurarse respecto de las personas que hayan sido detenidas a bordo de un vehículo en el que se encuentra un arma con independencia de que esté presente quien asumió su tenencia, en virtud de que esta particularidad no excluye la posibilidad de que pueda utilizarla otro de los acompañantes por virtud del consentimiento de aquél, o en su defecto, porque sea desapoderado de ella. Sin embargo, para que alguien distinto del tenedor del arma pueda considerarse también como portador, se requiere prueba que evidencie el conocimiento de la existencia de aquélla y la realización de algún acto concreto de disposición o del acuerdo que permitía a alguno o a todos los ocupantes del vehículo hacer uso del arma a su alcance, ya que, por regla general, existe la presunción humana de que quien porta un arma lo hace para su uso personal; de manera que en estos casos, para tener por demostrada la responsabilidad penal, el juzgador deberá hacer un análisis concatenado del caudal probatorio, a fin de demostrar si las personas ajenas al tenedor sabían o no de la existencia del arma, su ubicación exacta dentro del automóvil, la posición que guardan los sujetos respecto de ella, su proximidad a la misma y la factibilidad o no de que pudieron allegársela cuando así lo decidieran, en razón de su cercana disponibilidad.</w:t>
      </w:r>
    </w:p>
    <w:p w14:paraId="5B290617"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Contradicción de tesis 53/2011. Ponente: Guillermo I. Ortiz </w:t>
      </w:r>
      <w:proofErr w:type="spellStart"/>
      <w:r w:rsidRPr="00F2709C">
        <w:rPr>
          <w:rFonts w:ascii="Arial" w:hAnsi="Arial" w:cs="Arial"/>
          <w:sz w:val="20"/>
          <w:szCs w:val="20"/>
        </w:rPr>
        <w:t>Mayagoitia</w:t>
      </w:r>
      <w:proofErr w:type="spellEnd"/>
      <w:r w:rsidRPr="00F2709C">
        <w:rPr>
          <w:rFonts w:ascii="Arial" w:hAnsi="Arial" w:cs="Arial"/>
          <w:sz w:val="20"/>
          <w:szCs w:val="20"/>
        </w:rPr>
        <w:t>. Secretario: Jorge Antonio Medina Gaona.</w:t>
      </w:r>
      <w:r w:rsidRPr="00F2709C">
        <w:rPr>
          <w:rFonts w:ascii="Arial" w:hAnsi="Arial" w:cs="Arial"/>
          <w:sz w:val="20"/>
          <w:szCs w:val="20"/>
        </w:rPr>
        <w:cr/>
      </w:r>
      <w:r w:rsidR="00F2709C" w:rsidRPr="00F2709C">
        <w:rPr>
          <w:rFonts w:ascii="Arial" w:hAnsi="Arial" w:cs="Arial"/>
          <w:sz w:val="20"/>
          <w:szCs w:val="20"/>
        </w:rPr>
        <w:t xml:space="preserve"> </w:t>
      </w:r>
    </w:p>
    <w:p w14:paraId="4FDB8103"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Décima Época</w:t>
      </w:r>
    </w:p>
    <w:p w14:paraId="32F13612"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Registro: 160382</w:t>
      </w:r>
    </w:p>
    <w:p w14:paraId="6AB40C2E"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Instancia: Tribunales Colegiados de Circuito</w:t>
      </w:r>
    </w:p>
    <w:p w14:paraId="18443108"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Aislada</w:t>
      </w:r>
    </w:p>
    <w:p w14:paraId="0B19BE1A"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Fuente: Semanario Judicial de la Federación y su Gaceta</w:t>
      </w:r>
    </w:p>
    <w:p w14:paraId="759E95C7"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Libro IV, </w:t>
      </w:r>
      <w:proofErr w:type="gramStart"/>
      <w:r w:rsidRPr="00F2709C">
        <w:rPr>
          <w:rFonts w:ascii="Arial" w:hAnsi="Arial" w:cs="Arial"/>
          <w:sz w:val="20"/>
          <w:szCs w:val="20"/>
        </w:rPr>
        <w:t>Enero</w:t>
      </w:r>
      <w:proofErr w:type="gramEnd"/>
      <w:r w:rsidRPr="00F2709C">
        <w:rPr>
          <w:rFonts w:ascii="Arial" w:hAnsi="Arial" w:cs="Arial"/>
          <w:sz w:val="20"/>
          <w:szCs w:val="20"/>
        </w:rPr>
        <w:t xml:space="preserve"> de 2012, Tomo 5</w:t>
      </w:r>
    </w:p>
    <w:p w14:paraId="5FE4E52F"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Materia(s): Penal</w:t>
      </w:r>
    </w:p>
    <w:p w14:paraId="6B391982"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VI.2o.P.153 P (9a.)</w:t>
      </w:r>
    </w:p>
    <w:p w14:paraId="08947D7A"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Página: 4574</w:t>
      </w:r>
    </w:p>
    <w:p w14:paraId="439E5E81"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PORTACIÓN DE ARMA DE FUEGO SIN LICENCIA. NO DESCARTA LA PRERROGATIVA CONTENIDA EN EL ARTÍCULO 9, FRACCIÓN II, DE LA LEY FEDERAL DE ARMAS DE FUEGO Y EXPLOSIVOS, EL HECHO DE QUE EL EJIDATARIO, COMUNERO O JORNALERO DEL CAMPO LA EMPLEE EN ZONA RURAL PARA COMETER UN DELITO O ALLÍ SE OPONGA A SER REVISADO POR LA AUTORIDAD.</w:t>
      </w:r>
    </w:p>
    <w:p w14:paraId="2D9C42A5"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Para que la prerrogativa citada se actualice, se requiere: 1. Ser ejidatario, comunero o jornalero del campo; 2. Que el arma sea de las permitidas por la ley; y 3. Que la portación se realice en zona rural. Ahora bien, aunque de acuerdo con el dictamen elaborado por las Comisiones de Puntos Constitucionales y de la Defensa Nacional de la Cámara de Senadores que fungió como Cámara de Origen, ese trato preferencial tuvo como finalidad que los sujetos autorizados poseyeran el artefacto bélico en virtud de las actividades propias del campo, es el caso que ni en la parte dispositiva del precepto ni en otro apartado de la ley especial mencionada se estableció que tal beneficio se desvanecía si se empleaba para cometer un delito, o su portador se oponía a ser revisado por la autoridad, de manera que para descartar la prerrogativa no puede incluirse una excepción que no está expresamente contemplada en la parte dispositiva de la ley, pues sobrepasaría lo dispuesto por el legislador, siendo que en todo caso da pie a la investigación y posterior procesamiento de los delitos cometidos a consecuencia de esas conductas, pero no puede llegarse al extremo de excluir de una prerrogativa que no previó el legislador como descarte del trato preferencial.</w:t>
      </w:r>
      <w:r w:rsidRPr="00F2709C">
        <w:rPr>
          <w:rFonts w:ascii="Arial" w:hAnsi="Arial" w:cs="Arial"/>
          <w:sz w:val="20"/>
          <w:szCs w:val="20"/>
        </w:rPr>
        <w:cr/>
        <w:t>SEGUNDO TRIBUNAL COLEGIADO EN MATERIA PENAL DEL SEXTO CIRCUITO.</w:t>
      </w:r>
    </w:p>
    <w:p w14:paraId="5EB58E3A"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Amparo directo 270/2011. 11 de agosto de 2011. Unanimidad de votos. Ponente: Diógenes Cruz Figueroa. Secretaria: Liliana Alejandrina Martínez Muñoz.</w:t>
      </w:r>
    </w:p>
    <w:p w14:paraId="761E428D" w14:textId="77777777" w:rsidR="00924FAC" w:rsidRPr="00F2709C" w:rsidRDefault="00924FAC" w:rsidP="00924FAC">
      <w:pPr>
        <w:spacing w:after="0" w:line="240" w:lineRule="auto"/>
        <w:jc w:val="both"/>
        <w:rPr>
          <w:rFonts w:ascii="Arial" w:hAnsi="Arial" w:cs="Arial"/>
          <w:sz w:val="20"/>
          <w:szCs w:val="20"/>
        </w:rPr>
      </w:pPr>
    </w:p>
    <w:p w14:paraId="01EC0241"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Novena Época</w:t>
      </w:r>
    </w:p>
    <w:p w14:paraId="561F21CC"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Registro: 163053</w:t>
      </w:r>
    </w:p>
    <w:p w14:paraId="03607312"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Instancia: Tribunales Colegiados de Circuito</w:t>
      </w:r>
    </w:p>
    <w:p w14:paraId="262B297F"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Aislada</w:t>
      </w:r>
    </w:p>
    <w:p w14:paraId="60E3AA34"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Fuente: Semanario Judicial de la Federación y su Gaceta</w:t>
      </w:r>
    </w:p>
    <w:p w14:paraId="19056828"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Tomo XXXIII, </w:t>
      </w:r>
      <w:proofErr w:type="gramStart"/>
      <w:r w:rsidRPr="00F2709C">
        <w:rPr>
          <w:rFonts w:ascii="Arial" w:hAnsi="Arial" w:cs="Arial"/>
          <w:sz w:val="20"/>
          <w:szCs w:val="20"/>
        </w:rPr>
        <w:t>Enero</w:t>
      </w:r>
      <w:proofErr w:type="gramEnd"/>
      <w:r w:rsidRPr="00F2709C">
        <w:rPr>
          <w:rFonts w:ascii="Arial" w:hAnsi="Arial" w:cs="Arial"/>
          <w:sz w:val="20"/>
          <w:szCs w:val="20"/>
        </w:rPr>
        <w:t xml:space="preserve"> de 2011</w:t>
      </w:r>
    </w:p>
    <w:p w14:paraId="7F798325"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Materia(s): Penal</w:t>
      </w:r>
    </w:p>
    <w:p w14:paraId="73A9209E"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XXIX.2o.10 P</w:t>
      </w:r>
    </w:p>
    <w:p w14:paraId="3A55491B"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Página: 3237</w:t>
      </w:r>
    </w:p>
    <w:p w14:paraId="74E26673"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PORTACIÓN DE ARMAS DE FUEGO SIN LICENCIA. PARA QUE SE ACTUALICE LA PRERROGATIVA CONTENIDA EN EL ARTÍCULO 9, FRACCIÓN II, PÁRRAFO SEGUNDO, DE LA LEY FEDERAL DE ARMAS DE FUEGO Y EXPLOSIVOS, EL INCULPADO SÓLO DEBE ACREDITAR SU CALIDAD DE EJIDATARIO, COMUNERO O JORNALERO DEL CAMPO Y QUE EL ARTEFACTO LO PORTÓ FUERA DE LAS ZONAS URBANAS.</w:t>
      </w:r>
    </w:p>
    <w:p w14:paraId="2C813B38"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La consideración de la autoridad jurisdiccional en el sentido de que el sentenciado no acreditó que la portación </w:t>
      </w:r>
      <w:proofErr w:type="spellStart"/>
      <w:r w:rsidRPr="00F2709C">
        <w:rPr>
          <w:rFonts w:ascii="Arial" w:hAnsi="Arial" w:cs="Arial"/>
          <w:sz w:val="20"/>
          <w:szCs w:val="20"/>
        </w:rPr>
        <w:t>del</w:t>
      </w:r>
      <w:proofErr w:type="spellEnd"/>
      <w:r w:rsidRPr="00F2709C">
        <w:rPr>
          <w:rFonts w:ascii="Arial" w:hAnsi="Arial" w:cs="Arial"/>
          <w:sz w:val="20"/>
          <w:szCs w:val="20"/>
        </w:rPr>
        <w:t xml:space="preserve"> arma de fuego la efectuó en una zona donde realiza sus actividades como ejidatario; en el momento de su detención se dirigía a su parcela; el lugar donde se le detuvo efectivamente sea el obligado para dirigirse a dicha parcela; la parcela estuviere sembrada de maíz y frijol, y que ésta se encontraba afectada por ardillas y aves, no se encuentra establecida en el artículo 9, fracción II, párrafo segundo, de la Ley Federal de Armas de Fuego y Explosivos que prevé la prerrogativa para ejidatarios, comuneros o jornaleros del campo de poseer o portar armas de fuego sin licencia; por tanto, esta consideración excede los requisitos señalados en dicha legislación y, </w:t>
      </w:r>
      <w:r w:rsidRPr="00F2709C">
        <w:rPr>
          <w:rFonts w:ascii="Arial" w:hAnsi="Arial" w:cs="Arial"/>
          <w:sz w:val="20"/>
          <w:szCs w:val="20"/>
        </w:rPr>
        <w:lastRenderedPageBreak/>
        <w:t xml:space="preserve">por ende, el principio de exacta aplicación de la ley previsto en el artículo 14 de la Constitución Política de los Estados Unidos Mexicanos. Lo anterior parte del hecho de que la portación de armas de fuego constituye una garantía individual contenida en el artículo 10 de la Constitución Federal, siempre y cuando se cumpla con los requisitos que exige la ley federal especial, es decir, la ley reglamentaria de dicho precepto constitucional que, en el caso, lo es la Ley Federal de Armas de Fuego y Explosivos, en cuya exposición de motivos de mil novecientos setenta y uno, el legislador puntualizó los términos y las condiciones en que habría de operar el ejercicio del derecho a portar armas de fuego, concretamente en el caso de los ejidatarios, comuneros y jornaleros del campo, puntualizando sólo dos condiciones o requisitos, a saber: a) Que el activo del delito tenga la calidad de ejidatario, comunero o jornalero del campo, y b) Que los ejidatarios, comuneros o jornaleros del campo puedan portar un arma de fuego (de las previstas por el citado precepto 9) fuera de las zonas urbanas, es decir, en una zona rural; de ahí que la exigencia de mayores requisitos de los establecidos expresamente en la ley, es violatoria del mencionado artículo 14 constitucional, porque la materia penal se rige por el principio de estricta aplicación de la ley. Por ello, se insiste, resulta innecesario que el inculpado hubiera probado, como justificación de su acto, que el día de los hechos se dirigía hacia su parcela y que el arma la ocupaba para tirarles a las ardillas y aves que se comen el maíz y frijol que siembra, por la sencilla razón de que su conducta, por sí sola, es decir, sin este referido argumento, encuadra en la prerrogativa o excluyente prevista en el señalado artículo 9, fracción II, párrafo segundo, en tanto que acreditó su calidad de ejidatario, así como que la portación </w:t>
      </w:r>
      <w:proofErr w:type="spellStart"/>
      <w:r w:rsidRPr="00F2709C">
        <w:rPr>
          <w:rFonts w:ascii="Arial" w:hAnsi="Arial" w:cs="Arial"/>
          <w:sz w:val="20"/>
          <w:szCs w:val="20"/>
        </w:rPr>
        <w:t>del</w:t>
      </w:r>
      <w:proofErr w:type="spellEnd"/>
      <w:r w:rsidRPr="00F2709C">
        <w:rPr>
          <w:rFonts w:ascii="Arial" w:hAnsi="Arial" w:cs="Arial"/>
          <w:sz w:val="20"/>
          <w:szCs w:val="20"/>
        </w:rPr>
        <w:t xml:space="preserve"> arma de fuego se realizó en una zona no urbana, sino rural.</w:t>
      </w:r>
      <w:r w:rsidRPr="00F2709C">
        <w:rPr>
          <w:rFonts w:ascii="Arial" w:hAnsi="Arial" w:cs="Arial"/>
          <w:sz w:val="20"/>
          <w:szCs w:val="20"/>
        </w:rPr>
        <w:cr/>
        <w:t>SEGUNDO TRIBUNAL COLEGIADO DEL VIGÉSIMO NOVENO CIRCUITO.</w:t>
      </w:r>
    </w:p>
    <w:p w14:paraId="74C9AD7B"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Amparo directo 499/2010. 29 de septiembre de 2010. Unanimidad de votos. Ponente: Guillermo Arturo Medel García. Secretario: Julio César Pérez Chávez.</w:t>
      </w:r>
      <w:r w:rsidRPr="00F2709C">
        <w:rPr>
          <w:rFonts w:ascii="Arial" w:hAnsi="Arial" w:cs="Arial"/>
          <w:sz w:val="20"/>
          <w:szCs w:val="20"/>
        </w:rPr>
        <w:cr/>
      </w:r>
      <w:r w:rsidR="00F2709C" w:rsidRPr="00F2709C">
        <w:rPr>
          <w:rFonts w:ascii="Arial" w:hAnsi="Arial" w:cs="Arial"/>
          <w:sz w:val="20"/>
          <w:szCs w:val="20"/>
        </w:rPr>
        <w:t xml:space="preserve"> </w:t>
      </w:r>
    </w:p>
    <w:p w14:paraId="7811353A"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Novena Época</w:t>
      </w:r>
    </w:p>
    <w:p w14:paraId="4733E17D"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Registro: 163990</w:t>
      </w:r>
    </w:p>
    <w:p w14:paraId="2C5E5626"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Instancia: Tribunales Colegiados de Circuito</w:t>
      </w:r>
    </w:p>
    <w:p w14:paraId="3A1BAC33"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Aislada</w:t>
      </w:r>
    </w:p>
    <w:p w14:paraId="52A9E370"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Fuente: Semanario Judicial de la Federación y su Gaceta</w:t>
      </w:r>
    </w:p>
    <w:p w14:paraId="5A872165"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Tomo XXXII, </w:t>
      </w:r>
      <w:proofErr w:type="gramStart"/>
      <w:r w:rsidRPr="00F2709C">
        <w:rPr>
          <w:rFonts w:ascii="Arial" w:hAnsi="Arial" w:cs="Arial"/>
          <w:sz w:val="20"/>
          <w:szCs w:val="20"/>
        </w:rPr>
        <w:t>Agosto</w:t>
      </w:r>
      <w:proofErr w:type="gramEnd"/>
      <w:r w:rsidRPr="00F2709C">
        <w:rPr>
          <w:rFonts w:ascii="Arial" w:hAnsi="Arial" w:cs="Arial"/>
          <w:sz w:val="20"/>
          <w:szCs w:val="20"/>
        </w:rPr>
        <w:t xml:space="preserve"> de 2010</w:t>
      </w:r>
    </w:p>
    <w:p w14:paraId="0D18F424"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Materia(s): Penal</w:t>
      </w:r>
    </w:p>
    <w:p w14:paraId="115AB165"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III.2o.P.243 P</w:t>
      </w:r>
    </w:p>
    <w:p w14:paraId="5F541887"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Página: 2325</w:t>
      </w:r>
    </w:p>
    <w:p w14:paraId="383DCCA8"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PORTACIÓN DE ARMA DE FUEGO SIN LICENCIA. NO SE ACTUALIZA AUN CUANDO EL INCULPADO PERTENEZCA A UN GRUPO ARMADO, SI NO SE DEMUESTRA QUE LLEVABA CONSIGO ARMAS O SE ENCONTRABAN DENTRO DE SU RADIO DE ACCIÓN.</w:t>
      </w:r>
    </w:p>
    <w:p w14:paraId="35E12C2A"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Aun cuando de actuaciones se desprende que el inculpado, con el resto de los detenidos pertenezca a un grupo armado; lo cierto es que las armas que portaron los codetenidos, no las llevaba consigo el inculpado, ni las tenía bajo su radio de acción para disponer de ellas, pues sus acompañantes las llevaban consigo y no existió concierto en la disponibilidad conjunta de las mismas; de ahí que no se alteró por parte del inculpado, con relación a esas armas el bien jurídico tutelado por la ley, ya que el sujeto activo no las tenía a su alcance inmediato, por lo que no se evidenció el dominio funcional del hecho, y si bien la autoridad responsable le finca esa responsabilidad, en el hecho de que en caso de un enfrentamiento armado, todos pudieron hacer uso de cualquiera de las armas, se trata de una apreciación subjetiva, carente de sustento probatorio por parte de la responsable, que no puede servir para considerar al ahora quejoso responsable del delito de portación de armas de fuego sin licencia.</w:t>
      </w:r>
      <w:r w:rsidRPr="00F2709C">
        <w:rPr>
          <w:rFonts w:ascii="Arial" w:hAnsi="Arial" w:cs="Arial"/>
          <w:sz w:val="20"/>
          <w:szCs w:val="20"/>
        </w:rPr>
        <w:cr/>
        <w:t>SEGUNDO TRIBUNAL COLEGIADO EN MATERIA PENAL DEL TERCER CIRCUITO.</w:t>
      </w:r>
    </w:p>
    <w:p w14:paraId="1A6806A6"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Amparo en revisión 154/2010. 24 de junio de 2010. Unanimidad de votos. Ponente: Hugo Ricardo Ramos Carreón. Secretaria: María Yolanda Ascencio López.</w:t>
      </w:r>
    </w:p>
    <w:p w14:paraId="23D3DB68" w14:textId="77777777" w:rsidR="00924FAC" w:rsidRPr="00F2709C" w:rsidRDefault="00924FAC" w:rsidP="00924FAC">
      <w:pPr>
        <w:spacing w:after="0" w:line="240" w:lineRule="auto"/>
        <w:jc w:val="both"/>
        <w:rPr>
          <w:rFonts w:ascii="Arial" w:hAnsi="Arial" w:cs="Arial"/>
          <w:sz w:val="20"/>
          <w:szCs w:val="20"/>
        </w:rPr>
      </w:pPr>
    </w:p>
    <w:p w14:paraId="1194FB1A"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Novena Época</w:t>
      </w:r>
    </w:p>
    <w:p w14:paraId="1B71D184"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Registro: 163988</w:t>
      </w:r>
    </w:p>
    <w:p w14:paraId="787F69D9"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Instancia: Tribunales Colegiados de Circuito</w:t>
      </w:r>
    </w:p>
    <w:p w14:paraId="4B0CB32D"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Aislada</w:t>
      </w:r>
    </w:p>
    <w:p w14:paraId="41429D3D"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Fuente: Semanario Judicial de la Federación y su Gaceta</w:t>
      </w:r>
    </w:p>
    <w:p w14:paraId="33970979"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Tomo XXXII, </w:t>
      </w:r>
      <w:proofErr w:type="gramStart"/>
      <w:r w:rsidRPr="00F2709C">
        <w:rPr>
          <w:rFonts w:ascii="Arial" w:hAnsi="Arial" w:cs="Arial"/>
          <w:sz w:val="20"/>
          <w:szCs w:val="20"/>
        </w:rPr>
        <w:t>Agosto</w:t>
      </w:r>
      <w:proofErr w:type="gramEnd"/>
      <w:r w:rsidRPr="00F2709C">
        <w:rPr>
          <w:rFonts w:ascii="Arial" w:hAnsi="Arial" w:cs="Arial"/>
          <w:sz w:val="20"/>
          <w:szCs w:val="20"/>
        </w:rPr>
        <w:t xml:space="preserve"> de 2010</w:t>
      </w:r>
    </w:p>
    <w:p w14:paraId="44533867"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Materia(s): Penal</w:t>
      </w:r>
    </w:p>
    <w:p w14:paraId="47A7B244"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II.2o.P.250 P</w:t>
      </w:r>
    </w:p>
    <w:p w14:paraId="076EB54C"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Página: 2326</w:t>
      </w:r>
    </w:p>
    <w:p w14:paraId="3D2DC8E0"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PRESCRIPCIÓN DE LA ACCIÓN PENAL. CUANDO EXISTA RECLASIFICACIÓN LEGAL DEL DELITO EL MARCO PUNITIVO QUE DEBE TOMARSE EN CUENTA PARA SU CÓMPUTO SERÁ EL CORRESPONDIENTE AL ILÍCITO QUE SE ESTIMÓ ACREDITABLE AL MOMENTO DE LA SENTENCIA.</w:t>
      </w:r>
    </w:p>
    <w:p w14:paraId="20800FEB"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Si en un auto de término constitucional se dictó el formal procesamiento al inculpado por el delito de portación de arma de fuego de uso exclusivo de las fuerzas armadas y antes de que se suspendiera el proceso penal y se reiniciara el plazo potencialmente prescriptivo, se tenía como objeto de prueba pendiente la pericial relativa a la determinación real del verdadero calibre del arma; probanza que se desahogó con motivo de la recaptura del procesado y que justifica que el Juez de la causa, al dictar sentencia determinara que el delito verdaderamente configurable para efectos del fallo era, el de portación de arma de fuego sin licencia, y no el inicialmente considerado, resulta inconcuso que dicha precisión también debe tener como consecuencia la de revisar los presupuestos procesales como requisito de observancia de las reglas del debido proceso entendidas como garantía constitucional. Por tanto, si el Juez advirtió que el delito susceptible de análisis lo era aquel que tiene una pena menor y que, por ende, el marco </w:t>
      </w:r>
      <w:r w:rsidRPr="00F2709C">
        <w:rPr>
          <w:rFonts w:ascii="Arial" w:hAnsi="Arial" w:cs="Arial"/>
          <w:sz w:val="20"/>
          <w:szCs w:val="20"/>
        </w:rPr>
        <w:lastRenderedPageBreak/>
        <w:t>prescriptivo resultaba diverso, como condición previa para el análisis del delito y la responsabilidad, debió revisar oficiosamente la vigencia de la acción penal en relación con ese delito ahora estimado como materia de estudio, pues de lo contrario, el fallo de condena incumple con dicho presupuesto que debe ser inherente y condición preliminar de todo estudio de fondo respecto de una potencial sentencia de condena. Lo anterior significa que si bien es posible reclasificar el delito en la sentencia tratándose de los mismos hechos y únicamente por cuanto a la determinación de la pena correspondiente a un tipo penal menormente sancionado, de actualizarse tal supuesto, se erige con ello y para todos los efectos legales, la obligación de analizar también los presupuestos y garantías del debido proceso en relación con el único delito estimado como materia sobre la que habría de pronunciarse la sentencia correspondiente. Por todo ello se concluye que, cuando exista reclasificación legal del delito, el marco punitivo que debe tomarse como referencia para el cómputo de la posible prescripción de la acción penal será el correspondiente al ilícito que se estimó acreditable al momento de la sentencia.</w:t>
      </w:r>
      <w:r w:rsidRPr="00F2709C">
        <w:rPr>
          <w:rFonts w:ascii="Arial" w:hAnsi="Arial" w:cs="Arial"/>
          <w:sz w:val="20"/>
          <w:szCs w:val="20"/>
        </w:rPr>
        <w:cr/>
        <w:t>SEGUNDO TRIBUNAL COLEGIADO EN MATERIA PENAL DEL SEGUNDO CIRCUITO.</w:t>
      </w:r>
    </w:p>
    <w:p w14:paraId="6BEF7C57"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Amparo directo 7/2010. 8 de abril de 2010. Unanimidad de votos. Ponente: José Nieves Luna Castro. Secretario: Silvestre P. Jardón Orihuela.</w:t>
      </w:r>
    </w:p>
    <w:p w14:paraId="5D820ADE" w14:textId="77777777" w:rsidR="00924FAC" w:rsidRPr="00F2709C" w:rsidRDefault="00924FAC" w:rsidP="00924FAC">
      <w:pPr>
        <w:spacing w:after="0" w:line="240" w:lineRule="auto"/>
        <w:jc w:val="both"/>
        <w:rPr>
          <w:rFonts w:ascii="Arial" w:hAnsi="Arial" w:cs="Arial"/>
          <w:sz w:val="20"/>
          <w:szCs w:val="20"/>
        </w:rPr>
      </w:pPr>
    </w:p>
    <w:p w14:paraId="60E7CAD3"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Novena Época</w:t>
      </w:r>
    </w:p>
    <w:p w14:paraId="375CFB3C"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Registro: 164555</w:t>
      </w:r>
    </w:p>
    <w:p w14:paraId="051F0CEF"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Instancia: Primera Sala</w:t>
      </w:r>
    </w:p>
    <w:p w14:paraId="133FE207"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Jurisprudencia</w:t>
      </w:r>
    </w:p>
    <w:p w14:paraId="14CED8AC"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Fuente: Semanario Judicial de la Federación y su Gaceta</w:t>
      </w:r>
    </w:p>
    <w:p w14:paraId="5E5B05D1"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Tomo XXXI, </w:t>
      </w:r>
      <w:proofErr w:type="gramStart"/>
      <w:r w:rsidRPr="00F2709C">
        <w:rPr>
          <w:rFonts w:ascii="Arial" w:hAnsi="Arial" w:cs="Arial"/>
          <w:sz w:val="20"/>
          <w:szCs w:val="20"/>
        </w:rPr>
        <w:t>Mayo</w:t>
      </w:r>
      <w:proofErr w:type="gramEnd"/>
      <w:r w:rsidRPr="00F2709C">
        <w:rPr>
          <w:rFonts w:ascii="Arial" w:hAnsi="Arial" w:cs="Arial"/>
          <w:sz w:val="20"/>
          <w:szCs w:val="20"/>
        </w:rPr>
        <w:t xml:space="preserve"> de 2010</w:t>
      </w:r>
    </w:p>
    <w:p w14:paraId="64FAF9C4"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Materia(s): Penal</w:t>
      </w:r>
    </w:p>
    <w:p w14:paraId="0B4CC20D"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1a./J. 136/2009</w:t>
      </w:r>
    </w:p>
    <w:p w14:paraId="1ABD2B24"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Página:   578</w:t>
      </w:r>
    </w:p>
    <w:p w14:paraId="662CC351"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PORTACIÓN DE ARMA DE FUEGO SIN LICENCIA. ES UN DELITO DE CARÁCTER PERMANENTE.</w:t>
      </w:r>
    </w:p>
    <w:p w14:paraId="5E4DDFF4"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El delito de portación de arma de fuego sin licencia previsto en el artículo 81, en relación con los diversos 9 y 24, de la Ley Federal de Armas de Fuego y Explosivos, se consuma durante todo el tiempo que se lleva consigo el arma dentro de un radio de acción en el que se encuentra al alcance del sujeto activo y que se pone en riesgo el bien jurídico protegido, consistente en la paz y la seguridad de la sociedad. Así, atendiendo al momento en que se consuma el tipo penal -cuando se dan todas las previsiones determinadas para su actualización-, que es lo que toma en cuenta la clasificación contenida en el artículo 7o. del Código Penal Federal, se concluye que el delito de portación de arma de fuego sin licencia es de carácter permanente, ya que acontece durante todo el periodo en que se porta el arma, sin que se exija un resultado material para ser sancionado, al tratarse de un delito de peligro.</w:t>
      </w:r>
    </w:p>
    <w:p w14:paraId="6C957233"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Contradicción de tesis 212/2009. Ponente: Olga Sánchez Cordero de García Villegas. Secretaria: Beatriz Joaquina </w:t>
      </w:r>
      <w:proofErr w:type="spellStart"/>
      <w:r w:rsidRPr="00F2709C">
        <w:rPr>
          <w:rFonts w:ascii="Arial" w:hAnsi="Arial" w:cs="Arial"/>
          <w:sz w:val="20"/>
          <w:szCs w:val="20"/>
        </w:rPr>
        <w:t>Jaimes</w:t>
      </w:r>
      <w:proofErr w:type="spellEnd"/>
      <w:r w:rsidRPr="00F2709C">
        <w:rPr>
          <w:rFonts w:ascii="Arial" w:hAnsi="Arial" w:cs="Arial"/>
          <w:sz w:val="20"/>
          <w:szCs w:val="20"/>
        </w:rPr>
        <w:t xml:space="preserve"> Ramos.</w:t>
      </w:r>
      <w:r w:rsidRPr="00F2709C">
        <w:rPr>
          <w:rFonts w:ascii="Arial" w:hAnsi="Arial" w:cs="Arial"/>
          <w:sz w:val="20"/>
          <w:szCs w:val="20"/>
        </w:rPr>
        <w:cr/>
      </w:r>
      <w:r w:rsidR="00F2709C" w:rsidRPr="00F2709C">
        <w:rPr>
          <w:rFonts w:ascii="Arial" w:hAnsi="Arial" w:cs="Arial"/>
          <w:sz w:val="20"/>
          <w:szCs w:val="20"/>
        </w:rPr>
        <w:t xml:space="preserve"> </w:t>
      </w:r>
    </w:p>
    <w:p w14:paraId="3C4AF135"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Novena Época</w:t>
      </w:r>
    </w:p>
    <w:p w14:paraId="221460A3"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Registro: 164724</w:t>
      </w:r>
    </w:p>
    <w:p w14:paraId="02CC13A7"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Instancia: Tribunales Colegiados de Circuito</w:t>
      </w:r>
    </w:p>
    <w:p w14:paraId="6A1A9740"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Aislada</w:t>
      </w:r>
    </w:p>
    <w:p w14:paraId="19296B30"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Fuente: Semanario Judicial de la Federación y su Gaceta</w:t>
      </w:r>
    </w:p>
    <w:p w14:paraId="6501E15C"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Tomo XXXI, </w:t>
      </w:r>
      <w:proofErr w:type="gramStart"/>
      <w:r w:rsidRPr="00F2709C">
        <w:rPr>
          <w:rFonts w:ascii="Arial" w:hAnsi="Arial" w:cs="Arial"/>
          <w:sz w:val="20"/>
          <w:szCs w:val="20"/>
        </w:rPr>
        <w:t>Abril</w:t>
      </w:r>
      <w:proofErr w:type="gramEnd"/>
      <w:r w:rsidRPr="00F2709C">
        <w:rPr>
          <w:rFonts w:ascii="Arial" w:hAnsi="Arial" w:cs="Arial"/>
          <w:sz w:val="20"/>
          <w:szCs w:val="20"/>
        </w:rPr>
        <w:t xml:space="preserve"> de 2010</w:t>
      </w:r>
    </w:p>
    <w:p w14:paraId="142F66DC"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Materia(s): Penal</w:t>
      </w:r>
    </w:p>
    <w:p w14:paraId="7989B0A1"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II.2o.P.244 P</w:t>
      </w:r>
    </w:p>
    <w:p w14:paraId="3249FEDC"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Página: 2792</w:t>
      </w:r>
    </w:p>
    <w:p w14:paraId="5BC306D3"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PORTACIÓN DE ARMAS DE FUEGO SIN LICENCIA. NO PUEDE ATRIBUIRSE ESTE DELITO A UN ELEMENTO DE SEGURIDAD POR LA INEXISTENCIA DEL OFICIO DE RESGUARDO RESPECTIVO.</w:t>
      </w:r>
    </w:p>
    <w:p w14:paraId="63E9C2BD"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De conformidad con los artículos 11, 24, 25 y 29 de la Ley Federal de Armas de Fuego y Explosivos, las licencias colectivas son el instrumento legal mediante el cual se autoriza la portación de armas a quien ostente cargos dentro de las instituciones acreditadas y para el desempeño de sus funciones; en tanto que las credenciales que al efecto expidan los titulares de las dependencias oficiales, organismos públicos federales y las instituciones policiales, de acuerdo con dichas normas, constituyen identificaciones personales de quien las porta, las cuales deben renovarse semestralmente; además, dichas credenciales, en el caso de los entes policiales, por disposición del legislador, se asimilan a las licencias individuales, de ahí que la pertenencia a tales dependencias debidamente acreditada, autoriza la portación de las armas amparadas por la licencia colectiva; consecuentemente, no puede atribuirse la portación de un arma sin licencia a un elemento de seguridad por la inexistencia del oficio de resguardo respectivo, habida cuenta que éste no constituye el documento idóneo que avale dicha permisión legal, pues considerarlo de esa forma, sería tanto como equiparar tal documento a una licencia, lo cual no fue decidido así por el legislador y, por tanto, le está vedado a la autoridad judicial determinarlo de esa forma.</w:t>
      </w:r>
      <w:r w:rsidRPr="00F2709C">
        <w:rPr>
          <w:rFonts w:ascii="Arial" w:hAnsi="Arial" w:cs="Arial"/>
          <w:sz w:val="20"/>
          <w:szCs w:val="20"/>
        </w:rPr>
        <w:cr/>
        <w:t>SEGUNDO TRIBUNAL COLEGIADO EN MATERIA PENAL DEL SEGUNDO CIRCUITO.</w:t>
      </w:r>
    </w:p>
    <w:p w14:paraId="19E0B0B1"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Amparo directo 239/2009. 7 de enero de 2010. Unanimidad de votos. Ponente: Adalid Ambriz Landa. Secretario: Luis Enrique Zavala Torres.</w:t>
      </w:r>
    </w:p>
    <w:p w14:paraId="5BE73C95" w14:textId="77777777" w:rsidR="00924FAC" w:rsidRPr="00F2709C" w:rsidRDefault="00924FAC" w:rsidP="00924FAC">
      <w:pPr>
        <w:spacing w:after="0" w:line="240" w:lineRule="auto"/>
        <w:jc w:val="both"/>
        <w:rPr>
          <w:rFonts w:ascii="Arial" w:hAnsi="Arial" w:cs="Arial"/>
          <w:sz w:val="20"/>
          <w:szCs w:val="20"/>
        </w:rPr>
      </w:pPr>
    </w:p>
    <w:p w14:paraId="510C0881"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Novena Época</w:t>
      </w:r>
    </w:p>
    <w:p w14:paraId="55AF17AD"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Registro: 167882</w:t>
      </w:r>
    </w:p>
    <w:p w14:paraId="392C2762"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Instancia: Primera Sala</w:t>
      </w:r>
    </w:p>
    <w:p w14:paraId="6DEFA4C7"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lastRenderedPageBreak/>
        <w:t>Jurisprudencia</w:t>
      </w:r>
    </w:p>
    <w:p w14:paraId="1D915FC1"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Fuente: Semanario Judicial de la Federación y su Gaceta</w:t>
      </w:r>
    </w:p>
    <w:p w14:paraId="6D133385"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Tomo XXIX, </w:t>
      </w:r>
      <w:proofErr w:type="gramStart"/>
      <w:r w:rsidRPr="00F2709C">
        <w:rPr>
          <w:rFonts w:ascii="Arial" w:hAnsi="Arial" w:cs="Arial"/>
          <w:sz w:val="20"/>
          <w:szCs w:val="20"/>
        </w:rPr>
        <w:t>Febrero</w:t>
      </w:r>
      <w:proofErr w:type="gramEnd"/>
      <w:r w:rsidRPr="00F2709C">
        <w:rPr>
          <w:rFonts w:ascii="Arial" w:hAnsi="Arial" w:cs="Arial"/>
          <w:sz w:val="20"/>
          <w:szCs w:val="20"/>
        </w:rPr>
        <w:t xml:space="preserve"> de 2009</w:t>
      </w:r>
    </w:p>
    <w:p w14:paraId="14AC6F4D"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Materia(s): Penal</w:t>
      </w:r>
    </w:p>
    <w:p w14:paraId="3636ABB9"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1a./J. 117/2008</w:t>
      </w:r>
    </w:p>
    <w:p w14:paraId="6A66AE5F"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Página:   314</w:t>
      </w:r>
    </w:p>
    <w:p w14:paraId="003C6E5F"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PORTACIÓN DE ARMA DE FUEGO SIN LICENCIA. NO SE CONFIGURA ESE DELITO SI UNA PERSONA REALIZA DISPAROS EN SU DOMICILIO SIN LESIONAR BIENES JURÍDICOS, AUN CUANDO NO CUENTE CON EL PERMISO DE LA AUTORIDAD COMPETENTE.</w:t>
      </w:r>
    </w:p>
    <w:p w14:paraId="2962EFA8"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El artículo 10 de la Constitución Política de los Estados Unidos Mexicanos consigna como garantía del gobernado la libertad de poseer armas en su domicilio para su seguridad y legítima defensa, con excepción de las prohibidas expresamente por la Ley Federal y de las reservadas para el uso exclusivo del Ejército, Armada, Fuerza Aérea y Guardia Nacional, disposición que se reproduce en el artículo 15 de la Ley Federal de Armas de Fuego y Explosivos, imponiéndole a quien las posea, la obligación de manifestarlas a la Secretaría de la Defensa Nacional para su registro, cuya omisión actualiza la infracción administrativa prevista en el artículo 77, fracción II, de la legislación citada. Ahora bien, para determinar si se trata de posesión o portación de armas, es relevante especificar el lugar en que se usen, pues conforme a la ley suprema y a la ley reglamentaria de la materia, el término posesión se reserva para el domicilio del gobernado, mientras que la portación trae aparejada la noción de traslado del arma en cuestión, precisamente fuera del domicilio, y sólo puede ejercerse previa obtención de la licencia correspondiente, so pena de incurrir en el delito previsto en el artículo 81 de la Ley indicada. En ese sentido, se concluye que no se configura el delito de portación de arma de fuego sin licencia si una persona realiza disparos en su domicilio sin lesionar bienes jurídicos, aun cuando no cuente con el permiso de la autoridad competente, en tanto que sólo se integra el supuesto normativo de posesión de arma de fuego, pero no de portación. Además, si la legislación federal no prevé como conducta delictiva el disparo de arma de fuego, la hipótesis mencionada no puede ser motivo de sanción a nivel penal, sin menoscabo de que con ella puedan cometerse delitos -como lesiones, homicidio o daño en propiedad ajena- consumados o en grado de tentativa e, incluso, a nivel culposo que, en su caso, habrán de sancionarse.</w:t>
      </w:r>
    </w:p>
    <w:p w14:paraId="5390BBE6"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Contradicción de tesis 49/2008-PS. Ponente: José de Jesús Gudiño Pelayo. Secretaria: Carmina Cortés Rodríguez.</w:t>
      </w:r>
      <w:r w:rsidRPr="00F2709C">
        <w:rPr>
          <w:rFonts w:ascii="Arial" w:hAnsi="Arial" w:cs="Arial"/>
          <w:sz w:val="20"/>
          <w:szCs w:val="20"/>
        </w:rPr>
        <w:cr/>
      </w:r>
      <w:r w:rsidR="00F2709C" w:rsidRPr="00F2709C">
        <w:rPr>
          <w:rFonts w:ascii="Arial" w:hAnsi="Arial" w:cs="Arial"/>
          <w:sz w:val="20"/>
          <w:szCs w:val="20"/>
        </w:rPr>
        <w:t xml:space="preserve"> </w:t>
      </w:r>
    </w:p>
    <w:p w14:paraId="728553CC"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Novena Época</w:t>
      </w:r>
    </w:p>
    <w:p w14:paraId="7FECB2DD"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Registro: 171098</w:t>
      </w:r>
    </w:p>
    <w:p w14:paraId="3696CEEF"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Instancia: Primera Sala</w:t>
      </w:r>
    </w:p>
    <w:p w14:paraId="528D6A09"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Jurisprudencia</w:t>
      </w:r>
    </w:p>
    <w:p w14:paraId="1629B27D"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Fuente: Semanario Judicial de la Federación y su Gaceta</w:t>
      </w:r>
    </w:p>
    <w:p w14:paraId="58B1295E"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Tomo XXVI, </w:t>
      </w:r>
      <w:proofErr w:type="gramStart"/>
      <w:r w:rsidRPr="00F2709C">
        <w:rPr>
          <w:rFonts w:ascii="Arial" w:hAnsi="Arial" w:cs="Arial"/>
          <w:sz w:val="20"/>
          <w:szCs w:val="20"/>
        </w:rPr>
        <w:t>Octubre</w:t>
      </w:r>
      <w:proofErr w:type="gramEnd"/>
      <w:r w:rsidRPr="00F2709C">
        <w:rPr>
          <w:rFonts w:ascii="Arial" w:hAnsi="Arial" w:cs="Arial"/>
          <w:sz w:val="20"/>
          <w:szCs w:val="20"/>
        </w:rPr>
        <w:t xml:space="preserve"> de 2007</w:t>
      </w:r>
    </w:p>
    <w:p w14:paraId="1F8CF1B0"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Materia(s): Penal</w:t>
      </w:r>
    </w:p>
    <w:p w14:paraId="7D20AE0C"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1a./J. 103/2007</w:t>
      </w:r>
    </w:p>
    <w:p w14:paraId="69C1FCA4"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Página:   140</w:t>
      </w:r>
    </w:p>
    <w:p w14:paraId="52060A33"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PORTACIÓN DE ARMA DE FUEGO SIN LICENCIA. LA PRERROGATIVA CONTENIDA EN EL ARTÍCULO 9o., FRACCIÓN II, SEGUNDO PÁRRAFO, DE LA LEY FEDERAL DE ARMAS DE FUEGO Y EXPLOSIVOS, EN FAVOR DE LOS EJIDATARIOS, COMUNEROS Y JORNALEROS DEL CAMPO, SE ACTUALIZA AUN CUANDO SE ENCUENTREN DENTRO DE LA ZONA URBANA EJIDAL O COMUNAL, SI SE TRASLADAN DE </w:t>
      </w:r>
      <w:proofErr w:type="gramStart"/>
      <w:r w:rsidRPr="00F2709C">
        <w:rPr>
          <w:rFonts w:ascii="Arial" w:hAnsi="Arial" w:cs="Arial"/>
          <w:sz w:val="20"/>
          <w:szCs w:val="20"/>
        </w:rPr>
        <w:t>ÉSTA</w:t>
      </w:r>
      <w:proofErr w:type="gramEnd"/>
      <w:r w:rsidRPr="00F2709C">
        <w:rPr>
          <w:rFonts w:ascii="Arial" w:hAnsi="Arial" w:cs="Arial"/>
          <w:sz w:val="20"/>
          <w:szCs w:val="20"/>
        </w:rPr>
        <w:t xml:space="preserve"> U OTRO LUGAR A REALIZAR SUS ACTIVIDADES DE TRABAJO O VICEVERSA.</w:t>
      </w:r>
    </w:p>
    <w:p w14:paraId="4CC23293"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La acepción "zonas urbanas" contenida en el citado precepto legal, para efectos de determinar el ámbito de aplicación de la norma permisiva inmersa en ese numeral en favor de los ejidatarios, comuneros y jornaleros del campo, corresponde al asentamiento humano compuesto por los terrenos en que se ubique la zona de urbanización y el fundo legal del ejido o comunidad, a que aluden los artículos 27 de la Constitución General de la República; 9o., 43, 44, 56, 63 al 66, 68, 73, 76 y 87 de la Ley Agraria y 41, 47 al 51 del Reglamento de la Ley Agraria en Materia de Certificación de Derechos Ejidales y Titulación de Solares, en razón de que la referida acepción no es aplicable únicamente a la ciudad, sino que de acuerdo al marco legal descrito, existen zonas urbanas en los ejidos y comunidades agrarias, en las cuales también debe salvaguardarse el bien jurídico consistente en la vida e integridad de las personas, así como la seguridad y la paz de la colectividad. Lo anterior se corrobora con lo establecido por esta Primera Sala de la Suprema Corte de Justicia de la Nación, en la tesis 1a./J. 111/2004, publicada en el Semanario Judicial de la Federación y su Gaceta, Novena Época, Tomo XXI, enero de 2005, página 314, derivada de la contradicción de tesis 72/2004-PS, en cuya ejecutoria entre otras cosas, se expuso que: "... lo que da lugar al delito de portación de arma de fuego sin licencia ... en lo que corresponde a los ejidatarios, comuneros y jornaleros del campo, es la portación de alguna de las armas previstas ... fuera del radio de acción en el que se desenvuelve en virtud de su actividad de trabajo, esto es, en alguna zona urbana ... pues, en este caso, no se estaría dando el uso para el cual el legislador previó el trato preferente.", lo que acontece precisamente en la zona urbana ejidal o comunal, ya que no es el radio de acción donde dichas personas ejercen la actividad inherente a su calidad específica, como sí lo sería la zona rural. Sin embargo, la prerrogativa contenida en el artículo 9o., fracción II, segundo párrafo, de la Ley Federal de Armas de Fuego y Explosivos también se actualiza cuando los ejidatarios, comuneros y jornaleros del campo, no obstante encontrarse en la zona urbana ejidal o comunal, o bien, provenir de otro lugar, portan el arma al trasladarse de dichos lugares a la zona rural para llevar a cabo sus actividades de trabajo, o bien, cuando con motivo de ello regresen a la referida zona urbana o al lugar de donde provienen, pues en estos casos se justifica el trato preferencial que el legislador estableció a su favor.</w:t>
      </w:r>
    </w:p>
    <w:p w14:paraId="511B0865" w14:textId="77777777" w:rsid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Contradicción de tesis 85/2006-PS. Ponente: Juan N. Silva Meza. Secretario: Jaime Flores Cruz.</w:t>
      </w:r>
      <w:r w:rsidRPr="00F2709C">
        <w:rPr>
          <w:rFonts w:ascii="Arial" w:hAnsi="Arial" w:cs="Arial"/>
          <w:sz w:val="20"/>
          <w:szCs w:val="20"/>
        </w:rPr>
        <w:cr/>
      </w:r>
      <w:r w:rsidR="00F2709C" w:rsidRPr="00F2709C">
        <w:rPr>
          <w:rFonts w:ascii="Arial" w:hAnsi="Arial" w:cs="Arial"/>
          <w:sz w:val="20"/>
          <w:szCs w:val="20"/>
        </w:rPr>
        <w:t xml:space="preserve"> </w:t>
      </w:r>
    </w:p>
    <w:p w14:paraId="151DE01D"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lastRenderedPageBreak/>
        <w:t>Novena Época</w:t>
      </w:r>
    </w:p>
    <w:p w14:paraId="362B6EB6"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Registro: 177627</w:t>
      </w:r>
    </w:p>
    <w:p w14:paraId="3B42FC1B"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Instancia: Tribunales Colegiados de Circuito</w:t>
      </w:r>
    </w:p>
    <w:p w14:paraId="13CE764C"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Aislada</w:t>
      </w:r>
    </w:p>
    <w:p w14:paraId="729CF6F5"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Fuente: Semanario Judicial de la Federación y su Gaceta</w:t>
      </w:r>
    </w:p>
    <w:p w14:paraId="0ABAFB6F"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Tomo XXII, </w:t>
      </w:r>
      <w:proofErr w:type="gramStart"/>
      <w:r w:rsidRPr="00F2709C">
        <w:rPr>
          <w:rFonts w:ascii="Arial" w:hAnsi="Arial" w:cs="Arial"/>
          <w:sz w:val="20"/>
          <w:szCs w:val="20"/>
        </w:rPr>
        <w:t>Agosto</w:t>
      </w:r>
      <w:proofErr w:type="gramEnd"/>
      <w:r w:rsidRPr="00F2709C">
        <w:rPr>
          <w:rFonts w:ascii="Arial" w:hAnsi="Arial" w:cs="Arial"/>
          <w:sz w:val="20"/>
          <w:szCs w:val="20"/>
        </w:rPr>
        <w:t xml:space="preserve"> de 2005</w:t>
      </w:r>
    </w:p>
    <w:p w14:paraId="424C907D"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Materia(s): Penal</w:t>
      </w:r>
    </w:p>
    <w:p w14:paraId="0E4FE9F9"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III.2o.P.171 P</w:t>
      </w:r>
    </w:p>
    <w:p w14:paraId="2ACFB1C7"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Página: 1898</w:t>
      </w:r>
    </w:p>
    <w:p w14:paraId="7CE3DB3B"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DERECHO EXTRANJERO. DEBE DEMOSTRARSE EN EL PROCESO PENAL CUANDO SE ALEGUE EN RELACIÓN CON LA EXCLUYENTE RELATIVA AL ERROR DE PROHIBICIÓN QUE ESTABLECE EL ARTÍCULO 15, FRACCIÓN VIII, INCISO B), DEL CÓDIGO PENAL FEDERAL.</w:t>
      </w:r>
    </w:p>
    <w:p w14:paraId="4C5E72A0"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Cuando el inculpado alega que cometió el delito de portación de arma de fuego sin licencia, bajo la creencia de que su conducta se justifica porque en el país de donde proviene, se permite portar armas con la condición de llevarlas descargadas y separadas de sus cargadores, de conformidad con el artículo 15, fracción VIII, inciso B), del Código Penal Federal, cuyo tenor literal es: "El delito se excluye cuando: ... VIII. Se realice la acción o la omisión bajo un error invencible: ... B) Respecto de la licitud de la conducta, ya sea porque el sujeto desconozca la existencia de la ley o el alcance de </w:t>
      </w:r>
      <w:proofErr w:type="gramStart"/>
      <w:r w:rsidRPr="00F2709C">
        <w:rPr>
          <w:rFonts w:ascii="Arial" w:hAnsi="Arial" w:cs="Arial"/>
          <w:sz w:val="20"/>
          <w:szCs w:val="20"/>
        </w:rPr>
        <w:t>la misma</w:t>
      </w:r>
      <w:proofErr w:type="gramEnd"/>
      <w:r w:rsidRPr="00F2709C">
        <w:rPr>
          <w:rFonts w:ascii="Arial" w:hAnsi="Arial" w:cs="Arial"/>
          <w:sz w:val="20"/>
          <w:szCs w:val="20"/>
        </w:rPr>
        <w:t>, o porque crea que está justificada su conducta."; debe en primer lugar demostrar que el derecho de ese país contiene una norma legal que corrobora su argumentación que precisamente lo llevó a caer en el error. Ahora bien, lo anterior no contraviene el principio jurídico de que el derecho no está sujeto a prueba, pero tratándose del extranjero, el juzgador nacional no está obligado a conocerlo, de ahí que corra a cargo de las partes su demostración al invocarlo en su favor, en términos de la Convención Interamericana sobre Prueba e Información acerca del Derecho Extranjero, publicada en el Diario Oficial de la Federación el veintinueve de abril de mil novecientos ochenta y tres que en lo que interesa convino: "Artículo 1. La presente convención tiene por objeto establecer normas sobre la cooperación internacional entre los Estados-partes para la obtención de elementos de prueba e información acerca del derecho de cada uno de ellos."; por tanto, si el inculpado hace partir su error de preceptos legales a los que estaba sometido en un país extranjero, los cuales estimó aplicables en territorio mexicano, no basta sólo su invocación sino que debe acreditar su existencia y que contemplan los supuestos en el sentido que alega lo hizo caer en la creencia falsa, de tal suerte que si no ofrece pruebas en torno a ese punto, el juzgador no puede emprender el análisis de la excluyente citada.</w:t>
      </w:r>
      <w:r w:rsidRPr="00F2709C">
        <w:rPr>
          <w:rFonts w:ascii="Arial" w:hAnsi="Arial" w:cs="Arial"/>
          <w:sz w:val="20"/>
          <w:szCs w:val="20"/>
        </w:rPr>
        <w:cr/>
        <w:t>SEGUNDO TRIBUNAL COLEGIADO EN MATERIA PENAL DEL TERCER CIRCUITO.</w:t>
      </w:r>
    </w:p>
    <w:p w14:paraId="5E603845"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Amparo directo 84/2005. 15 de abril de 2005. Unanimidad de votos. Ponente: Jorge Humberto Benítez Pimienta. Secretario: Osiris Ramón Cedeño Muñoz.</w:t>
      </w:r>
    </w:p>
    <w:p w14:paraId="2C5B883C" w14:textId="77777777" w:rsidR="00924FAC" w:rsidRPr="00F2709C" w:rsidRDefault="00924FAC" w:rsidP="00924FAC">
      <w:pPr>
        <w:spacing w:after="0" w:line="240" w:lineRule="auto"/>
        <w:jc w:val="both"/>
        <w:rPr>
          <w:rFonts w:ascii="Arial" w:hAnsi="Arial" w:cs="Arial"/>
          <w:sz w:val="20"/>
          <w:szCs w:val="20"/>
        </w:rPr>
      </w:pPr>
    </w:p>
    <w:p w14:paraId="4E861F1E"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Novena Época</w:t>
      </w:r>
    </w:p>
    <w:p w14:paraId="0A649A05"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Registro: 179508</w:t>
      </w:r>
    </w:p>
    <w:p w14:paraId="5075564E"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Instancia: Primera Sala</w:t>
      </w:r>
    </w:p>
    <w:p w14:paraId="407CD9C9"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Jurisprudencia</w:t>
      </w:r>
    </w:p>
    <w:p w14:paraId="10BBB9A2"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Fuente: Semanario Judicial de la Federación y su Gaceta</w:t>
      </w:r>
    </w:p>
    <w:p w14:paraId="0CCD2584"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Tomo XXI, </w:t>
      </w:r>
      <w:proofErr w:type="gramStart"/>
      <w:r w:rsidRPr="00F2709C">
        <w:rPr>
          <w:rFonts w:ascii="Arial" w:hAnsi="Arial" w:cs="Arial"/>
          <w:sz w:val="20"/>
          <w:szCs w:val="20"/>
        </w:rPr>
        <w:t>Enero</w:t>
      </w:r>
      <w:proofErr w:type="gramEnd"/>
      <w:r w:rsidRPr="00F2709C">
        <w:rPr>
          <w:rFonts w:ascii="Arial" w:hAnsi="Arial" w:cs="Arial"/>
          <w:sz w:val="20"/>
          <w:szCs w:val="20"/>
        </w:rPr>
        <w:t xml:space="preserve"> de 2005</w:t>
      </w:r>
    </w:p>
    <w:p w14:paraId="3524EC21"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Materia(s): Penal</w:t>
      </w:r>
    </w:p>
    <w:p w14:paraId="64838A26"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1a./J. 91/2004</w:t>
      </w:r>
    </w:p>
    <w:p w14:paraId="2557BDAE"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Página:   272</w:t>
      </w:r>
    </w:p>
    <w:p w14:paraId="321488F0"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PORTACIÓN DE ARMA DE FUEGO DEL USO EXCLUSIVO DEL EJÉRCITO, ARMADA Y FUERZA AÉREA NACIONALES. LA NO INTEGRACIÓN DE ALGUNO DE LOS ELEMENTOS DE ESTE TIPO COMPLEMENTADO GENERA LA TRASLACIÓN AL TIPO PENAL BÁSICO Y NO ASÍ LA ATIPICIDAD.</w:t>
      </w:r>
    </w:p>
    <w:p w14:paraId="58D63906"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El artículo 81 de la Ley Federal de Armas de Fuego y Explosivos prevé el tipo básico del ilícito de portación de armas de fuego sin licencia, mientras que el numeral 83 del mismo ordenamiento establece el delito de portación sin licencia de armas de fuego de las reservadas al uso exclusivo del Ejército, Armada o Fuerza Aérea. En ambos preceptos la conducta sancionada es la portación de un arma de fuego, sólo que el primero castiga esa conducta cuando el agente porta un arma permitida sin que se le haya expedido la licencia correspondiente, y el segundo prevé un delito complementado al exigir para su actualización la particularidad de que el arma sea del uso exclusivo de las fuerzas castrenses. Ahora bien, en virtud de que los delitos complementados no forman una figura típica autónoma, sino que se constituyen por el básico o fundamental que, en la especie, es la portación de un arma de fuego, más el complemento, consistente en la calidad de reservada para el uso de las fuerzas armadas del país, resulta evidente que cuando no se acredita este segundo elemento subsiste la comisión del previo, el cual continúa presente en su calidad de fundamental. En consecuencia, la no integración de alguno de los elementos del tipo complementado solamente genera una traslación del tipo, mas no así la atipicidad.</w:t>
      </w:r>
    </w:p>
    <w:p w14:paraId="2D569337"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Contradicción de tesis 154/2003-PS. Ponente: Olga Sánchez Cordero de García Villegas. Secretaria: Mariana </w:t>
      </w:r>
      <w:proofErr w:type="spellStart"/>
      <w:r w:rsidRPr="00F2709C">
        <w:rPr>
          <w:rFonts w:ascii="Arial" w:hAnsi="Arial" w:cs="Arial"/>
          <w:sz w:val="20"/>
          <w:szCs w:val="20"/>
        </w:rPr>
        <w:t>Mureddú</w:t>
      </w:r>
      <w:proofErr w:type="spellEnd"/>
      <w:r w:rsidRPr="00F2709C">
        <w:rPr>
          <w:rFonts w:ascii="Arial" w:hAnsi="Arial" w:cs="Arial"/>
          <w:sz w:val="20"/>
          <w:szCs w:val="20"/>
        </w:rPr>
        <w:t xml:space="preserve"> Gilabert.</w:t>
      </w:r>
      <w:r w:rsidRPr="00F2709C">
        <w:rPr>
          <w:rFonts w:ascii="Arial" w:hAnsi="Arial" w:cs="Arial"/>
          <w:sz w:val="20"/>
          <w:szCs w:val="20"/>
        </w:rPr>
        <w:cr/>
      </w:r>
    </w:p>
    <w:p w14:paraId="6D5A7E5E"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Novena Época</w:t>
      </w:r>
    </w:p>
    <w:p w14:paraId="43AED0BD"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Registro: 179507</w:t>
      </w:r>
    </w:p>
    <w:p w14:paraId="248AAE6A"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Instancia: Primera Sala</w:t>
      </w:r>
    </w:p>
    <w:p w14:paraId="7751E47B"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Jurisprudencia</w:t>
      </w:r>
    </w:p>
    <w:p w14:paraId="1BB749EF"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Fuente: Semanario Judicial de la Federación y su Gaceta</w:t>
      </w:r>
    </w:p>
    <w:p w14:paraId="619C040E"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Tomo XXI, </w:t>
      </w:r>
      <w:proofErr w:type="gramStart"/>
      <w:r w:rsidRPr="00F2709C">
        <w:rPr>
          <w:rFonts w:ascii="Arial" w:hAnsi="Arial" w:cs="Arial"/>
          <w:sz w:val="20"/>
          <w:szCs w:val="20"/>
        </w:rPr>
        <w:t>Enero</w:t>
      </w:r>
      <w:proofErr w:type="gramEnd"/>
      <w:r w:rsidRPr="00F2709C">
        <w:rPr>
          <w:rFonts w:ascii="Arial" w:hAnsi="Arial" w:cs="Arial"/>
          <w:sz w:val="20"/>
          <w:szCs w:val="20"/>
        </w:rPr>
        <w:t xml:space="preserve"> de 2005</w:t>
      </w:r>
    </w:p>
    <w:p w14:paraId="395469B3"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lastRenderedPageBreak/>
        <w:t>Materia(s): Penal</w:t>
      </w:r>
    </w:p>
    <w:p w14:paraId="7667BEFB"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1a./J. 111/2004</w:t>
      </w:r>
    </w:p>
    <w:p w14:paraId="0516A3EA"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Página:   314</w:t>
      </w:r>
    </w:p>
    <w:p w14:paraId="509AFDE1"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PORTACIÓN DE ARMA DE FUEGO SIN LICENCIA. SUPUESTO EN QUE NO SE ACTUALIZA ESE DELITO RESPECTO DE LOS EJIDATARIOS, COMUNEROS O JORNALEROS DEL CAMPO.</w:t>
      </w:r>
    </w:p>
    <w:p w14:paraId="650A9194"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El artículo 9o., fracción II, párrafo segundo, de la Ley Federal de Armas de Fuego y Explosivos contiene una prerrogativa otorgada por el legislador a través del establecimiento de una condición objetiva de punibilidad para que se actualice el delito de portación de arma de fuego sin licencia respecto de las personas que tienen la calidad específica de ejidatario, comunero o jornalero del campo, consistente en que quienes con dicha calidad porten un arma de las especificadas en tal precepto, fuera de las zonas urbanas, y hayan manifestado su posesión a la Secretaría de la Defensa Nacional, para los efectos de su inscripción en el Registro Federal de Armas, no incurrirán en conducta delictiva alguna. Sin embargo, esta disposición, interpretada en sentido contrario, tiene implícita una prohibición, también específica, para quienes tienen la calidad referida, por la cual no pueden portar alguna de las armas ahí señaladas dentro de una zona urbana, aun cuando hayan realizado la manifestación respectiva ante las autoridades competentes. En ese sentido, debe entenderse que lo que origina el delito de portación de arma de fuego sin licencia, previsto en el artículo 81, en relación con el 9o., de la Ley Federal de Armas de Fuego y Explosivos, en lo que corresponde a las personas mencionadas, es la portación fuera del radio de acción en el que se desenvuelven por virtud de su actividad, esto es, en alguna zona urbana, aun cuando hubiesen hecho la manifestación respectiva sobre su tenencia, pues en este caso no se estaría dando el uso para el cual el legislador previó el trato preferente. En cambio, cuando el que teniendo la calidad específica mencionada, porte o posea alguna de las armas a que se refiere el párrafo segundo de la fracción II del artículo 9o., de la ley citada fuera de las zonas urbanas, esto es, dentro del radio en que ejerce la actividad inherente a su calidad específica, pero sin haber realizado la manifestación respectiva ante la autoridad correspondiente, no comete el delito de portación de arma de fuego sin licencia, por lo que únicamente se le debe sancionar en términos del artículo 90 de dicha legislación.</w:t>
      </w:r>
    </w:p>
    <w:p w14:paraId="617FC9BC"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Contradicción de tesis 72/2004-PS. Ponente: José Ramón Cossío Díaz. Secretario: Miguel Enrique Sánchez Frías.</w:t>
      </w:r>
      <w:r w:rsidRPr="00F2709C">
        <w:rPr>
          <w:rFonts w:ascii="Arial" w:hAnsi="Arial" w:cs="Arial"/>
          <w:sz w:val="20"/>
          <w:szCs w:val="20"/>
        </w:rPr>
        <w:cr/>
      </w:r>
    </w:p>
    <w:p w14:paraId="7E6B0B82"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Novena Época</w:t>
      </w:r>
    </w:p>
    <w:p w14:paraId="6BA56EBD"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Registro: 181693</w:t>
      </w:r>
    </w:p>
    <w:p w14:paraId="449633E2"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Instancia: Tribunales Colegiados de Circuito</w:t>
      </w:r>
    </w:p>
    <w:p w14:paraId="51513C3E"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Aislada</w:t>
      </w:r>
    </w:p>
    <w:p w14:paraId="3480F9E1"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Fuente: Semanario Judicial de la Federación y su Gaceta</w:t>
      </w:r>
    </w:p>
    <w:p w14:paraId="52FF0108"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Tomo XIX, </w:t>
      </w:r>
      <w:proofErr w:type="gramStart"/>
      <w:r w:rsidRPr="00F2709C">
        <w:rPr>
          <w:rFonts w:ascii="Arial" w:hAnsi="Arial" w:cs="Arial"/>
          <w:sz w:val="20"/>
          <w:szCs w:val="20"/>
        </w:rPr>
        <w:t>Abril</w:t>
      </w:r>
      <w:proofErr w:type="gramEnd"/>
      <w:r w:rsidRPr="00F2709C">
        <w:rPr>
          <w:rFonts w:ascii="Arial" w:hAnsi="Arial" w:cs="Arial"/>
          <w:sz w:val="20"/>
          <w:szCs w:val="20"/>
        </w:rPr>
        <w:t xml:space="preserve"> de 2004</w:t>
      </w:r>
    </w:p>
    <w:p w14:paraId="1BD77703"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Materia(s): Penal</w:t>
      </w:r>
    </w:p>
    <w:p w14:paraId="33FD5F2B"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Tesis: II.2o.P.128 P</w:t>
      </w:r>
    </w:p>
    <w:p w14:paraId="1A38CD7D"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Página:  1451</w:t>
      </w:r>
    </w:p>
    <w:p w14:paraId="102FF839"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PORTACIÓN DE ARMA DE FUEGO CALIBRE 9 MM. PARA JUSTIFICAR LA SANCIÓN AGRAVADA PREVISTA EN EL ARTÍCULO 83, FRACCIÓN II, DE LA LEY FEDERAL RELATIVA, EL DICTAMEN PERICIAL EN BALÍSTICA DEBE CONTENER LAS CARACTERÍSTICAS TÉCNICAS QUE ACREDITEN LA IDENTIFICACIÓN DEL ARTEFACTO DE FUEGO Y SU CALIBRE, ASÍ COMO LOS RAZONAMIENTOS EN QUE SE BASÓ EL EXPERTO PARA DETERMINAR QUE PERTENECE A LAS DE USO EXCLUSIVO DEL EJÉRCITO, ARMADA Y FUERZA AÉREA NACIONALES.</w:t>
      </w:r>
    </w:p>
    <w:p w14:paraId="1B5264F2" w14:textId="77777777" w:rsidR="00924FAC" w:rsidRP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 xml:space="preserve">La portación de un arma (pistola) calibre 9 milímetros sin la autorización correspondiente, en principio, encuadra en la hipótesis de portación de arma de fuego sin licencia, en términos del artículo 81 de la Ley Federal de Armas de Fuego y Explosivos, y en algunos casos en la hipótesis prevista en el diverso artículo 83 del mismo ordenamiento cuando, además de tratarse de una pistola calibre 9 milímetros, es considerada como de uso exclusivo de las Fuerzas Armadas del país, lo que sólo sucede cuando se clasifica como </w:t>
      </w:r>
      <w:proofErr w:type="spellStart"/>
      <w:r w:rsidRPr="00F2709C">
        <w:rPr>
          <w:rFonts w:ascii="Arial" w:hAnsi="Arial" w:cs="Arial"/>
          <w:sz w:val="20"/>
          <w:szCs w:val="20"/>
        </w:rPr>
        <w:t>Luger</w:t>
      </w:r>
      <w:proofErr w:type="spellEnd"/>
      <w:r w:rsidRPr="00F2709C">
        <w:rPr>
          <w:rFonts w:ascii="Arial" w:hAnsi="Arial" w:cs="Arial"/>
          <w:sz w:val="20"/>
          <w:szCs w:val="20"/>
        </w:rPr>
        <w:t xml:space="preserve">, </w:t>
      </w:r>
      <w:proofErr w:type="spellStart"/>
      <w:r w:rsidRPr="00F2709C">
        <w:rPr>
          <w:rFonts w:ascii="Arial" w:hAnsi="Arial" w:cs="Arial"/>
          <w:sz w:val="20"/>
          <w:szCs w:val="20"/>
        </w:rPr>
        <w:t>Parabellum</w:t>
      </w:r>
      <w:proofErr w:type="spellEnd"/>
      <w:r w:rsidRPr="00F2709C">
        <w:rPr>
          <w:rFonts w:ascii="Arial" w:hAnsi="Arial" w:cs="Arial"/>
          <w:sz w:val="20"/>
          <w:szCs w:val="20"/>
        </w:rPr>
        <w:t xml:space="preserve"> o similar a éstas, por la peculiar naturaleza del tipo de cartuchos que utiliza. Por tanto, es en función del principio de especialidad que la portación de esta clase de artefactos encuadra, para efectos de la sanción, en el artículo 83, fracción II (agravado) y no en el 81 de la citada ley, ya que el acreditamiento del factor diferenciador se prevé como un aspecto </w:t>
      </w:r>
      <w:proofErr w:type="spellStart"/>
      <w:r w:rsidRPr="00F2709C">
        <w:rPr>
          <w:rFonts w:ascii="Arial" w:hAnsi="Arial" w:cs="Arial"/>
          <w:sz w:val="20"/>
          <w:szCs w:val="20"/>
        </w:rPr>
        <w:t>cualificador</w:t>
      </w:r>
      <w:proofErr w:type="spellEnd"/>
      <w:r w:rsidRPr="00F2709C">
        <w:rPr>
          <w:rFonts w:ascii="Arial" w:hAnsi="Arial" w:cs="Arial"/>
          <w:sz w:val="20"/>
          <w:szCs w:val="20"/>
        </w:rPr>
        <w:t xml:space="preserve"> o </w:t>
      </w:r>
      <w:proofErr w:type="spellStart"/>
      <w:r w:rsidRPr="00F2709C">
        <w:rPr>
          <w:rFonts w:ascii="Arial" w:hAnsi="Arial" w:cs="Arial"/>
          <w:sz w:val="20"/>
          <w:szCs w:val="20"/>
        </w:rPr>
        <w:t>complementador</w:t>
      </w:r>
      <w:proofErr w:type="spellEnd"/>
      <w:r w:rsidRPr="00F2709C">
        <w:rPr>
          <w:rFonts w:ascii="Arial" w:hAnsi="Arial" w:cs="Arial"/>
          <w:sz w:val="20"/>
          <w:szCs w:val="20"/>
        </w:rPr>
        <w:t xml:space="preserve"> del objeto, consistente en que dicha arma sea del uso exclusivo del Ejército, Armada o Fuerza Aérea. Ahora bien, para poder afirmar la actualización de ese supuesto agravado, se requiere acreditar a plenitud dicha característica atribuible al objeto de la portación, lo que generalmente se puede lograr a través de la prueba pericial en balística en la que se justifique adecuadamente que en realidad se trata de un arma con tales características. Por tanto, la falta de acreditamiento del citado factor de agravación, si bien no resta a la conducta de la portación el carácter de injusto penal, sí imposibilita a sancionar conforme al marco punitivo de mayor grado, lo que indudablemente resulta más benéfico para el reo; consecuentemente, el dictamen pericial en balística que se dicte, de acuerdo con el artículo 234 del Código Federal de Procedimientos Penales, debe contener las características técnicas por las cuales el experto oficial acreditó la existencia del artefacto de fuego y su calibre, así como los razonamientos en que basó su opinión para dictaminar que pertenece a las previstas en el artículo 11, inciso b), de la ley federal citada, lo que resulta indispensable para encuadrar el delito de portación de arma de fuego en relación con el mayor o menor grado de sanción.</w:t>
      </w:r>
      <w:r w:rsidRPr="00F2709C">
        <w:rPr>
          <w:rFonts w:ascii="Arial" w:hAnsi="Arial" w:cs="Arial"/>
          <w:sz w:val="20"/>
          <w:szCs w:val="20"/>
        </w:rPr>
        <w:cr/>
        <w:t>SEGUNDO TRIBUNAL COLEGIADO EN MATERIA PENAL DEL SEGUNDO CIRCUITO.</w:t>
      </w:r>
    </w:p>
    <w:p w14:paraId="42F76145" w14:textId="77777777" w:rsidR="00F2709C" w:rsidRDefault="00924FAC" w:rsidP="00924FAC">
      <w:pPr>
        <w:spacing w:after="0" w:line="240" w:lineRule="auto"/>
        <w:jc w:val="both"/>
        <w:rPr>
          <w:rFonts w:ascii="Arial" w:hAnsi="Arial" w:cs="Arial"/>
          <w:sz w:val="20"/>
          <w:szCs w:val="20"/>
        </w:rPr>
      </w:pPr>
      <w:r w:rsidRPr="00F2709C">
        <w:rPr>
          <w:rFonts w:ascii="Arial" w:hAnsi="Arial" w:cs="Arial"/>
          <w:sz w:val="20"/>
          <w:szCs w:val="20"/>
        </w:rPr>
        <w:t>Amparo directo 99/2003. 20 de marzo de 2003. Unanimidad de votos. Ponente: José Nieves Luna Castro. Secretaria: Raquel Mora Rodríguez.</w:t>
      </w:r>
      <w:r w:rsidRPr="00F2709C">
        <w:rPr>
          <w:rFonts w:ascii="Arial" w:hAnsi="Arial" w:cs="Arial"/>
          <w:sz w:val="20"/>
          <w:szCs w:val="20"/>
        </w:rPr>
        <w:cr/>
      </w:r>
    </w:p>
    <w:p w14:paraId="05977BA2" w14:textId="4924B6C6" w:rsidR="00924FAC" w:rsidRPr="00F2709C" w:rsidRDefault="00924FAC" w:rsidP="00924FAC">
      <w:pPr>
        <w:spacing w:after="0" w:line="240" w:lineRule="auto"/>
        <w:jc w:val="both"/>
        <w:rPr>
          <w:rFonts w:ascii="Arial" w:hAnsi="Arial" w:cs="Arial"/>
          <w:sz w:val="20"/>
          <w:szCs w:val="20"/>
        </w:rPr>
      </w:pPr>
    </w:p>
    <w:sectPr w:rsidR="00924FAC" w:rsidRPr="00F2709C" w:rsidSect="007518A7">
      <w:headerReference w:type="default" r:id="rId6"/>
      <w:pgSz w:w="13000" w:h="16000"/>
      <w:pgMar w:top="720" w:right="720" w:bottom="426" w:left="72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F7559" w14:textId="77777777" w:rsidR="008D6BBB" w:rsidRDefault="008D6BBB" w:rsidP="000A4C1D">
      <w:pPr>
        <w:spacing w:after="0" w:line="240" w:lineRule="auto"/>
      </w:pPr>
      <w:r>
        <w:separator/>
      </w:r>
    </w:p>
  </w:endnote>
  <w:endnote w:type="continuationSeparator" w:id="0">
    <w:p w14:paraId="361B07D3" w14:textId="77777777" w:rsidR="008D6BBB" w:rsidRDefault="008D6BBB" w:rsidP="000A4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E1E3E" w14:textId="77777777" w:rsidR="008D6BBB" w:rsidRDefault="008D6BBB" w:rsidP="000A4C1D">
      <w:pPr>
        <w:spacing w:after="0" w:line="240" w:lineRule="auto"/>
      </w:pPr>
      <w:r>
        <w:separator/>
      </w:r>
    </w:p>
  </w:footnote>
  <w:footnote w:type="continuationSeparator" w:id="0">
    <w:p w14:paraId="3586792F" w14:textId="77777777" w:rsidR="008D6BBB" w:rsidRDefault="008D6BBB" w:rsidP="000A4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2425"/>
      <w:docPartObj>
        <w:docPartGallery w:val="Page Numbers (Top of Page)"/>
        <w:docPartUnique/>
      </w:docPartObj>
    </w:sdtPr>
    <w:sdtEndPr/>
    <w:sdtContent>
      <w:p w14:paraId="734095FA" w14:textId="77777777" w:rsidR="000A4C1D" w:rsidRDefault="006E537E" w:rsidP="00753F67">
        <w:pPr>
          <w:pStyle w:val="Encabezado"/>
          <w:jc w:val="right"/>
        </w:pPr>
        <w:r>
          <w:fldChar w:fldCharType="begin"/>
        </w:r>
        <w:r>
          <w:instrText xml:space="preserve"> PAGE   \* MERGEFORMAT </w:instrText>
        </w:r>
        <w:r>
          <w:fldChar w:fldCharType="separate"/>
        </w:r>
        <w:r w:rsidR="00924FAC">
          <w:rPr>
            <w:noProof/>
          </w:rPr>
          <w:t>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1134"/>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0E4"/>
    <w:rsid w:val="00010215"/>
    <w:rsid w:val="00094C0D"/>
    <w:rsid w:val="000A4C1D"/>
    <w:rsid w:val="000B3920"/>
    <w:rsid w:val="000E728E"/>
    <w:rsid w:val="00103450"/>
    <w:rsid w:val="00134E17"/>
    <w:rsid w:val="00152AD2"/>
    <w:rsid w:val="001805B2"/>
    <w:rsid w:val="00196505"/>
    <w:rsid w:val="001A4E76"/>
    <w:rsid w:val="00236020"/>
    <w:rsid w:val="00260439"/>
    <w:rsid w:val="00282EC8"/>
    <w:rsid w:val="002961CF"/>
    <w:rsid w:val="002A3173"/>
    <w:rsid w:val="00321E9C"/>
    <w:rsid w:val="00333729"/>
    <w:rsid w:val="003359B8"/>
    <w:rsid w:val="00340990"/>
    <w:rsid w:val="00362720"/>
    <w:rsid w:val="00371072"/>
    <w:rsid w:val="00391FCB"/>
    <w:rsid w:val="003B0FF7"/>
    <w:rsid w:val="003B5206"/>
    <w:rsid w:val="003C136D"/>
    <w:rsid w:val="003D4E01"/>
    <w:rsid w:val="003E148D"/>
    <w:rsid w:val="004256A0"/>
    <w:rsid w:val="0043351E"/>
    <w:rsid w:val="0045624A"/>
    <w:rsid w:val="00460973"/>
    <w:rsid w:val="00486C04"/>
    <w:rsid w:val="004A5B9F"/>
    <w:rsid w:val="004F204B"/>
    <w:rsid w:val="005412B1"/>
    <w:rsid w:val="00594738"/>
    <w:rsid w:val="005A3FF9"/>
    <w:rsid w:val="005C16C9"/>
    <w:rsid w:val="005C56BB"/>
    <w:rsid w:val="00605931"/>
    <w:rsid w:val="00611FC1"/>
    <w:rsid w:val="00617A4D"/>
    <w:rsid w:val="00626E65"/>
    <w:rsid w:val="006333BE"/>
    <w:rsid w:val="00640BC5"/>
    <w:rsid w:val="0068388D"/>
    <w:rsid w:val="00687786"/>
    <w:rsid w:val="0069187E"/>
    <w:rsid w:val="006B7F4D"/>
    <w:rsid w:val="006C51CE"/>
    <w:rsid w:val="006D3358"/>
    <w:rsid w:val="006D3FA0"/>
    <w:rsid w:val="006E537E"/>
    <w:rsid w:val="00731977"/>
    <w:rsid w:val="007501E0"/>
    <w:rsid w:val="007518A7"/>
    <w:rsid w:val="00753F67"/>
    <w:rsid w:val="00777FB1"/>
    <w:rsid w:val="007D6C38"/>
    <w:rsid w:val="007F1D2D"/>
    <w:rsid w:val="008403A8"/>
    <w:rsid w:val="00867481"/>
    <w:rsid w:val="00882598"/>
    <w:rsid w:val="008A093C"/>
    <w:rsid w:val="008A42D1"/>
    <w:rsid w:val="008D6BBB"/>
    <w:rsid w:val="008E6A56"/>
    <w:rsid w:val="008F1ADC"/>
    <w:rsid w:val="008F2518"/>
    <w:rsid w:val="008F7BF5"/>
    <w:rsid w:val="009016CB"/>
    <w:rsid w:val="00915387"/>
    <w:rsid w:val="00924FAC"/>
    <w:rsid w:val="0094434F"/>
    <w:rsid w:val="00955468"/>
    <w:rsid w:val="009A0843"/>
    <w:rsid w:val="009A2124"/>
    <w:rsid w:val="009A4AEF"/>
    <w:rsid w:val="009C420B"/>
    <w:rsid w:val="009F1186"/>
    <w:rsid w:val="00A05D2A"/>
    <w:rsid w:val="00A42E3A"/>
    <w:rsid w:val="00A47FF6"/>
    <w:rsid w:val="00A61658"/>
    <w:rsid w:val="00A77584"/>
    <w:rsid w:val="00AC7A3D"/>
    <w:rsid w:val="00AE551C"/>
    <w:rsid w:val="00B17A21"/>
    <w:rsid w:val="00B3414E"/>
    <w:rsid w:val="00B55DCE"/>
    <w:rsid w:val="00B8254D"/>
    <w:rsid w:val="00BA0A28"/>
    <w:rsid w:val="00BA58E0"/>
    <w:rsid w:val="00BA68DB"/>
    <w:rsid w:val="00BB3211"/>
    <w:rsid w:val="00BD2975"/>
    <w:rsid w:val="00BE2586"/>
    <w:rsid w:val="00C00125"/>
    <w:rsid w:val="00C4570E"/>
    <w:rsid w:val="00C527E5"/>
    <w:rsid w:val="00C61B55"/>
    <w:rsid w:val="00C703A1"/>
    <w:rsid w:val="00C72E0F"/>
    <w:rsid w:val="00C84AB0"/>
    <w:rsid w:val="00CE420C"/>
    <w:rsid w:val="00D03902"/>
    <w:rsid w:val="00D20418"/>
    <w:rsid w:val="00D4151A"/>
    <w:rsid w:val="00D63007"/>
    <w:rsid w:val="00D704AE"/>
    <w:rsid w:val="00D743EA"/>
    <w:rsid w:val="00D8177C"/>
    <w:rsid w:val="00D91D89"/>
    <w:rsid w:val="00D920E4"/>
    <w:rsid w:val="00D946D1"/>
    <w:rsid w:val="00D977CF"/>
    <w:rsid w:val="00DB52E8"/>
    <w:rsid w:val="00E0255D"/>
    <w:rsid w:val="00E07EE1"/>
    <w:rsid w:val="00E1021F"/>
    <w:rsid w:val="00E22005"/>
    <w:rsid w:val="00E22769"/>
    <w:rsid w:val="00E476BB"/>
    <w:rsid w:val="00E600FF"/>
    <w:rsid w:val="00EB193A"/>
    <w:rsid w:val="00EC0710"/>
    <w:rsid w:val="00EE65CE"/>
    <w:rsid w:val="00EE6627"/>
    <w:rsid w:val="00F2709C"/>
    <w:rsid w:val="00F41B7B"/>
    <w:rsid w:val="00F71216"/>
    <w:rsid w:val="00F80E44"/>
    <w:rsid w:val="00F91230"/>
    <w:rsid w:val="00FA44B7"/>
    <w:rsid w:val="00FC2733"/>
    <w:rsid w:val="00FC6E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1A7C9D"/>
  <w15:docId w15:val="{7A350298-6C64-4023-BEE7-7315A4D33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A4D"/>
    <w:pPr>
      <w:spacing w:after="200" w:line="276" w:lineRule="auto"/>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617A4D"/>
    <w:pPr>
      <w:widowControl w:val="0"/>
      <w:autoSpaceDE w:val="0"/>
      <w:autoSpaceDN w:val="0"/>
      <w:adjustRightInd w:val="0"/>
    </w:pPr>
    <w:rPr>
      <w:rFonts w:ascii="Arial" w:hAnsi="Arial" w:cs="Arial"/>
      <w:sz w:val="24"/>
      <w:szCs w:val="24"/>
    </w:rPr>
  </w:style>
  <w:style w:type="paragraph" w:styleId="Textodeglobo">
    <w:name w:val="Balloon Text"/>
    <w:basedOn w:val="Normal"/>
    <w:link w:val="TextodegloboCar"/>
    <w:uiPriority w:val="99"/>
    <w:semiHidden/>
    <w:unhideWhenUsed/>
    <w:rsid w:val="002961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61CF"/>
    <w:rPr>
      <w:rFonts w:ascii="Tahoma" w:hAnsi="Tahoma" w:cs="Tahoma"/>
      <w:sz w:val="16"/>
      <w:szCs w:val="16"/>
    </w:rPr>
  </w:style>
  <w:style w:type="paragraph" w:styleId="Encabezado">
    <w:name w:val="header"/>
    <w:basedOn w:val="Normal"/>
    <w:link w:val="EncabezadoCar"/>
    <w:uiPriority w:val="99"/>
    <w:unhideWhenUsed/>
    <w:rsid w:val="000A4C1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A4C1D"/>
    <w:rPr>
      <w:sz w:val="22"/>
      <w:szCs w:val="22"/>
    </w:rPr>
  </w:style>
  <w:style w:type="paragraph" w:styleId="Piedepgina">
    <w:name w:val="footer"/>
    <w:basedOn w:val="Normal"/>
    <w:link w:val="PiedepginaCar"/>
    <w:uiPriority w:val="99"/>
    <w:unhideWhenUsed/>
    <w:rsid w:val="000A4C1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A4C1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7316</Words>
  <Characters>40239</Characters>
  <Application>Microsoft Office Word</Application>
  <DocSecurity>0</DocSecurity>
  <Lines>335</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calvaradoa</dc:creator>
  <cp:lastModifiedBy>Sandy López</cp:lastModifiedBy>
  <cp:revision>3</cp:revision>
  <cp:lastPrinted>2010-08-30T20:07:00Z</cp:lastPrinted>
  <dcterms:created xsi:type="dcterms:W3CDTF">2021-06-18T23:09:00Z</dcterms:created>
  <dcterms:modified xsi:type="dcterms:W3CDTF">2021-08-06T16:11:00Z</dcterms:modified>
</cp:coreProperties>
</file>