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830A4C" w:rsidRDefault="00875D0D" w:rsidP="00875D0D">
      <w:pPr>
        <w:jc w:val="both"/>
        <w:rPr>
          <w:rFonts w:asciiTheme="majorHAnsi" w:hAnsiTheme="majorHAnsi" w:cs="Arial"/>
          <w:b/>
          <w:sz w:val="22"/>
          <w:szCs w:val="26"/>
          <w:lang w:val="es-MX"/>
        </w:rPr>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sumarios: </w:t>
      </w:r>
      <w:r w:rsidRPr="004E1E63">
        <w:rPr>
          <w:rFonts w:ascii="Georgia" w:hAnsi="Georgia" w:cs="Arial"/>
          <w:b/>
          <w:sz w:val="22"/>
          <w:szCs w:val="26"/>
          <w:lang w:val="es-MX"/>
        </w:rPr>
        <w:t>9</w:t>
      </w:r>
      <w:r w:rsidR="001E30E6">
        <w:rPr>
          <w:rFonts w:ascii="Georgia" w:hAnsi="Georgia" w:cs="Arial"/>
          <w:b/>
          <w:sz w:val="22"/>
          <w:szCs w:val="26"/>
          <w:lang w:val="es-MX"/>
        </w:rPr>
        <w:t>7</w:t>
      </w:r>
      <w:r w:rsidR="00BA3A9A">
        <w:rPr>
          <w:rFonts w:ascii="Georgia" w:hAnsi="Georgia" w:cs="Arial"/>
          <w:b/>
          <w:sz w:val="22"/>
          <w:szCs w:val="26"/>
          <w:lang w:val="es-MX"/>
        </w:rPr>
        <w:t>.</w:t>
      </w:r>
      <w:r w:rsidR="00891F2E">
        <w:rPr>
          <w:rFonts w:ascii="Georgia" w:hAnsi="Georgia" w:cs="Arial"/>
          <w:b/>
          <w:sz w:val="22"/>
          <w:szCs w:val="26"/>
          <w:lang w:val="es-MX"/>
        </w:rPr>
        <w:t>68</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sz w:val="22"/>
          <w:szCs w:val="26"/>
          <w:lang w:val="es-MX"/>
        </w:rPr>
      </w:pP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Porcentaje de procedimientos ordinarios: </w:t>
      </w:r>
      <w:r w:rsidR="001E30E6">
        <w:rPr>
          <w:rFonts w:ascii="Georgia" w:hAnsi="Georgia" w:cs="Arial"/>
          <w:b/>
          <w:sz w:val="22"/>
          <w:szCs w:val="26"/>
          <w:lang w:val="es-MX"/>
        </w:rPr>
        <w:t>2</w:t>
      </w:r>
      <w:r w:rsidR="00CC1A8E">
        <w:rPr>
          <w:rFonts w:ascii="Georgia" w:hAnsi="Georgia" w:cs="Arial"/>
          <w:b/>
          <w:sz w:val="22"/>
          <w:szCs w:val="26"/>
          <w:lang w:val="es-MX"/>
        </w:rPr>
        <w:t>.</w:t>
      </w:r>
      <w:r w:rsidR="00891F2E">
        <w:rPr>
          <w:rFonts w:ascii="Georgia" w:hAnsi="Georgia" w:cs="Arial"/>
          <w:b/>
          <w:sz w:val="22"/>
          <w:szCs w:val="26"/>
          <w:lang w:val="es-MX"/>
        </w:rPr>
        <w:t>32</w:t>
      </w:r>
      <w:r w:rsidRPr="004E1E6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875D0D">
      <w:pPr>
        <w:ind w:left="709"/>
        <w:jc w:val="both"/>
        <w:rPr>
          <w:rFonts w:ascii="Georgia" w:hAnsi="Georgia" w:cs="Arial"/>
          <w:b/>
          <w:sz w:val="22"/>
          <w:szCs w:val="26"/>
          <w:lang w:val="es-MX"/>
        </w:rPr>
      </w:pPr>
      <w:r w:rsidRPr="00830A4C">
        <w:rPr>
          <w:rFonts w:ascii="Georgia" w:hAnsi="Georgia" w:cs="Arial"/>
          <w:b/>
          <w:sz w:val="22"/>
          <w:szCs w:val="26"/>
          <w:lang w:val="es-MX"/>
        </w:rPr>
        <w:t>Gráfica:</w:t>
      </w:r>
    </w:p>
    <w:p w:rsidR="00891F2E" w:rsidRDefault="00891F2E" w:rsidP="00875D0D">
      <w:pPr>
        <w:ind w:left="709"/>
        <w:jc w:val="both"/>
        <w:rPr>
          <w:rFonts w:ascii="Georgia" w:hAnsi="Georgia" w:cs="Arial"/>
          <w:b/>
          <w:sz w:val="22"/>
          <w:szCs w:val="26"/>
          <w:lang w:val="es-MX"/>
        </w:rPr>
      </w:pPr>
    </w:p>
    <w:p w:rsidR="00FE23D2" w:rsidRDefault="00891F2E" w:rsidP="00875D0D">
      <w:pPr>
        <w:ind w:left="709"/>
        <w:jc w:val="both"/>
        <w:rPr>
          <w:rFonts w:ascii="Georgia" w:hAnsi="Georgia" w:cs="Arial"/>
          <w:b/>
          <w:sz w:val="22"/>
          <w:szCs w:val="26"/>
          <w:lang w:val="es-MX"/>
        </w:rPr>
      </w:pPr>
      <w:r>
        <w:rPr>
          <w:noProof/>
          <w:lang w:val="es-ES" w:eastAsia="es-ES"/>
        </w:rPr>
        <w:drawing>
          <wp:inline distT="0" distB="0" distL="0" distR="0" wp14:anchorId="5827CAF1" wp14:editId="0D2BABCC">
            <wp:extent cx="4879507" cy="275463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Pr="004E1E63"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875D0D" w:rsidRDefault="00875D0D" w:rsidP="00E975AD">
      <w:pPr>
        <w:ind w:left="709"/>
        <w:jc w:val="both"/>
      </w:pPr>
      <w:r w:rsidRPr="00830A4C">
        <w:rPr>
          <w:rFonts w:ascii="Georgia" w:hAnsi="Georgia" w:cs="Arial"/>
          <w:b/>
          <w:sz w:val="22"/>
          <w:szCs w:val="26"/>
        </w:rPr>
        <w:t>Resultados:</w:t>
      </w:r>
      <w:r w:rsidR="004E1E63">
        <w:tab/>
      </w: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875D0D" w:rsidRPr="008725AA" w:rsidTr="006C75B7">
        <w:trPr>
          <w:trHeight w:val="34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875D0D" w:rsidRPr="00577FA5" w:rsidRDefault="00875D0D" w:rsidP="006C75B7">
            <w:pPr>
              <w:rPr>
                <w:rFonts w:ascii="Georgia" w:hAnsi="Georgia" w:cs="Arial"/>
                <w:sz w:val="20"/>
                <w:szCs w:val="20"/>
              </w:rPr>
            </w:pPr>
            <w:r w:rsidRPr="00577FA5">
              <w:rPr>
                <w:rFonts w:ascii="Georgia" w:hAnsi="Georgia" w:cs="Arial"/>
                <w:sz w:val="20"/>
                <w:szCs w:val="20"/>
              </w:rPr>
              <w:t>Distrito Federal</w:t>
            </w:r>
            <w:r w:rsidRPr="00577FA5">
              <w:rPr>
                <w:rStyle w:val="Refdenotaalpie"/>
                <w:rFonts w:ascii="Georgia" w:hAnsi="Georgia" w:cs="Arial"/>
                <w:sz w:val="20"/>
                <w:szCs w:val="20"/>
              </w:rPr>
              <w:footnoteReference w:id="3"/>
            </w:r>
          </w:p>
        </w:tc>
        <w:tc>
          <w:tcPr>
            <w:tcW w:w="1417" w:type="dxa"/>
            <w:tcBorders>
              <w:top w:val="nil"/>
              <w:left w:val="nil"/>
              <w:bottom w:val="single" w:sz="8" w:space="0" w:color="auto"/>
              <w:right w:val="single" w:sz="8" w:space="0" w:color="auto"/>
            </w:tcBorders>
            <w:shd w:val="clear" w:color="auto" w:fill="auto"/>
            <w:noWrap/>
            <w:vAlign w:val="center"/>
          </w:tcPr>
          <w:p w:rsidR="00875D0D" w:rsidRPr="00577FA5" w:rsidRDefault="006C75B7" w:rsidP="006C75B7">
            <w:pPr>
              <w:jc w:val="center"/>
              <w:rPr>
                <w:rFonts w:ascii="Georgia" w:hAnsi="Georgia" w:cs="Arial"/>
                <w:sz w:val="20"/>
                <w:szCs w:val="20"/>
              </w:rPr>
            </w:pPr>
            <w:r w:rsidRPr="006C75B7">
              <w:rPr>
                <w:rFonts w:ascii="Georgia" w:hAnsi="Georgia" w:cs="Arial"/>
                <w:sz w:val="20"/>
                <w:szCs w:val="20"/>
              </w:rPr>
              <w:t>2</w:t>
            </w:r>
            <w:r>
              <w:rPr>
                <w:rFonts w:ascii="Georgia" w:hAnsi="Georgia" w:cs="Arial"/>
                <w:sz w:val="20"/>
                <w:szCs w:val="20"/>
              </w:rPr>
              <w:t>,</w:t>
            </w:r>
            <w:r w:rsidRPr="006C75B7">
              <w:rPr>
                <w:rFonts w:ascii="Georgia" w:hAnsi="Georgia" w:cs="Arial"/>
                <w:sz w:val="20"/>
                <w:szCs w:val="20"/>
              </w:rPr>
              <w:t>242</w:t>
            </w:r>
          </w:p>
        </w:tc>
        <w:tc>
          <w:tcPr>
            <w:tcW w:w="1418" w:type="dxa"/>
            <w:tcBorders>
              <w:top w:val="nil"/>
              <w:left w:val="nil"/>
              <w:bottom w:val="single" w:sz="8" w:space="0" w:color="auto"/>
              <w:right w:val="single" w:sz="8" w:space="0" w:color="auto"/>
            </w:tcBorders>
            <w:shd w:val="clear" w:color="auto" w:fill="auto"/>
            <w:noWrap/>
            <w:vAlign w:val="center"/>
          </w:tcPr>
          <w:p w:rsidR="00875D0D" w:rsidRPr="00577FA5" w:rsidRDefault="006C75B7" w:rsidP="006C75B7">
            <w:pPr>
              <w:jc w:val="center"/>
              <w:rPr>
                <w:rFonts w:ascii="Georgia" w:hAnsi="Georgia" w:cs="Arial"/>
                <w:sz w:val="20"/>
                <w:szCs w:val="20"/>
              </w:rPr>
            </w:pPr>
            <w:r>
              <w:rPr>
                <w:rFonts w:ascii="Georgia" w:hAnsi="Georgia" w:cs="Arial"/>
                <w:sz w:val="20"/>
                <w:szCs w:val="20"/>
              </w:rPr>
              <w:t>17.14%</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Tijuana, B.C.</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1,127</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8.61%</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Zacatecas, Zac.</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978</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7.48%</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Ensenada, B.C.</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801</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6.12%</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Toluca, Edo. de Mex.</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599</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4.58%</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Ciudad Obregón, Son.</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598</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4.57%</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Tlaxcala, Tlax.</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592</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4.52%</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Monterrey, N.L.</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473</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3.62%</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Cancún, Q. Roo</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403</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3.08%</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Oaxaca, Oax</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396</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3.03%</w:t>
            </w:r>
          </w:p>
        </w:tc>
      </w:tr>
      <w:tr w:rsidR="006C75B7" w:rsidRPr="006C75B7"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79444E" w:rsidRDefault="006C75B7" w:rsidP="006C75B7">
            <w:pPr>
              <w:rPr>
                <w:rFonts w:ascii="Georgia" w:hAnsi="Georgia" w:cs="Arial"/>
                <w:sz w:val="20"/>
                <w:szCs w:val="20"/>
                <w:lang w:val="es-MX"/>
              </w:rPr>
            </w:pPr>
            <w:r w:rsidRPr="0079444E">
              <w:rPr>
                <w:rFonts w:ascii="Georgia" w:hAnsi="Georgia" w:cs="Arial"/>
                <w:sz w:val="20"/>
                <w:szCs w:val="20"/>
                <w:lang w:val="es-MX"/>
              </w:rPr>
              <w:t>San Luis Potosí, S.L.P.</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366</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2.80%</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Morelia, Mich.</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359</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2.74%</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 xml:space="preserve">Acapulco, Gro. </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344</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2.63%</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Culiacán, Sin.</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339</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2.59%</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Aguascalientes, Ags</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327</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2.50%</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Durango, Dgo.</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234</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1.79%</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Colima, Col.</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226</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1.73%</w:t>
            </w:r>
          </w:p>
        </w:tc>
      </w:tr>
      <w:tr w:rsidR="006C75B7" w:rsidRPr="00402C70" w:rsidTr="004C15CF">
        <w:trPr>
          <w:trHeight w:val="340"/>
        </w:trPr>
        <w:tc>
          <w:tcPr>
            <w:tcW w:w="4962" w:type="dxa"/>
            <w:tcBorders>
              <w:top w:val="nil"/>
              <w:left w:val="single" w:sz="8" w:space="0" w:color="auto"/>
              <w:bottom w:val="single" w:sz="8" w:space="0" w:color="auto"/>
              <w:right w:val="single" w:sz="8" w:space="0" w:color="auto"/>
            </w:tcBorders>
            <w:shd w:val="clear" w:color="auto" w:fill="auto"/>
            <w:noWrap/>
          </w:tcPr>
          <w:p w:rsidR="006C75B7" w:rsidRPr="006C75B7" w:rsidRDefault="006C75B7" w:rsidP="006C75B7">
            <w:pPr>
              <w:rPr>
                <w:rFonts w:ascii="Georgia" w:hAnsi="Georgia" w:cs="Arial"/>
                <w:sz w:val="20"/>
                <w:szCs w:val="20"/>
              </w:rPr>
            </w:pPr>
            <w:r w:rsidRPr="006C75B7">
              <w:rPr>
                <w:rFonts w:ascii="Georgia" w:hAnsi="Georgia" w:cs="Arial"/>
                <w:sz w:val="20"/>
                <w:szCs w:val="20"/>
              </w:rPr>
              <w:t>Cuernavaca, Mor.</w:t>
            </w:r>
          </w:p>
        </w:tc>
        <w:tc>
          <w:tcPr>
            <w:tcW w:w="1417"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200</w:t>
            </w:r>
          </w:p>
        </w:tc>
        <w:tc>
          <w:tcPr>
            <w:tcW w:w="1418" w:type="dxa"/>
            <w:tcBorders>
              <w:top w:val="nil"/>
              <w:left w:val="nil"/>
              <w:bottom w:val="single" w:sz="8" w:space="0" w:color="auto"/>
              <w:right w:val="single" w:sz="8" w:space="0" w:color="auto"/>
            </w:tcBorders>
            <w:shd w:val="clear" w:color="auto" w:fill="auto"/>
            <w:noWrap/>
          </w:tcPr>
          <w:p w:rsidR="006C75B7" w:rsidRPr="006C75B7" w:rsidRDefault="006C75B7" w:rsidP="006C75B7">
            <w:pPr>
              <w:jc w:val="center"/>
              <w:rPr>
                <w:rFonts w:ascii="Georgia" w:hAnsi="Georgia" w:cs="Arial"/>
                <w:sz w:val="20"/>
                <w:szCs w:val="20"/>
              </w:rPr>
            </w:pPr>
            <w:r w:rsidRPr="006C75B7">
              <w:rPr>
                <w:rFonts w:ascii="Georgia" w:hAnsi="Georgia" w:cs="Arial"/>
                <w:sz w:val="20"/>
                <w:szCs w:val="20"/>
              </w:rPr>
              <w:t>1.53%</w:t>
            </w:r>
          </w:p>
        </w:tc>
      </w:tr>
    </w:tbl>
    <w:tbl>
      <w:tblPr>
        <w:tblW w:w="7802" w:type="dxa"/>
        <w:tblInd w:w="708" w:type="dxa"/>
        <w:tblCellMar>
          <w:left w:w="70" w:type="dxa"/>
          <w:right w:w="70" w:type="dxa"/>
        </w:tblCellMar>
        <w:tblLook w:val="04A0" w:firstRow="1" w:lastRow="0" w:firstColumn="1" w:lastColumn="0" w:noHBand="0" w:noVBand="1"/>
      </w:tblPr>
      <w:tblGrid>
        <w:gridCol w:w="5000"/>
        <w:gridCol w:w="1370"/>
        <w:gridCol w:w="64"/>
        <w:gridCol w:w="1368"/>
      </w:tblGrid>
      <w:tr w:rsidR="00F303BA" w:rsidTr="006C75B7">
        <w:trPr>
          <w:trHeight w:val="319"/>
        </w:trPr>
        <w:tc>
          <w:tcPr>
            <w:tcW w:w="5000" w:type="dxa"/>
            <w:tcBorders>
              <w:top w:val="nil"/>
              <w:left w:val="single" w:sz="8" w:space="0" w:color="auto"/>
              <w:bottom w:val="single" w:sz="8" w:space="0" w:color="auto"/>
              <w:right w:val="single" w:sz="8" w:space="0" w:color="auto"/>
            </w:tcBorders>
            <w:shd w:val="clear" w:color="auto" w:fill="auto"/>
            <w:noWrap/>
            <w:vAlign w:val="center"/>
          </w:tcPr>
          <w:p w:rsidR="00F303BA" w:rsidRPr="00F303BA" w:rsidRDefault="00891F2E" w:rsidP="00F303BA">
            <w:pPr>
              <w:rPr>
                <w:rFonts w:asciiTheme="majorHAnsi" w:hAnsiTheme="majorHAnsi"/>
                <w:sz w:val="20"/>
                <w:szCs w:val="20"/>
              </w:rPr>
            </w:pPr>
            <w:r w:rsidRPr="00891F2E">
              <w:rPr>
                <w:rFonts w:asciiTheme="majorHAnsi" w:hAnsiTheme="majorHAnsi"/>
                <w:sz w:val="20"/>
                <w:szCs w:val="20"/>
              </w:rPr>
              <w:t>Torreón, Coah.</w:t>
            </w:r>
          </w:p>
        </w:tc>
        <w:tc>
          <w:tcPr>
            <w:tcW w:w="1370" w:type="dxa"/>
            <w:tcBorders>
              <w:top w:val="nil"/>
              <w:left w:val="nil"/>
              <w:bottom w:val="single" w:sz="8" w:space="0" w:color="auto"/>
              <w:right w:val="single" w:sz="8" w:space="0" w:color="auto"/>
            </w:tcBorders>
            <w:shd w:val="clear" w:color="auto" w:fill="auto"/>
            <w:noWrap/>
            <w:vAlign w:val="center"/>
          </w:tcPr>
          <w:p w:rsidR="00F303BA" w:rsidRPr="00F303BA" w:rsidRDefault="00891F2E" w:rsidP="00F303BA">
            <w:pPr>
              <w:jc w:val="center"/>
              <w:rPr>
                <w:rFonts w:asciiTheme="majorHAnsi" w:hAnsiTheme="majorHAnsi"/>
                <w:sz w:val="20"/>
                <w:szCs w:val="20"/>
              </w:rPr>
            </w:pPr>
            <w:r>
              <w:rPr>
                <w:rFonts w:asciiTheme="majorHAnsi" w:hAnsiTheme="majorHAnsi"/>
                <w:sz w:val="20"/>
                <w:szCs w:val="20"/>
              </w:rPr>
              <w:t>185</w:t>
            </w:r>
          </w:p>
        </w:tc>
        <w:tc>
          <w:tcPr>
            <w:tcW w:w="1432" w:type="dxa"/>
            <w:gridSpan w:val="2"/>
            <w:tcBorders>
              <w:top w:val="nil"/>
              <w:left w:val="nil"/>
              <w:bottom w:val="single" w:sz="8" w:space="0" w:color="auto"/>
              <w:right w:val="single" w:sz="8" w:space="0" w:color="auto"/>
            </w:tcBorders>
            <w:shd w:val="clear" w:color="auto" w:fill="auto"/>
            <w:noWrap/>
            <w:vAlign w:val="center"/>
          </w:tcPr>
          <w:p w:rsidR="00F303BA" w:rsidRPr="00F303BA" w:rsidRDefault="00891F2E" w:rsidP="00F303BA">
            <w:pPr>
              <w:jc w:val="center"/>
              <w:rPr>
                <w:rFonts w:asciiTheme="majorHAnsi" w:hAnsiTheme="majorHAnsi"/>
                <w:sz w:val="20"/>
                <w:szCs w:val="20"/>
              </w:rPr>
            </w:pPr>
            <w:r>
              <w:rPr>
                <w:rFonts w:asciiTheme="majorHAnsi" w:hAnsiTheme="majorHAnsi"/>
                <w:sz w:val="20"/>
                <w:szCs w:val="20"/>
              </w:rPr>
              <w:t>1.41%</w:t>
            </w:r>
          </w:p>
        </w:tc>
      </w:tr>
      <w:tr w:rsidR="002D0E84" w:rsidRPr="00875D0D" w:rsidTr="006C75B7">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434" w:type="dxa"/>
            <w:gridSpan w:val="2"/>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C75B7">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434" w:type="dxa"/>
            <w:gridSpan w:val="2"/>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3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 xml:space="preserve">Tepic, Nay. </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171</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1.31%</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León, Gto.</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164</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1.25%</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Mérida, Yuc.</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145</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1.11%</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Querétaro, Qro.</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137</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1.05%</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Tapachula, Chis.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133</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1.02%</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Guadalajara, Jal.</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127</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0.97%</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Xalapa, Ver.</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125</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0.96%</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Chetumal, Q.Roo</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116</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0.89%</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Puebla, Pue.</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106</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0.81%</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Chihuahua, Chih.</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97</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0.74%</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Ciudad Victoria, Tamps.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96</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0.73%</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Uruapan, Mich.</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94</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0.72%</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 xml:space="preserve">Pachuca, Hgo. </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85</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0.65%</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Saltillo, Coah.</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81</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0.62%</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Tuxtla Gutiérrez, Chis.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76</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0.58%</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Villahermosa, Tab.</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74</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0.57%</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Nuevo Laredo, Tamps.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69</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0.53%</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Mazatlán, Sin.</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54</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0.41%</w:t>
            </w:r>
          </w:p>
        </w:tc>
      </w:tr>
      <w:tr w:rsidR="00891F2E" w:rsidRPr="00A83E36"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Hermosillo, Son.</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52</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0.40%</w:t>
            </w:r>
          </w:p>
        </w:tc>
      </w:tr>
      <w:tr w:rsidR="00891F2E" w:rsidRPr="00A83E36"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Campeche, Camp.</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45</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0.34%</w:t>
            </w:r>
          </w:p>
        </w:tc>
      </w:tr>
      <w:tr w:rsidR="00891F2E" w:rsidRPr="00A83E36"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Guanajuato, Gto.</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45</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0.34%</w:t>
            </w:r>
          </w:p>
        </w:tc>
      </w:tr>
      <w:tr w:rsidR="00891F2E" w:rsidRPr="00A83E36"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Veracruz, Ver.</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43</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0.33%</w:t>
            </w:r>
          </w:p>
        </w:tc>
      </w:tr>
      <w:tr w:rsidR="00891F2E" w:rsidRPr="00A83E36"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Ciudad Juárez, Chih.</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37</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0.28%</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Celaya, Gto.</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32</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0.24%</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Matamoros, Tamps.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27</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0.21%</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Mexicali, B.C</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22</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0.17%</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La Paz, B.C.S.</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22</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0.17%</w:t>
            </w:r>
          </w:p>
        </w:tc>
      </w:tr>
      <w:tr w:rsidR="00891F2E" w:rsidRPr="00577FA5" w:rsidTr="000932F5">
        <w:trPr>
          <w:trHeight w:val="340"/>
        </w:trPr>
        <w:tc>
          <w:tcPr>
            <w:tcW w:w="5000" w:type="dxa"/>
            <w:tcBorders>
              <w:top w:val="nil"/>
              <w:left w:val="single" w:sz="8" w:space="0" w:color="auto"/>
              <w:bottom w:val="single" w:sz="8" w:space="0" w:color="auto"/>
              <w:right w:val="single" w:sz="8" w:space="0" w:color="auto"/>
            </w:tcBorders>
            <w:shd w:val="clear" w:color="auto" w:fill="auto"/>
            <w:noWrap/>
          </w:tcPr>
          <w:p w:rsidR="00891F2E" w:rsidRPr="00891F2E" w:rsidRDefault="00891F2E" w:rsidP="00891F2E">
            <w:pPr>
              <w:rPr>
                <w:rFonts w:ascii="Georgia" w:hAnsi="Georgia" w:cs="Arial"/>
                <w:sz w:val="20"/>
                <w:szCs w:val="20"/>
              </w:rPr>
            </w:pPr>
            <w:r w:rsidRPr="00891F2E">
              <w:rPr>
                <w:rFonts w:ascii="Georgia" w:hAnsi="Georgia" w:cs="Arial"/>
                <w:sz w:val="20"/>
                <w:szCs w:val="20"/>
              </w:rPr>
              <w:t>Lerma, Edo. de Mex.</w:t>
            </w:r>
          </w:p>
        </w:tc>
        <w:tc>
          <w:tcPr>
            <w:tcW w:w="1434" w:type="dxa"/>
            <w:gridSpan w:val="2"/>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19</w:t>
            </w:r>
          </w:p>
        </w:tc>
        <w:tc>
          <w:tcPr>
            <w:tcW w:w="1368" w:type="dxa"/>
            <w:tcBorders>
              <w:top w:val="nil"/>
              <w:left w:val="nil"/>
              <w:bottom w:val="single" w:sz="8" w:space="0" w:color="auto"/>
              <w:right w:val="single" w:sz="8" w:space="0" w:color="auto"/>
            </w:tcBorders>
            <w:shd w:val="clear" w:color="auto" w:fill="auto"/>
            <w:noWrap/>
            <w:vAlign w:val="bottom"/>
          </w:tcPr>
          <w:p w:rsidR="00891F2E" w:rsidRPr="00891F2E" w:rsidRDefault="00891F2E" w:rsidP="00891F2E">
            <w:pPr>
              <w:jc w:val="center"/>
              <w:rPr>
                <w:rFonts w:ascii="Georgia" w:hAnsi="Georgia" w:cs="Arial"/>
                <w:sz w:val="20"/>
                <w:szCs w:val="20"/>
              </w:rPr>
            </w:pPr>
            <w:r w:rsidRPr="00891F2E">
              <w:rPr>
                <w:rFonts w:ascii="Georgia" w:hAnsi="Georgia" w:cs="Arial"/>
                <w:sz w:val="20"/>
                <w:szCs w:val="20"/>
              </w:rPr>
              <w:t>0.15%</w:t>
            </w:r>
          </w:p>
        </w:tc>
      </w:tr>
      <w:tr w:rsidR="002D0E84" w:rsidTr="006C75B7">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2D0E84" w:rsidRPr="001A52FD" w:rsidRDefault="002D0E84" w:rsidP="002D0E84">
            <w:pPr>
              <w:rPr>
                <w:b/>
              </w:rPr>
            </w:pPr>
            <w:r w:rsidRPr="001A52FD">
              <w:rPr>
                <w:b/>
                <w:sz w:val="22"/>
              </w:rPr>
              <w:t>Total</w:t>
            </w:r>
          </w:p>
        </w:tc>
        <w:tc>
          <w:tcPr>
            <w:tcW w:w="1434" w:type="dxa"/>
            <w:gridSpan w:val="2"/>
            <w:tcBorders>
              <w:top w:val="nil"/>
              <w:left w:val="nil"/>
              <w:bottom w:val="single" w:sz="8" w:space="0" w:color="auto"/>
              <w:right w:val="single" w:sz="8" w:space="0" w:color="auto"/>
            </w:tcBorders>
            <w:shd w:val="clear" w:color="auto" w:fill="auto"/>
            <w:noWrap/>
            <w:hideMark/>
          </w:tcPr>
          <w:p w:rsidR="002D0E84" w:rsidRPr="001A52FD" w:rsidRDefault="00891F2E" w:rsidP="00F303BA">
            <w:pPr>
              <w:jc w:val="center"/>
              <w:rPr>
                <w:b/>
              </w:rPr>
            </w:pPr>
            <w:r>
              <w:rPr>
                <w:b/>
              </w:rPr>
              <w:t>13,083</w:t>
            </w:r>
            <w:r w:rsidR="00E975AD" w:rsidRPr="001A52FD">
              <w:rPr>
                <w:rStyle w:val="Refdenotaalpie"/>
                <w:b/>
                <w:sz w:val="22"/>
              </w:rPr>
              <w:footnoteReference w:id="4"/>
            </w:r>
          </w:p>
        </w:tc>
        <w:tc>
          <w:tcPr>
            <w:tcW w:w="1368" w:type="dxa"/>
            <w:tcBorders>
              <w:top w:val="nil"/>
              <w:left w:val="nil"/>
              <w:bottom w:val="single" w:sz="8" w:space="0" w:color="auto"/>
              <w:right w:val="single" w:sz="8" w:space="0" w:color="auto"/>
            </w:tcBorders>
            <w:shd w:val="clear" w:color="auto" w:fill="auto"/>
            <w:noWrap/>
            <w:hideMark/>
          </w:tcPr>
          <w:p w:rsidR="002D0E84" w:rsidRPr="001A52FD" w:rsidRDefault="002D0E84" w:rsidP="00384F28">
            <w:pPr>
              <w:jc w:val="center"/>
              <w:rPr>
                <w:b/>
              </w:rPr>
            </w:pPr>
            <w:r w:rsidRPr="001A52FD">
              <w:rPr>
                <w:b/>
                <w:sz w:val="22"/>
              </w:rPr>
              <w:t>100%</w:t>
            </w:r>
          </w:p>
        </w:tc>
      </w:tr>
    </w:tbl>
    <w:p w:rsidR="00CE48C4" w:rsidRDefault="00891F2E" w:rsidP="00CE48C4">
      <w:pPr>
        <w:ind w:left="720"/>
        <w:jc w:val="both"/>
        <w:rPr>
          <w:rFonts w:ascii="Georgia" w:hAnsi="Georgia" w:cs="Arial"/>
          <w:b/>
          <w:sz w:val="22"/>
          <w:szCs w:val="22"/>
          <w:lang w:val="es-MX"/>
        </w:rPr>
      </w:pPr>
      <w:r>
        <w:rPr>
          <w:noProof/>
          <w:lang w:val="es-ES" w:eastAsia="es-ES"/>
        </w:rPr>
        <w:lastRenderedPageBreak/>
        <w:drawing>
          <wp:inline distT="0" distB="0" distL="0" distR="0" wp14:anchorId="4EE40A2D" wp14:editId="2728449F">
            <wp:extent cx="5096510" cy="7456170"/>
            <wp:effectExtent l="0" t="0" r="889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78C7" w:rsidRDefault="00F578C7" w:rsidP="001A52FD">
      <w:pPr>
        <w:numPr>
          <w:ilvl w:val="0"/>
          <w:numId w:val="2"/>
        </w:numPr>
        <w:jc w:val="both"/>
        <w:rPr>
          <w:rFonts w:ascii="Georgia" w:hAnsi="Georgia" w:cs="Arial"/>
          <w:b/>
          <w:sz w:val="22"/>
          <w:szCs w:val="22"/>
          <w:lang w:val="es-MX"/>
        </w:rPr>
      </w:pPr>
      <w:r w:rsidRPr="003640DF">
        <w:rPr>
          <w:rFonts w:ascii="Georgia" w:hAnsi="Georgia" w:cs="Arial"/>
          <w:b/>
          <w:sz w:val="22"/>
          <w:szCs w:val="22"/>
          <w:lang w:val="es-MX"/>
        </w:rPr>
        <w:lastRenderedPageBreak/>
        <w:t xml:space="preserve">Medio preferido por los gobernados para presentar sus solicitudes de </w:t>
      </w:r>
      <w:r w:rsidR="001A52FD">
        <w:rPr>
          <w:rFonts w:ascii="Georgia" w:hAnsi="Georgia" w:cs="Arial"/>
          <w:b/>
          <w:sz w:val="22"/>
          <w:szCs w:val="22"/>
          <w:lang w:val="es-MX"/>
        </w:rPr>
        <w:t>a</w:t>
      </w:r>
      <w:r w:rsidRPr="003640DF">
        <w:rPr>
          <w:rFonts w:ascii="Georgia" w:hAnsi="Georgia" w:cs="Arial"/>
          <w:b/>
          <w:sz w:val="22"/>
          <w:szCs w:val="22"/>
          <w:lang w:val="es-MX"/>
        </w:rPr>
        <w:t>cceso a la información</w:t>
      </w:r>
      <w:r w:rsidRPr="003640DF">
        <w:rPr>
          <w:rStyle w:val="Refdenotaalpie"/>
          <w:rFonts w:ascii="Georgia" w:hAnsi="Georgia" w:cs="Arial"/>
          <w:b/>
          <w:sz w:val="22"/>
          <w:szCs w:val="22"/>
        </w:rPr>
        <w:footnoteReference w:id="5"/>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F303BA">
        <w:rPr>
          <w:rFonts w:ascii="Georgia" w:hAnsi="Georgia" w:cs="Arial"/>
          <w:b/>
          <w:sz w:val="22"/>
          <w:szCs w:val="22"/>
          <w:lang w:val="es-MX"/>
        </w:rPr>
        <w:t>9</w:t>
      </w:r>
      <w:r w:rsidR="00891F2E">
        <w:rPr>
          <w:rFonts w:ascii="Georgia" w:hAnsi="Georgia" w:cs="Arial"/>
          <w:b/>
          <w:sz w:val="22"/>
          <w:szCs w:val="22"/>
          <w:lang w:val="es-MX"/>
        </w:rPr>
        <w:t>2</w:t>
      </w:r>
      <w:r w:rsidR="00F303BA">
        <w:rPr>
          <w:rFonts w:ascii="Georgia" w:hAnsi="Georgia" w:cs="Arial"/>
          <w:b/>
          <w:sz w:val="22"/>
          <w:szCs w:val="22"/>
          <w:lang w:val="es-MX"/>
        </w:rPr>
        <w:t>.</w:t>
      </w:r>
      <w:r w:rsidR="00891F2E">
        <w:rPr>
          <w:rFonts w:ascii="Georgia" w:hAnsi="Georgia" w:cs="Arial"/>
          <w:b/>
          <w:sz w:val="22"/>
          <w:szCs w:val="22"/>
          <w:lang w:val="es-MX"/>
        </w:rPr>
        <w:t>31</w:t>
      </w:r>
      <w:r w:rsidRPr="003640DF">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electrónicos: </w:t>
      </w:r>
      <w:r w:rsidR="00891F2E">
        <w:rPr>
          <w:rFonts w:ascii="Georgia" w:hAnsi="Georgia" w:cs="Arial"/>
          <w:b/>
          <w:sz w:val="22"/>
          <w:szCs w:val="22"/>
          <w:lang w:val="es-MX"/>
        </w:rPr>
        <w:t>7</w:t>
      </w:r>
      <w:r w:rsidR="00F303BA">
        <w:rPr>
          <w:rFonts w:ascii="Georgia" w:hAnsi="Georgia" w:cs="Arial"/>
          <w:b/>
          <w:sz w:val="22"/>
          <w:szCs w:val="22"/>
          <w:lang w:val="es-MX"/>
        </w:rPr>
        <w:t>.</w:t>
      </w:r>
      <w:r w:rsidR="00891F2E">
        <w:rPr>
          <w:rFonts w:ascii="Georgia" w:hAnsi="Georgia" w:cs="Arial"/>
          <w:b/>
          <w:sz w:val="22"/>
          <w:szCs w:val="22"/>
          <w:lang w:val="es-MX"/>
        </w:rPr>
        <w:t>69</w:t>
      </w:r>
      <w:r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891F2E" w:rsidP="001A52FD">
      <w:pPr>
        <w:pStyle w:val="Lugaryfecha"/>
        <w:ind w:left="0"/>
        <w:jc w:val="center"/>
        <w:rPr>
          <w:lang w:val="es-MX"/>
        </w:rPr>
      </w:pPr>
      <w:r>
        <w:rPr>
          <w:noProof/>
          <w:lang w:eastAsia="es-ES"/>
        </w:rPr>
        <w:drawing>
          <wp:inline distT="0" distB="0" distL="0" distR="0" wp14:anchorId="5BE43460" wp14:editId="6C6BD3CE">
            <wp:extent cx="5326381" cy="3007042"/>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canalizaciones al Consejo de la Judicatura Federal respecto del total de solicitudes: </w:t>
      </w:r>
      <w:r w:rsidR="00891F2E" w:rsidRPr="00891F2E">
        <w:rPr>
          <w:rFonts w:asciiTheme="majorHAnsi" w:hAnsiTheme="majorHAnsi" w:cs="Arial"/>
          <w:b/>
          <w:sz w:val="22"/>
          <w:szCs w:val="26"/>
          <w:lang w:val="es-MX"/>
        </w:rPr>
        <w:t>4</w:t>
      </w:r>
      <w:r w:rsidR="00F303BA" w:rsidRPr="00891F2E">
        <w:rPr>
          <w:rFonts w:asciiTheme="majorHAnsi" w:hAnsiTheme="majorHAnsi" w:cs="Arial"/>
          <w:b/>
          <w:sz w:val="22"/>
          <w:szCs w:val="26"/>
          <w:lang w:val="es-MX"/>
        </w:rPr>
        <w:t>9</w:t>
      </w:r>
      <w:r w:rsidRPr="00574F2C">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891F2E">
        <w:rPr>
          <w:rFonts w:asciiTheme="majorHAnsi" w:hAnsiTheme="majorHAnsi" w:cs="Arial"/>
          <w:b/>
          <w:sz w:val="22"/>
          <w:szCs w:val="26"/>
          <w:lang w:val="es-MX"/>
        </w:rPr>
        <w:t>40</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891F2E" w:rsidRPr="00574F2C" w:rsidRDefault="00891F2E" w:rsidP="00574F2C">
      <w:pPr>
        <w:ind w:left="709"/>
        <w:jc w:val="both"/>
        <w:rPr>
          <w:rFonts w:asciiTheme="majorHAnsi" w:hAnsiTheme="majorHAnsi" w:cs="Arial"/>
          <w:b/>
          <w:sz w:val="22"/>
          <w:szCs w:val="26"/>
        </w:rPr>
      </w:pPr>
    </w:p>
    <w:p w:rsidR="003640DF" w:rsidRDefault="00891F2E" w:rsidP="004C5C24">
      <w:pPr>
        <w:pStyle w:val="Lugaryfecha"/>
        <w:ind w:left="360"/>
        <w:jc w:val="center"/>
        <w:rPr>
          <w:lang w:val="es-MX"/>
        </w:rPr>
      </w:pPr>
      <w:r>
        <w:rPr>
          <w:noProof/>
          <w:lang w:eastAsia="es-ES"/>
        </w:rPr>
        <w:drawing>
          <wp:inline distT="0" distB="0" distL="0" distR="0" wp14:anchorId="20B4DF21" wp14:editId="2361AD4F">
            <wp:extent cx="5850890" cy="29337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solicitudes de información administrativa: </w:t>
      </w:r>
      <w:r w:rsidR="00344AF2">
        <w:rPr>
          <w:rFonts w:asciiTheme="majorHAnsi" w:hAnsiTheme="majorHAnsi" w:cs="Arial"/>
          <w:b/>
          <w:sz w:val="22"/>
          <w:szCs w:val="26"/>
          <w:lang w:val="es-MX"/>
        </w:rPr>
        <w:t>9.20</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Porcentaje de solicitudes de información jurisdiccional: </w:t>
      </w:r>
      <w:r w:rsidR="00344AF2">
        <w:rPr>
          <w:rFonts w:asciiTheme="majorHAnsi" w:hAnsiTheme="majorHAnsi" w:cs="Arial"/>
          <w:b/>
          <w:sz w:val="22"/>
          <w:szCs w:val="26"/>
          <w:lang w:val="es-MX"/>
        </w:rPr>
        <w:t>90.80</w:t>
      </w:r>
      <w:r w:rsidRPr="00574F2C">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891F2E" w:rsidP="00F578C7">
      <w:pPr>
        <w:pStyle w:val="Lugaryfecha"/>
        <w:rPr>
          <w:lang w:val="es-MX"/>
        </w:rPr>
      </w:pPr>
      <w:r>
        <w:rPr>
          <w:noProof/>
          <w:lang w:eastAsia="es-ES"/>
        </w:rPr>
        <w:drawing>
          <wp:inline distT="0" distB="0" distL="0" distR="0" wp14:anchorId="0B79FD07" wp14:editId="50F74126">
            <wp:extent cx="4991769" cy="2908458"/>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9"/>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ordinario: </w:t>
      </w:r>
      <w:r w:rsidR="00255AE8">
        <w:rPr>
          <w:rFonts w:asciiTheme="majorHAnsi" w:hAnsiTheme="majorHAnsi" w:cs="Arial"/>
          <w:b/>
          <w:sz w:val="22"/>
          <w:szCs w:val="26"/>
          <w:lang w:val="es-MX"/>
        </w:rPr>
        <w:t>4</w:t>
      </w:r>
      <w:r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255AE8" w:rsidP="004C4F9A">
      <w:pPr>
        <w:pStyle w:val="Lugaryfecha"/>
        <w:rPr>
          <w:rFonts w:asciiTheme="majorHAnsi" w:hAnsiTheme="majorHAnsi" w:cs="Arial"/>
          <w:b/>
          <w:sz w:val="22"/>
          <w:szCs w:val="26"/>
        </w:rPr>
      </w:pPr>
      <w:r>
        <w:rPr>
          <w:noProof/>
          <w:lang w:eastAsia="es-ES"/>
        </w:rPr>
        <w:drawing>
          <wp:inline distT="0" distB="0" distL="0" distR="0" wp14:anchorId="53ACE4A3" wp14:editId="74676C0C">
            <wp:extent cx="4431506" cy="2990999"/>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10"/>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2C23D4">
        <w:rPr>
          <w:rFonts w:asciiTheme="majorHAnsi" w:hAnsiTheme="majorHAnsi" w:cs="Arial"/>
          <w:b/>
          <w:sz w:val="22"/>
          <w:szCs w:val="22"/>
          <w:lang w:val="es-MX"/>
        </w:rPr>
        <w:t>0</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255AE8" w:rsidP="00F578C7">
      <w:pPr>
        <w:pStyle w:val="Lugaryfecha"/>
        <w:rPr>
          <w:lang w:val="es-MX"/>
        </w:rPr>
      </w:pPr>
      <w:r>
        <w:rPr>
          <w:noProof/>
          <w:lang w:eastAsia="es-ES"/>
        </w:rPr>
        <w:drawing>
          <wp:inline distT="0" distB="0" distL="0" distR="0" wp14:anchorId="290DCB60" wp14:editId="595BAA31">
            <wp:extent cx="5690235" cy="300799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77794B">
        <w:rPr>
          <w:rFonts w:ascii="Georgia" w:hAnsi="Georgia" w:cs="Arial"/>
          <w:b/>
          <w:sz w:val="22"/>
          <w:szCs w:val="22"/>
        </w:rPr>
        <w:t>octubre a diciembre de 2015.</w:t>
      </w:r>
    </w:p>
    <w:p w:rsidR="008068C9" w:rsidRPr="008068C9" w:rsidRDefault="008068C9" w:rsidP="008068C9">
      <w:pPr>
        <w:ind w:left="72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recibidas: </w:t>
      </w:r>
      <w:r w:rsidR="0079444E">
        <w:rPr>
          <w:rFonts w:ascii="Georgia" w:hAnsi="Georgia" w:cs="Arial"/>
          <w:sz w:val="22"/>
          <w:szCs w:val="22"/>
        </w:rPr>
        <w:t>14,092</w:t>
      </w:r>
      <w:r w:rsidRPr="008068C9">
        <w:rPr>
          <w:rFonts w:ascii="Georgia" w:hAnsi="Georgia" w:cs="Arial"/>
          <w:sz w:val="22"/>
          <w:szCs w:val="22"/>
        </w:rPr>
        <w:t>.</w:t>
      </w:r>
    </w:p>
    <w:p w:rsidR="008068C9" w:rsidRPr="008068C9" w:rsidRDefault="008068C9" w:rsidP="008068C9">
      <w:pPr>
        <w:ind w:left="1134"/>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en trámite: </w:t>
      </w:r>
      <w:r w:rsidR="0079444E">
        <w:rPr>
          <w:rFonts w:ascii="Georgia" w:hAnsi="Georgia" w:cs="Arial"/>
          <w:sz w:val="22"/>
          <w:szCs w:val="22"/>
        </w:rPr>
        <w:t>134</w:t>
      </w:r>
      <w:r w:rsidRPr="008068C9">
        <w:rPr>
          <w:rFonts w:ascii="Georgia" w:hAnsi="Georgia" w:cs="Arial"/>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de información resueltas: </w:t>
      </w:r>
      <w:r w:rsidR="0079444E">
        <w:rPr>
          <w:rFonts w:ascii="Georgia" w:hAnsi="Georgia" w:cs="Arial"/>
          <w:sz w:val="22"/>
          <w:szCs w:val="22"/>
        </w:rPr>
        <w:t>13,958</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EA741A">
        <w:rPr>
          <w:rFonts w:ascii="Georgia" w:hAnsi="Georgia" w:cs="Arial"/>
          <w:sz w:val="22"/>
          <w:szCs w:val="22"/>
        </w:rPr>
        <w:t>1,0</w:t>
      </w:r>
      <w:r w:rsidR="0079444E">
        <w:rPr>
          <w:rFonts w:ascii="Georgia" w:hAnsi="Georgia" w:cs="Arial"/>
          <w:sz w:val="22"/>
          <w:szCs w:val="22"/>
        </w:rPr>
        <w:t>84</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presencial: </w:t>
      </w:r>
      <w:r w:rsidR="0079444E">
        <w:rPr>
          <w:rFonts w:ascii="Georgia" w:hAnsi="Georgia" w:cs="Arial"/>
          <w:sz w:val="22"/>
          <w:szCs w:val="22"/>
        </w:rPr>
        <w:t>13,008</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79444E">
        <w:rPr>
          <w:rFonts w:ascii="Georgia" w:hAnsi="Georgia" w:cs="Arial"/>
          <w:sz w:val="22"/>
          <w:szCs w:val="22"/>
        </w:rPr>
        <w:t>40</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Sumario.</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w:t>
      </w:r>
      <w:r w:rsidR="0079444E">
        <w:rPr>
          <w:rFonts w:ascii="Georgia" w:hAnsi="Georgia" w:cs="Arial"/>
          <w:sz w:val="22"/>
          <w:szCs w:val="22"/>
        </w:rPr>
        <w:t>13</w:t>
      </w:r>
      <w:r w:rsidR="00EA741A">
        <w:rPr>
          <w:rFonts w:ascii="Georgia" w:hAnsi="Georgia" w:cs="Arial"/>
          <w:sz w:val="22"/>
          <w:szCs w:val="22"/>
        </w:rPr>
        <w:t>,</w:t>
      </w:r>
      <w:r w:rsidR="0079444E">
        <w:rPr>
          <w:rFonts w:ascii="Georgia" w:hAnsi="Georgia" w:cs="Arial"/>
          <w:sz w:val="22"/>
          <w:szCs w:val="22"/>
        </w:rPr>
        <w:t>699</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sumario a través de los Módulos de Acceso a la Información: </w:t>
      </w:r>
      <w:r w:rsidR="00EA741A">
        <w:rPr>
          <w:rFonts w:ascii="Georgia" w:hAnsi="Georgia" w:cs="Arial"/>
          <w:sz w:val="22"/>
          <w:szCs w:val="22"/>
        </w:rPr>
        <w:t>1</w:t>
      </w:r>
      <w:r w:rsidR="0079444E">
        <w:rPr>
          <w:rFonts w:ascii="Georgia" w:hAnsi="Georgia" w:cs="Arial"/>
          <w:sz w:val="22"/>
          <w:szCs w:val="22"/>
        </w:rPr>
        <w:t>3</w:t>
      </w:r>
      <w:r w:rsidR="00EA741A">
        <w:rPr>
          <w:rFonts w:ascii="Georgia" w:hAnsi="Georgia" w:cs="Arial"/>
          <w:sz w:val="22"/>
          <w:szCs w:val="22"/>
        </w:rPr>
        <w:t>,</w:t>
      </w:r>
      <w:r w:rsidR="0079444E">
        <w:rPr>
          <w:rFonts w:ascii="Georgia" w:hAnsi="Georgia" w:cs="Arial"/>
          <w:sz w:val="22"/>
          <w:szCs w:val="22"/>
        </w:rPr>
        <w:t>083</w:t>
      </w:r>
      <w:r w:rsidRPr="008068C9">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bibliohemerográfica en el Distrito Federal: </w:t>
      </w:r>
      <w:r w:rsidR="00EA741A">
        <w:rPr>
          <w:rFonts w:ascii="Georgia" w:hAnsi="Georgia" w:cs="Arial"/>
          <w:sz w:val="22"/>
          <w:szCs w:val="22"/>
        </w:rPr>
        <w:t>6</w:t>
      </w:r>
      <w:r w:rsidR="00E46D93">
        <w:rPr>
          <w:rFonts w:ascii="Georgia" w:hAnsi="Georgia" w:cs="Arial"/>
          <w:sz w:val="22"/>
          <w:szCs w:val="22"/>
        </w:rPr>
        <w:t>16</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ante la Unidad de Enlace: </w:t>
      </w:r>
      <w:r w:rsidR="00EA741A">
        <w:rPr>
          <w:rFonts w:ascii="Georgia" w:hAnsi="Georgia" w:cs="Arial"/>
          <w:sz w:val="22"/>
          <w:szCs w:val="22"/>
        </w:rPr>
        <w:t>290</w:t>
      </w:r>
      <w:r w:rsidRPr="008068C9">
        <w:rPr>
          <w:rFonts w:ascii="Georgia" w:hAnsi="Georgia" w:cs="Arial"/>
          <w:sz w:val="22"/>
          <w:szCs w:val="22"/>
        </w:rPr>
        <w:t>.</w:t>
      </w:r>
    </w:p>
    <w:p w:rsid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Total de solicitudes canalizadas al Consejo de la Judicatura Federal</w:t>
      </w:r>
      <w:r w:rsidR="006B2A12">
        <w:rPr>
          <w:rFonts w:ascii="Georgia" w:hAnsi="Georgia" w:cs="Arial"/>
          <w:sz w:val="22"/>
          <w:szCs w:val="22"/>
        </w:rPr>
        <w:t xml:space="preserve"> o alguna otra institución pública</w:t>
      </w:r>
      <w:r w:rsidRPr="008068C9">
        <w:rPr>
          <w:rFonts w:ascii="Georgia" w:hAnsi="Georgia" w:cs="Arial"/>
          <w:sz w:val="22"/>
          <w:szCs w:val="22"/>
        </w:rPr>
        <w:t xml:space="preserve">: </w:t>
      </w:r>
      <w:r w:rsidR="00E46D93">
        <w:rPr>
          <w:rFonts w:ascii="Georgia" w:hAnsi="Georgia" w:cs="Arial"/>
          <w:sz w:val="22"/>
          <w:szCs w:val="22"/>
        </w:rPr>
        <w:t>4</w:t>
      </w:r>
      <w:r w:rsidR="00EA741A">
        <w:rPr>
          <w:rFonts w:ascii="Georgia" w:hAnsi="Georgia" w:cs="Arial"/>
          <w:sz w:val="22"/>
          <w:szCs w:val="22"/>
        </w:rPr>
        <w:t>9</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que se ordenó su archivo por no desahogarse la prevención: </w:t>
      </w:r>
      <w:r w:rsidR="00E46D93">
        <w:rPr>
          <w:rFonts w:ascii="Georgia" w:hAnsi="Georgia" w:cs="Arial"/>
          <w:sz w:val="22"/>
          <w:szCs w:val="22"/>
        </w:rPr>
        <w:t>18</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solicitudes tramitadas mediante procedimiento ordinario: </w:t>
      </w:r>
      <w:r w:rsidR="00E46D93">
        <w:rPr>
          <w:rFonts w:ascii="Georgia" w:hAnsi="Georgia" w:cs="Arial"/>
          <w:sz w:val="22"/>
          <w:szCs w:val="22"/>
        </w:rPr>
        <w:t>326</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administrativo: </w:t>
      </w:r>
      <w:r w:rsidR="00E46D93">
        <w:rPr>
          <w:rFonts w:ascii="Georgia" w:hAnsi="Georgia" w:cs="Arial"/>
          <w:sz w:val="22"/>
          <w:szCs w:val="22"/>
        </w:rPr>
        <w:t>30</w:t>
      </w:r>
      <w:r w:rsidRPr="008068C9">
        <w:rPr>
          <w:rFonts w:ascii="Georgia" w:hAnsi="Georgia" w:cs="Arial"/>
          <w:sz w:val="22"/>
          <w:szCs w:val="22"/>
        </w:rPr>
        <w:t>.</w:t>
      </w:r>
    </w:p>
    <w:p w:rsidR="008068C9" w:rsidRPr="008068C9" w:rsidRDefault="008068C9" w:rsidP="008068C9">
      <w:pPr>
        <w:pStyle w:val="Prrafodelista"/>
        <w:ind w:left="1560"/>
        <w:jc w:val="both"/>
        <w:rPr>
          <w:rFonts w:ascii="Georgia" w:hAnsi="Georgia" w:cs="Arial"/>
          <w:sz w:val="22"/>
          <w:szCs w:val="22"/>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Solicitudes de información tramitadas mediante el procedimiento ordinario cuya naturaleza es de carácter jurisdiccional: </w:t>
      </w:r>
      <w:r w:rsidR="00E46D93">
        <w:rPr>
          <w:rFonts w:ascii="Georgia" w:hAnsi="Georgia" w:cs="Arial"/>
          <w:sz w:val="22"/>
          <w:szCs w:val="22"/>
        </w:rPr>
        <w:t>296</w:t>
      </w:r>
      <w:r w:rsidRPr="008068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lastRenderedPageBreak/>
        <w:t xml:space="preserve">Solicitudes de información tramitadas mediante el procedimiento ordinario, en las cuales la Unidad de Enlace  declaró la inexistencia temporal del engrose de las sentencias emitidas por el Pleno y las Salas de este Alto Tribunal: </w:t>
      </w:r>
      <w:r w:rsidR="00EA741A">
        <w:rPr>
          <w:rFonts w:ascii="Georgia" w:hAnsi="Georgia" w:cs="Arial"/>
          <w:sz w:val="22"/>
          <w:szCs w:val="22"/>
        </w:rPr>
        <w:t>5</w:t>
      </w:r>
      <w:r w:rsidR="00E46D93">
        <w:rPr>
          <w:rFonts w:ascii="Georgia" w:hAnsi="Georgia" w:cs="Arial"/>
          <w:sz w:val="22"/>
          <w:szCs w:val="22"/>
        </w:rPr>
        <w:t>0</w:t>
      </w:r>
      <w:r w:rsidRPr="008068C9">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CD73B5">
        <w:rPr>
          <w:rFonts w:ascii="Georgia" w:hAnsi="Georgia" w:cs="Arial"/>
          <w:sz w:val="22"/>
          <w:szCs w:val="22"/>
        </w:rPr>
        <w:t>0</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8068C9" w:rsidRDefault="008068C9" w:rsidP="008068C9">
      <w:pPr>
        <w:numPr>
          <w:ilvl w:val="1"/>
          <w:numId w:val="5"/>
        </w:numPr>
        <w:jc w:val="both"/>
        <w:rPr>
          <w:rFonts w:ascii="Georgia" w:hAnsi="Georgia" w:cs="Arial"/>
          <w:b/>
          <w:sz w:val="22"/>
          <w:szCs w:val="22"/>
        </w:rPr>
      </w:pPr>
      <w:r w:rsidRPr="008068C9">
        <w:rPr>
          <w:rFonts w:ascii="Georgia" w:hAnsi="Georgia" w:cs="Arial"/>
          <w:sz w:val="22"/>
          <w:szCs w:val="22"/>
        </w:rPr>
        <w:t xml:space="preserve">Expedientes turnados: </w:t>
      </w:r>
      <w:r w:rsidR="00EA741A">
        <w:rPr>
          <w:rFonts w:ascii="Georgia" w:hAnsi="Georgia" w:cs="Arial"/>
          <w:sz w:val="22"/>
          <w:szCs w:val="22"/>
        </w:rPr>
        <w:t>4</w:t>
      </w:r>
      <w:r w:rsidRPr="008068C9">
        <w:rPr>
          <w:rFonts w:ascii="Georgia" w:hAnsi="Georgia" w:cs="Arial"/>
          <w:sz w:val="22"/>
          <w:szCs w:val="22"/>
        </w:rPr>
        <w:t>.</w:t>
      </w:r>
    </w:p>
    <w:p w:rsidR="008068C9" w:rsidRPr="008068C9" w:rsidRDefault="008068C9" w:rsidP="008068C9">
      <w:pPr>
        <w:pStyle w:val="Prrafodelista"/>
        <w:rPr>
          <w:rFonts w:ascii="Georgia" w:hAnsi="Georgia" w:cs="Arial"/>
          <w:b/>
          <w:sz w:val="22"/>
          <w:szCs w:val="22"/>
        </w:rPr>
      </w:pPr>
    </w:p>
    <w:p w:rsidR="008068C9" w:rsidRPr="008068C9" w:rsidRDefault="008068C9" w:rsidP="008068C9">
      <w:pPr>
        <w:numPr>
          <w:ilvl w:val="1"/>
          <w:numId w:val="5"/>
        </w:numPr>
        <w:jc w:val="both"/>
        <w:rPr>
          <w:rFonts w:ascii="Georgia" w:hAnsi="Georgia" w:cs="Arial"/>
          <w:sz w:val="22"/>
          <w:szCs w:val="22"/>
        </w:rPr>
      </w:pPr>
      <w:r w:rsidRPr="008068C9">
        <w:rPr>
          <w:rFonts w:ascii="Georgia" w:hAnsi="Georgia" w:cs="Arial"/>
          <w:sz w:val="22"/>
          <w:szCs w:val="22"/>
        </w:rPr>
        <w:t>Clasificaciones de información:</w:t>
      </w:r>
      <w:r w:rsidR="00350507">
        <w:rPr>
          <w:rFonts w:ascii="Georgia" w:hAnsi="Georgia" w:cs="Arial"/>
          <w:sz w:val="22"/>
          <w:szCs w:val="22"/>
        </w:rPr>
        <w:t xml:space="preserve"> </w:t>
      </w:r>
      <w:r w:rsidR="00E46D93">
        <w:rPr>
          <w:rFonts w:ascii="Georgia" w:hAnsi="Georgia" w:cs="Arial"/>
          <w:sz w:val="22"/>
          <w:szCs w:val="22"/>
        </w:rPr>
        <w:t>4</w:t>
      </w:r>
      <w:r w:rsidRPr="008068C9">
        <w:rPr>
          <w:rFonts w:ascii="Georgia" w:hAnsi="Georgia" w:cs="Arial"/>
          <w:sz w:val="22"/>
          <w:szCs w:val="22"/>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r w:rsidRPr="008068C9">
        <w:rPr>
          <w:rFonts w:ascii="Georgia" w:hAnsi="Georgia" w:cs="Arial"/>
          <w:sz w:val="22"/>
          <w:szCs w:val="22"/>
        </w:rPr>
        <w:t xml:space="preserve">Recursos de </w:t>
      </w:r>
      <w:r w:rsidR="008956EE">
        <w:rPr>
          <w:rFonts w:ascii="Georgia" w:hAnsi="Georgia" w:cs="Arial"/>
          <w:sz w:val="22"/>
          <w:szCs w:val="22"/>
        </w:rPr>
        <w:t>r</w:t>
      </w:r>
      <w:r w:rsidRPr="008068C9">
        <w:rPr>
          <w:rFonts w:ascii="Georgia" w:hAnsi="Georgia" w:cs="Arial"/>
          <w:sz w:val="22"/>
          <w:szCs w:val="22"/>
        </w:rPr>
        <w:t xml:space="preserve">evisión interpuestos: </w:t>
      </w:r>
      <w:r w:rsidR="00EA741A">
        <w:rPr>
          <w:rFonts w:ascii="Georgia" w:hAnsi="Georgia" w:cs="Arial"/>
          <w:sz w:val="22"/>
          <w:szCs w:val="22"/>
        </w:rPr>
        <w:t>0</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BA4F6A">
        <w:rPr>
          <w:rFonts w:asciiTheme="majorHAnsi" w:hAnsiTheme="majorHAnsi" w:cs="Arial"/>
          <w:sz w:val="22"/>
          <w:szCs w:val="22"/>
          <w:lang w:val="es-MX"/>
        </w:rPr>
        <w:t>0</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5A261D">
      <w:headerReference w:type="default" r:id="rId19"/>
      <w:footerReference w:type="default" r:id="rId20"/>
      <w:headerReference w:type="first" r:id="rId21"/>
      <w:footerReference w:type="first" r:id="rId22"/>
      <w:pgSz w:w="12242" w:h="15842" w:code="1"/>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51" w:rsidRDefault="00060651" w:rsidP="000B572B">
      <w:r>
        <w:separator/>
      </w:r>
    </w:p>
  </w:endnote>
  <w:endnote w:type="continuationSeparator" w:id="0">
    <w:p w:rsidR="00060651" w:rsidRDefault="00060651"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CE796A">
          <w:rPr>
            <w:noProof/>
            <w:sz w:val="20"/>
          </w:rPr>
          <w:t>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060651">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51" w:rsidRDefault="00060651" w:rsidP="000B572B">
      <w:r>
        <w:separator/>
      </w:r>
    </w:p>
  </w:footnote>
  <w:footnote w:type="continuationSeparator" w:id="0">
    <w:p w:rsidR="00060651" w:rsidRDefault="00060651"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6C75B7">
        <w:rPr>
          <w:rFonts w:ascii="Arial" w:hAnsi="Arial" w:cs="Arial"/>
          <w:sz w:val="16"/>
          <w:szCs w:val="16"/>
          <w:lang w:val="es-MX"/>
        </w:rPr>
        <w:t>13,699</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6C75B7">
        <w:rPr>
          <w:rFonts w:ascii="Arial" w:hAnsi="Arial" w:cs="Arial"/>
          <w:sz w:val="16"/>
          <w:szCs w:val="16"/>
          <w:lang w:val="es-MX"/>
        </w:rPr>
        <w:t xml:space="preserve">octubre a diciembre </w:t>
      </w:r>
      <w:r w:rsidRPr="00875D0D">
        <w:rPr>
          <w:rFonts w:ascii="Arial" w:hAnsi="Arial" w:cs="Arial"/>
          <w:sz w:val="16"/>
          <w:szCs w:val="16"/>
          <w:lang w:val="es-MX"/>
        </w:rPr>
        <w:t>de 201</w:t>
      </w:r>
      <w:r w:rsidR="00CC1A8E">
        <w:rPr>
          <w:rFonts w:ascii="Arial" w:hAnsi="Arial" w:cs="Arial"/>
          <w:sz w:val="16"/>
          <w:szCs w:val="16"/>
          <w:lang w:val="es-MX"/>
        </w:rPr>
        <w:t>5</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6C75B7">
        <w:rPr>
          <w:rFonts w:ascii="Arial" w:hAnsi="Arial" w:cs="Arial"/>
          <w:sz w:val="16"/>
          <w:szCs w:val="16"/>
          <w:lang w:val="es-MX"/>
        </w:rPr>
        <w:t>326</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olicitudes de información a través de procedimiento sumario de cada Módulo de Acceso a la Información.</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17624E" w:rsidRPr="006F66AC" w:rsidRDefault="0017624E" w:rsidP="003E4A06">
      <w:pPr>
        <w:pStyle w:val="Textonotapie"/>
        <w:ind w:left="357"/>
        <w:jc w:val="both"/>
        <w:rPr>
          <w:lang w:val="es-MX"/>
        </w:rPr>
      </w:pPr>
      <w:r w:rsidRPr="003E4A06">
        <w:rPr>
          <w:rStyle w:val="Refdenotaalpie"/>
          <w:rFonts w:ascii="Arial" w:hAnsi="Arial" w:cs="Arial"/>
        </w:rPr>
        <w:footnoteRef/>
      </w:r>
      <w:r>
        <w:t xml:space="preserve"> </w:t>
      </w:r>
      <w:r w:rsidRPr="00211B21">
        <w:rPr>
          <w:rFonts w:ascii="Arial" w:hAnsi="Arial" w:cs="Arial"/>
          <w:sz w:val="16"/>
          <w:szCs w:val="16"/>
        </w:rPr>
        <w:t>Para la interpretación de este resultado debe advertirse que el Distrito Federal cuenta con 5 Módulos de Acceso a la Información  instalados en diversos inmuebles, a diferencia de las demás ciudades que sólo cuentan con uno</w:t>
      </w:r>
      <w:r>
        <w:rPr>
          <w:rFonts w:ascii="Arial" w:hAnsi="Arial" w:cs="Arial"/>
          <w:sz w:val="16"/>
          <w:szCs w:val="16"/>
        </w:rPr>
        <w:t>; además de que se contabilizan en este rubro las solicitudes presentadas ante la Secretaría General de Acuerdos, Subsecretaría General de Acuerdos y Secretarías de Acuerdos de la Primera y Segunda Salas, cuando estas fungen como Módulos de Acceso a la Información.</w:t>
      </w:r>
    </w:p>
  </w:footnote>
  <w:footnote w:id="4">
    <w:p w:rsidR="00E975AD" w:rsidRPr="00611810" w:rsidRDefault="00E975AD"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C41FC1">
        <w:rPr>
          <w:rFonts w:asciiTheme="minorHAnsi" w:hAnsiTheme="minorHAnsi" w:cstheme="minorHAnsi"/>
          <w:sz w:val="16"/>
        </w:rPr>
        <w:t xml:space="preserve"> Esta cifra sumada a las</w:t>
      </w:r>
      <w:r w:rsidR="00891F2E">
        <w:rPr>
          <w:rFonts w:asciiTheme="minorHAnsi" w:hAnsiTheme="minorHAnsi" w:cstheme="minorHAnsi"/>
          <w:sz w:val="16"/>
        </w:rPr>
        <w:t xml:space="preserve"> 616 </w:t>
      </w:r>
      <w:r w:rsidRPr="00611810">
        <w:rPr>
          <w:rFonts w:asciiTheme="minorHAnsi" w:hAnsiTheme="minorHAnsi" w:cstheme="minorHAnsi"/>
          <w:sz w:val="16"/>
        </w:rPr>
        <w:t xml:space="preserve">consultas de información legislativa y bibliohemerográfica en el Distrito Federal, representan los </w:t>
      </w:r>
      <w:r w:rsidR="00891F2E">
        <w:rPr>
          <w:rFonts w:asciiTheme="minorHAnsi" w:hAnsiTheme="minorHAnsi" w:cstheme="minorHAnsi"/>
          <w:sz w:val="16"/>
        </w:rPr>
        <w:t xml:space="preserve">13,699 </w:t>
      </w:r>
      <w:r w:rsidRPr="00611810">
        <w:rPr>
          <w:rFonts w:asciiTheme="minorHAnsi" w:hAnsiTheme="minorHAnsi" w:cstheme="minorHAnsi"/>
          <w:sz w:val="16"/>
        </w:rPr>
        <w:t>procedimientos sumarios reportados.</w:t>
      </w:r>
    </w:p>
  </w:footnote>
  <w:footnote w:id="5">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solicitudes de información presentadas por las personas a través de medios electrónicos y solicitudes de información presentadas por las personas de manera presencial ante los Módulos de Acceso a la Información.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891F2E">
        <w:rPr>
          <w:rFonts w:ascii="Arial" w:hAnsi="Arial" w:cs="Arial"/>
          <w:sz w:val="16"/>
          <w:szCs w:val="16"/>
          <w:lang w:val="es-MX"/>
        </w:rPr>
        <w:t>14,092</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891F2E">
        <w:rPr>
          <w:rFonts w:ascii="Arial" w:hAnsi="Arial" w:cs="Arial"/>
          <w:sz w:val="16"/>
          <w:szCs w:val="16"/>
          <w:lang w:val="es-MX"/>
        </w:rPr>
        <w:t>4</w:t>
      </w:r>
      <w:r w:rsidR="00F303BA">
        <w:rPr>
          <w:rFonts w:ascii="Arial" w:hAnsi="Arial" w:cs="Arial"/>
          <w:sz w:val="16"/>
          <w:szCs w:val="16"/>
          <w:lang w:val="es-MX"/>
        </w:rPr>
        <w:t>9</w:t>
      </w:r>
      <w:r w:rsidR="00B6709D">
        <w:rPr>
          <w:rFonts w:ascii="Arial" w:hAnsi="Arial" w:cs="Arial"/>
          <w:sz w:val="16"/>
          <w:szCs w:val="16"/>
          <w:lang w:val="es-MX"/>
        </w:rPr>
        <w:t>)</w:t>
      </w:r>
      <w:r w:rsidRPr="00574F2C">
        <w:rPr>
          <w:rFonts w:ascii="Arial" w:hAnsi="Arial" w:cs="Arial"/>
          <w:sz w:val="16"/>
          <w:szCs w:val="16"/>
          <w:lang w:val="es-MX"/>
        </w:rPr>
        <w:t>. Orientaciones otorgadas a las personas para que acudan a otra dependencia, entidad, órgano de gobierno, institución pública</w:t>
      </w:r>
      <w:r w:rsidR="00B6709D">
        <w:rPr>
          <w:rFonts w:ascii="Arial" w:hAnsi="Arial" w:cs="Arial"/>
          <w:sz w:val="16"/>
          <w:szCs w:val="16"/>
          <w:lang w:val="es-MX"/>
        </w:rPr>
        <w:t xml:space="preserve"> (</w:t>
      </w:r>
      <w:r w:rsidR="00891F2E">
        <w:rPr>
          <w:rFonts w:ascii="Arial" w:hAnsi="Arial" w:cs="Arial"/>
          <w:sz w:val="16"/>
          <w:szCs w:val="16"/>
          <w:lang w:val="es-MX"/>
        </w:rPr>
        <w:t>40</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7">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344AF2">
        <w:rPr>
          <w:rFonts w:ascii="Arial" w:hAnsi="Arial" w:cs="Arial"/>
          <w:sz w:val="16"/>
          <w:szCs w:val="16"/>
          <w:lang w:val="es-MX"/>
        </w:rPr>
        <w:t>326</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8">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Pr>
          <w:rFonts w:ascii="Arial" w:hAnsi="Arial" w:cs="Arial"/>
          <w:sz w:val="16"/>
          <w:szCs w:val="16"/>
        </w:rPr>
        <w:t xml:space="preserve">, razón por la cual a partir de esa fecha se incrementó el porcentaje de asuntos de carácter jurisdiccional. </w:t>
      </w:r>
    </w:p>
    <w:p w:rsidR="00574F2C" w:rsidRPr="009158D0" w:rsidRDefault="00574F2C" w:rsidP="00574F2C">
      <w:pPr>
        <w:pStyle w:val="Textonotapie"/>
        <w:rPr>
          <w:lang w:val="es-MX"/>
        </w:rPr>
      </w:pPr>
    </w:p>
  </w:footnote>
  <w:footnote w:id="9">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4C4F9A">
        <w:rPr>
          <w:rFonts w:ascii="Arial" w:hAnsi="Arial" w:cs="Arial"/>
          <w:sz w:val="16"/>
          <w:szCs w:val="16"/>
          <w:lang w:val="es-MX"/>
        </w:rPr>
        <w:t>326</w:t>
      </w:r>
      <w:r w:rsidR="00B61412">
        <w:rPr>
          <w:rFonts w:ascii="Arial" w:hAnsi="Arial" w:cs="Arial"/>
          <w:sz w:val="16"/>
          <w:szCs w:val="16"/>
          <w:lang w:val="es-MX"/>
        </w:rPr>
        <w:t>)</w:t>
      </w:r>
      <w:r w:rsidRPr="00574F2C">
        <w:rPr>
          <w:rFonts w:ascii="Arial" w:hAnsi="Arial" w:cs="Arial"/>
          <w:sz w:val="16"/>
          <w:szCs w:val="16"/>
          <w:lang w:val="es-MX"/>
        </w:rPr>
        <w:t xml:space="preserve"> y turnos al </w:t>
      </w:r>
      <w:r w:rsidR="00417C2B">
        <w:rPr>
          <w:rFonts w:ascii="Arial" w:hAnsi="Arial" w:cs="Arial"/>
          <w:sz w:val="16"/>
          <w:szCs w:val="16"/>
          <w:lang w:val="es-MX"/>
        </w:rPr>
        <w:t>Comité de Transparencia</w:t>
      </w:r>
      <w:r w:rsidR="00B61412">
        <w:rPr>
          <w:rFonts w:ascii="Arial" w:hAnsi="Arial" w:cs="Arial"/>
          <w:sz w:val="16"/>
          <w:szCs w:val="16"/>
          <w:lang w:val="es-MX"/>
        </w:rPr>
        <w:t xml:space="preserve"> (</w:t>
      </w:r>
      <w:r w:rsidR="00EA741A">
        <w:rPr>
          <w:rFonts w:ascii="Arial" w:hAnsi="Arial" w:cs="Arial"/>
          <w:sz w:val="16"/>
          <w:szCs w:val="16"/>
          <w:lang w:val="es-MX"/>
        </w:rPr>
        <w:t>4</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4674B8">
        <w:rPr>
          <w:rFonts w:ascii="Arial" w:hAnsi="Arial" w:cs="Arial"/>
          <w:sz w:val="16"/>
          <w:szCs w:val="16"/>
        </w:rPr>
        <w:t xml:space="preserve">  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10">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procedimiento ordinario y que fueron turnadas al Comité de </w:t>
      </w:r>
      <w:r w:rsidR="00417C2B">
        <w:rPr>
          <w:rFonts w:ascii="Arial" w:hAnsi="Arial" w:cs="Arial"/>
          <w:sz w:val="16"/>
          <w:szCs w:val="16"/>
          <w:lang w:val="es-MX"/>
        </w:rPr>
        <w:t>Transparencia</w:t>
      </w:r>
      <w:r w:rsidRPr="00574F2C">
        <w:rPr>
          <w:rFonts w:ascii="Arial" w:hAnsi="Arial" w:cs="Arial"/>
          <w:sz w:val="16"/>
          <w:szCs w:val="16"/>
          <w:lang w:val="es-MX"/>
        </w:rPr>
        <w:t xml:space="preserve"> y Clasificaciones de Información emitidas por dicho </w:t>
      </w:r>
      <w:r w:rsidR="00417C2B">
        <w:rPr>
          <w:rFonts w:ascii="Arial" w:hAnsi="Arial" w:cs="Arial"/>
          <w:sz w:val="16"/>
          <w:szCs w:val="16"/>
          <w:lang w:val="es-MX"/>
        </w:rPr>
        <w:t>órgano colegiado</w:t>
      </w:r>
      <w:r w:rsidRPr="00574F2C">
        <w:rPr>
          <w:rFonts w:ascii="Arial" w:hAnsi="Arial" w:cs="Arial"/>
          <w:sz w:val="16"/>
          <w:szCs w:val="16"/>
          <w:lang w:val="es-MX"/>
        </w:rPr>
        <w:t xml:space="preserve">. Recursos de Revisión presentados ante </w:t>
      </w:r>
      <w:r w:rsidR="00417C2B">
        <w:rPr>
          <w:rFonts w:ascii="Arial" w:hAnsi="Arial" w:cs="Arial"/>
          <w:sz w:val="16"/>
          <w:szCs w:val="16"/>
          <w:lang w:val="es-MX"/>
        </w:rPr>
        <w:t>el Comité Especializado</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6771FE">
    <w:pPr>
      <w:pStyle w:val="Encabezado"/>
    </w:pPr>
    <w:r>
      <w:rPr>
        <w:noProof/>
        <w:lang w:val="es-ES" w:eastAsia="es-ES"/>
      </w:rPr>
      <mc:AlternateContent>
        <mc:Choice Requires="wps">
          <w:drawing>
            <wp:anchor distT="0" distB="0" distL="114300" distR="114300" simplePos="0" relativeHeight="251663360" behindDoc="0" locked="0" layoutInCell="1" allowOverlap="1" wp14:anchorId="4826A351" wp14:editId="0D54243C">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0F41B7"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Pr>
        <w:noProof/>
        <w:lang w:val="es-ES" w:eastAsia="es-ES"/>
      </w:rPr>
      <w:drawing>
        <wp:anchor distT="0" distB="0" distL="114300" distR="114300" simplePos="0" relativeHeight="251668480" behindDoc="1" locked="0" layoutInCell="1" allowOverlap="1" wp14:anchorId="6FFEC20C" wp14:editId="1B6745AA">
          <wp:simplePos x="0" y="0"/>
          <wp:positionH relativeFrom="page">
            <wp:posOffset>-224790</wp:posOffset>
          </wp:positionH>
          <wp:positionV relativeFrom="page">
            <wp:posOffset>-177165</wp:posOffset>
          </wp:positionV>
          <wp:extent cx="7773670" cy="1623695"/>
          <wp:effectExtent l="0" t="0" r="0" b="0"/>
          <wp:wrapSquare wrapText="bothSides"/>
          <wp:docPr id="2" name="4 Imagen" descr="SCJN_Comunicad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SCJN_Comunicado_2.png"/>
                  <pic:cNvPicPr>
                    <a:picLocks noChangeAspect="1" noChangeArrowheads="1"/>
                  </pic:cNvPicPr>
                </pic:nvPicPr>
                <pic:blipFill>
                  <a:blip r:embed="rId1"/>
                  <a:srcRect/>
                  <a:stretch>
                    <a:fillRect/>
                  </a:stretch>
                </pic:blipFill>
                <pic:spPr bwMode="auto">
                  <a:xfrm>
                    <a:off x="0" y="0"/>
                    <a:ext cx="7773670" cy="1623695"/>
                  </a:xfrm>
                  <a:prstGeom prst="rect">
                    <a:avLst/>
                  </a:prstGeom>
                  <a:noFill/>
                  <a:ln w="9525">
                    <a:noFill/>
                    <a:miter lim="800000"/>
                    <a:headEnd/>
                    <a:tailEnd/>
                  </a:ln>
                </pic:spPr>
              </pic:pic>
            </a:graphicData>
          </a:graphic>
        </wp:anchor>
      </w:drawing>
    </w:r>
    <w:r w:rsidR="00FC0BC6">
      <w:rPr>
        <w:noProof/>
        <w:lang w:val="es-ES" w:eastAsia="es-ES"/>
      </w:rPr>
      <mc:AlternateContent>
        <mc:Choice Requires="wps">
          <w:drawing>
            <wp:anchor distT="0" distB="0" distL="114300" distR="114300" simplePos="0" relativeHeight="251670528" behindDoc="0" locked="0" layoutInCell="1" allowOverlap="1" wp14:anchorId="63E8559C" wp14:editId="63292D1E">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6C75B7" w:rsidP="00F53901">
                          <w:pPr>
                            <w:jc w:val="right"/>
                            <w:rPr>
                              <w:sz w:val="22"/>
                              <w:lang w:val="es-MX"/>
                            </w:rPr>
                          </w:pPr>
                          <w:r>
                            <w:rPr>
                              <w:sz w:val="22"/>
                              <w:lang w:val="es-MX"/>
                            </w:rPr>
                            <w:t xml:space="preserve">Octubre a Diciembre </w:t>
                          </w:r>
                          <w:r w:rsidR="000E0475">
                            <w:rPr>
                              <w:sz w:val="22"/>
                              <w:lang w:val="es-MX"/>
                            </w:rPr>
                            <w:t>de 201</w:t>
                          </w:r>
                          <w:r w:rsidR="00CC1A8E">
                            <w:rPr>
                              <w:sz w:val="22"/>
                              <w:lang w:val="es-MX"/>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E8559C"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Pr="00F53901" w:rsidRDefault="006C75B7" w:rsidP="00F53901">
                    <w:pPr>
                      <w:jc w:val="right"/>
                      <w:rPr>
                        <w:sz w:val="22"/>
                        <w:lang w:val="es-MX"/>
                      </w:rPr>
                    </w:pPr>
                    <w:r>
                      <w:rPr>
                        <w:sz w:val="22"/>
                        <w:lang w:val="es-MX"/>
                      </w:rPr>
                      <w:t xml:space="preserve">Octubre a Diciembre </w:t>
                    </w:r>
                    <w:r w:rsidR="000E0475">
                      <w:rPr>
                        <w:sz w:val="22"/>
                        <w:lang w:val="es-MX"/>
                      </w:rPr>
                      <w:t>de 201</w:t>
                    </w:r>
                    <w:r w:rsidR="00CC1A8E">
                      <w:rPr>
                        <w:sz w:val="22"/>
                        <w:lang w:val="es-MX"/>
                      </w:rPr>
                      <w:t>5</w:t>
                    </w:r>
                  </w:p>
                </w:txbxContent>
              </v:textbox>
            </v:shape>
          </w:pict>
        </mc:Fallback>
      </mc:AlternateContent>
    </w:r>
    <w:r w:rsidR="00FC0BC6">
      <w:rPr>
        <w:noProof/>
        <w:lang w:val="es-ES" w:eastAsia="es-ES"/>
      </w:rPr>
      <mc:AlternateContent>
        <mc:Choice Requires="wps">
          <w:drawing>
            <wp:anchor distT="0" distB="0" distL="114300" distR="114300" simplePos="0" relativeHeight="251664384" behindDoc="0" locked="0" layoutInCell="1" allowOverlap="1" wp14:anchorId="3DB4C3DF" wp14:editId="5ACB1209">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4907EC"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ES" w:eastAsia="es-ES"/>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xmlns:w15="http://schemas.microsoft.com/office/word/2012/wordml"/>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AE302B"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BBB72E"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ES" w:eastAsia="es-ES"/>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60651"/>
    <w:rsid w:val="00062098"/>
    <w:rsid w:val="0007154F"/>
    <w:rsid w:val="00086FAD"/>
    <w:rsid w:val="00087F00"/>
    <w:rsid w:val="000952AA"/>
    <w:rsid w:val="000A0284"/>
    <w:rsid w:val="000A0C86"/>
    <w:rsid w:val="000B572B"/>
    <w:rsid w:val="000D5F4A"/>
    <w:rsid w:val="000E0475"/>
    <w:rsid w:val="000F4586"/>
    <w:rsid w:val="00127378"/>
    <w:rsid w:val="00132FA2"/>
    <w:rsid w:val="0015393D"/>
    <w:rsid w:val="0017624E"/>
    <w:rsid w:val="00180598"/>
    <w:rsid w:val="001863CE"/>
    <w:rsid w:val="0019650C"/>
    <w:rsid w:val="001A52FD"/>
    <w:rsid w:val="001C21C1"/>
    <w:rsid w:val="001E30E6"/>
    <w:rsid w:val="0020117F"/>
    <w:rsid w:val="0021411F"/>
    <w:rsid w:val="0021615F"/>
    <w:rsid w:val="00233FCC"/>
    <w:rsid w:val="00255AE8"/>
    <w:rsid w:val="0026477E"/>
    <w:rsid w:val="00287F19"/>
    <w:rsid w:val="00292B77"/>
    <w:rsid w:val="002C23D4"/>
    <w:rsid w:val="002D0E84"/>
    <w:rsid w:val="002D2D1E"/>
    <w:rsid w:val="002D454B"/>
    <w:rsid w:val="002E484B"/>
    <w:rsid w:val="002E5296"/>
    <w:rsid w:val="002F08CC"/>
    <w:rsid w:val="002F1FC1"/>
    <w:rsid w:val="00304F30"/>
    <w:rsid w:val="003142A0"/>
    <w:rsid w:val="00343AB8"/>
    <w:rsid w:val="00344AF2"/>
    <w:rsid w:val="00350507"/>
    <w:rsid w:val="003532A8"/>
    <w:rsid w:val="0036119F"/>
    <w:rsid w:val="003640DF"/>
    <w:rsid w:val="00375121"/>
    <w:rsid w:val="00384F28"/>
    <w:rsid w:val="003A32C0"/>
    <w:rsid w:val="003B5E4C"/>
    <w:rsid w:val="003C5D50"/>
    <w:rsid w:val="003D1E0F"/>
    <w:rsid w:val="003E1486"/>
    <w:rsid w:val="003E4A06"/>
    <w:rsid w:val="00402C70"/>
    <w:rsid w:val="004040B6"/>
    <w:rsid w:val="00417C2B"/>
    <w:rsid w:val="00430FFF"/>
    <w:rsid w:val="004657FA"/>
    <w:rsid w:val="00492121"/>
    <w:rsid w:val="004A641F"/>
    <w:rsid w:val="004B3F0A"/>
    <w:rsid w:val="004C0B4B"/>
    <w:rsid w:val="004C1906"/>
    <w:rsid w:val="004C1917"/>
    <w:rsid w:val="004C4F9A"/>
    <w:rsid w:val="004C5C24"/>
    <w:rsid w:val="004E1E63"/>
    <w:rsid w:val="004E4FAE"/>
    <w:rsid w:val="00512258"/>
    <w:rsid w:val="00534D7D"/>
    <w:rsid w:val="00537198"/>
    <w:rsid w:val="005454A1"/>
    <w:rsid w:val="00546B9F"/>
    <w:rsid w:val="005541A0"/>
    <w:rsid w:val="00564CF8"/>
    <w:rsid w:val="00574F2C"/>
    <w:rsid w:val="00577FA5"/>
    <w:rsid w:val="005A261D"/>
    <w:rsid w:val="005A4480"/>
    <w:rsid w:val="005A5648"/>
    <w:rsid w:val="005B709B"/>
    <w:rsid w:val="005D24D6"/>
    <w:rsid w:val="005D3B93"/>
    <w:rsid w:val="005E6BE7"/>
    <w:rsid w:val="005F4AA8"/>
    <w:rsid w:val="00611810"/>
    <w:rsid w:val="006336F7"/>
    <w:rsid w:val="00665DF2"/>
    <w:rsid w:val="006771FE"/>
    <w:rsid w:val="00691E19"/>
    <w:rsid w:val="00693E25"/>
    <w:rsid w:val="006A2A1E"/>
    <w:rsid w:val="006B2A12"/>
    <w:rsid w:val="006C42AB"/>
    <w:rsid w:val="006C75B7"/>
    <w:rsid w:val="006D665C"/>
    <w:rsid w:val="007039C5"/>
    <w:rsid w:val="00725941"/>
    <w:rsid w:val="00727013"/>
    <w:rsid w:val="00744A32"/>
    <w:rsid w:val="00751AFF"/>
    <w:rsid w:val="0076149D"/>
    <w:rsid w:val="00775A57"/>
    <w:rsid w:val="00775B11"/>
    <w:rsid w:val="00775B38"/>
    <w:rsid w:val="0077794B"/>
    <w:rsid w:val="0079444E"/>
    <w:rsid w:val="00795ED9"/>
    <w:rsid w:val="00796E14"/>
    <w:rsid w:val="007C1BB1"/>
    <w:rsid w:val="007D0908"/>
    <w:rsid w:val="007E3ACF"/>
    <w:rsid w:val="008068C9"/>
    <w:rsid w:val="00810D81"/>
    <w:rsid w:val="00816679"/>
    <w:rsid w:val="00830A4C"/>
    <w:rsid w:val="0083275C"/>
    <w:rsid w:val="00835B90"/>
    <w:rsid w:val="0084356E"/>
    <w:rsid w:val="008451EC"/>
    <w:rsid w:val="00875D0D"/>
    <w:rsid w:val="00891F2E"/>
    <w:rsid w:val="008956EE"/>
    <w:rsid w:val="008A54B2"/>
    <w:rsid w:val="008A5BCD"/>
    <w:rsid w:val="008A5D85"/>
    <w:rsid w:val="008D420C"/>
    <w:rsid w:val="008F5C63"/>
    <w:rsid w:val="00920F33"/>
    <w:rsid w:val="009247BA"/>
    <w:rsid w:val="00934AD2"/>
    <w:rsid w:val="00941A63"/>
    <w:rsid w:val="00970C3F"/>
    <w:rsid w:val="009828E5"/>
    <w:rsid w:val="009940CE"/>
    <w:rsid w:val="009A424C"/>
    <w:rsid w:val="009C59EF"/>
    <w:rsid w:val="009E5FC9"/>
    <w:rsid w:val="00A16870"/>
    <w:rsid w:val="00A3454E"/>
    <w:rsid w:val="00A5717A"/>
    <w:rsid w:val="00A67EDD"/>
    <w:rsid w:val="00A7560F"/>
    <w:rsid w:val="00A83E36"/>
    <w:rsid w:val="00AA1B75"/>
    <w:rsid w:val="00AA3881"/>
    <w:rsid w:val="00AB56E2"/>
    <w:rsid w:val="00AB7C49"/>
    <w:rsid w:val="00AD1792"/>
    <w:rsid w:val="00AD6BE6"/>
    <w:rsid w:val="00AE14E9"/>
    <w:rsid w:val="00AE1B2D"/>
    <w:rsid w:val="00AE6808"/>
    <w:rsid w:val="00B019C0"/>
    <w:rsid w:val="00B036FE"/>
    <w:rsid w:val="00B03E16"/>
    <w:rsid w:val="00B07518"/>
    <w:rsid w:val="00B2529E"/>
    <w:rsid w:val="00B34B30"/>
    <w:rsid w:val="00B460A8"/>
    <w:rsid w:val="00B5490A"/>
    <w:rsid w:val="00B555BE"/>
    <w:rsid w:val="00B61412"/>
    <w:rsid w:val="00B645C9"/>
    <w:rsid w:val="00B6709D"/>
    <w:rsid w:val="00B83C59"/>
    <w:rsid w:val="00BA3A9A"/>
    <w:rsid w:val="00BA4F6A"/>
    <w:rsid w:val="00BA5F54"/>
    <w:rsid w:val="00BA7ADD"/>
    <w:rsid w:val="00BB18E6"/>
    <w:rsid w:val="00BB411B"/>
    <w:rsid w:val="00BB4F5A"/>
    <w:rsid w:val="00BC1124"/>
    <w:rsid w:val="00BF3E18"/>
    <w:rsid w:val="00BF4C2A"/>
    <w:rsid w:val="00C21F44"/>
    <w:rsid w:val="00C23F85"/>
    <w:rsid w:val="00C41FC1"/>
    <w:rsid w:val="00C4377E"/>
    <w:rsid w:val="00C75CAC"/>
    <w:rsid w:val="00C85EE0"/>
    <w:rsid w:val="00C86B07"/>
    <w:rsid w:val="00C912BE"/>
    <w:rsid w:val="00CC1A8E"/>
    <w:rsid w:val="00CC28C4"/>
    <w:rsid w:val="00CD73B5"/>
    <w:rsid w:val="00CE48C4"/>
    <w:rsid w:val="00CE796A"/>
    <w:rsid w:val="00CF30E6"/>
    <w:rsid w:val="00D54F0B"/>
    <w:rsid w:val="00D55723"/>
    <w:rsid w:val="00D677DC"/>
    <w:rsid w:val="00D712C2"/>
    <w:rsid w:val="00D71A07"/>
    <w:rsid w:val="00D75561"/>
    <w:rsid w:val="00D836C5"/>
    <w:rsid w:val="00D93721"/>
    <w:rsid w:val="00D96944"/>
    <w:rsid w:val="00DB16B4"/>
    <w:rsid w:val="00DC0826"/>
    <w:rsid w:val="00E20E51"/>
    <w:rsid w:val="00E3200E"/>
    <w:rsid w:val="00E46D93"/>
    <w:rsid w:val="00E50368"/>
    <w:rsid w:val="00E5354A"/>
    <w:rsid w:val="00E903E4"/>
    <w:rsid w:val="00E975AD"/>
    <w:rsid w:val="00EA297B"/>
    <w:rsid w:val="00EA741A"/>
    <w:rsid w:val="00EC229E"/>
    <w:rsid w:val="00EF2B2C"/>
    <w:rsid w:val="00F12BC1"/>
    <w:rsid w:val="00F20611"/>
    <w:rsid w:val="00F303BA"/>
    <w:rsid w:val="00F36D63"/>
    <w:rsid w:val="00F53901"/>
    <w:rsid w:val="00F578C7"/>
    <w:rsid w:val="00F64D03"/>
    <w:rsid w:val="00F72BB6"/>
    <w:rsid w:val="00F8014E"/>
    <w:rsid w:val="00FB369D"/>
    <w:rsid w:val="00FC0BC6"/>
    <w:rsid w:val="00FC5CDB"/>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ruizc\Documents\CETAI\ESTAD&#205;STICAS\2015\CONSOLIDADOS\INDICADORES%20DE%20GESTI&#211;N\Cuarto%20Trimestre%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ruizc\Documents\CETAI\ESTAD&#205;STICAS\2015\CONSOLIDADOS\INDICADORES%20DE%20GESTI&#211;N\Cuarto%20Trimestre%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ES"/>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ES"/>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'2015'!$A$5:$A$6</c:f>
              <c:strCache>
                <c:ptCount val="2"/>
                <c:pt idx="0">
                  <c:v>Procedimientos Sumarios</c:v>
                </c:pt>
                <c:pt idx="1">
                  <c:v>Procedimientos Ordinarios</c:v>
                </c:pt>
              </c:strCache>
            </c:strRef>
          </c:cat>
          <c:val>
            <c:numRef>
              <c:f>'2015'!$C$5:$C$6</c:f>
              <c:numCache>
                <c:formatCode>0.00%</c:formatCode>
                <c:ptCount val="2"/>
                <c:pt idx="0">
                  <c:v>0.97675579322638151</c:v>
                </c:pt>
                <c:pt idx="1">
                  <c:v>2.3244206773618537E-2</c:v>
                </c:pt>
              </c:numCache>
            </c:numRef>
          </c:val>
        </c:ser>
        <c:dLbls>
          <c:showLegendKey val="0"/>
          <c:showVal val="0"/>
          <c:showCatName val="1"/>
          <c:showSerName val="0"/>
          <c:showPercent val="0"/>
          <c:showBubbleSize val="0"/>
        </c:dLbls>
        <c:gapWidth val="76"/>
        <c:axId val="125210112"/>
        <c:axId val="150116544"/>
      </c:barChart>
      <c:catAx>
        <c:axId val="125210112"/>
        <c:scaling>
          <c:orientation val="minMax"/>
        </c:scaling>
        <c:delete val="1"/>
        <c:axPos val="b"/>
        <c:numFmt formatCode="General" sourceLinked="0"/>
        <c:majorTickMark val="out"/>
        <c:minorTickMark val="none"/>
        <c:tickLblPos val="none"/>
        <c:crossAx val="150116544"/>
        <c:crosses val="autoZero"/>
        <c:auto val="1"/>
        <c:lblAlgn val="ctr"/>
        <c:lblOffset val="100"/>
        <c:noMultiLvlLbl val="0"/>
      </c:catAx>
      <c:valAx>
        <c:axId val="150116544"/>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ES"/>
          </a:p>
        </c:txPr>
        <c:crossAx val="125210112"/>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'2015'!$B$12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sz="900"/>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'2015'!$A$13:$A$59</c:f>
              <c:strCache>
                <c:ptCount val="47"/>
                <c:pt idx="0">
                  <c:v>Lerma, Edo. de Mex.</c:v>
                </c:pt>
                <c:pt idx="1">
                  <c:v>Mexicali, B.C</c:v>
                </c:pt>
                <c:pt idx="2">
                  <c:v>La Paz, B.C.S.</c:v>
                </c:pt>
                <c:pt idx="3">
                  <c:v>Matamoros, Tamps.</c:v>
                </c:pt>
                <c:pt idx="4">
                  <c:v>Celaya, Gto.</c:v>
                </c:pt>
                <c:pt idx="5">
                  <c:v>Ciudad Juárez, Chih.</c:v>
                </c:pt>
                <c:pt idx="6">
                  <c:v>Veracruz, Ver.</c:v>
                </c:pt>
                <c:pt idx="7">
                  <c:v>Campeche, Camp.</c:v>
                </c:pt>
                <c:pt idx="8">
                  <c:v>Guanajuato, Gto.</c:v>
                </c:pt>
                <c:pt idx="9">
                  <c:v>Hermosillo, Son.</c:v>
                </c:pt>
                <c:pt idx="10">
                  <c:v>Mazatlán, Sin.</c:v>
                </c:pt>
                <c:pt idx="11">
                  <c:v>Nuevo Laredo, Tamps.</c:v>
                </c:pt>
                <c:pt idx="12">
                  <c:v>Villahermosa, Tab.</c:v>
                </c:pt>
                <c:pt idx="13">
                  <c:v>Tuxtla Gutiérrez, Chis.</c:v>
                </c:pt>
                <c:pt idx="14">
                  <c:v>Saltillo, Coah.</c:v>
                </c:pt>
                <c:pt idx="15">
                  <c:v>Pachuca, Hgo. </c:v>
                </c:pt>
                <c:pt idx="16">
                  <c:v>Uruapan, Mich.</c:v>
                </c:pt>
                <c:pt idx="17">
                  <c:v>Ciudad Victoria, Tamps.</c:v>
                </c:pt>
                <c:pt idx="18">
                  <c:v>Chihuahua, Chih.</c:v>
                </c:pt>
                <c:pt idx="19">
                  <c:v>Puebla, Pue.</c:v>
                </c:pt>
                <c:pt idx="20">
                  <c:v>Chetumal, Q.Roo</c:v>
                </c:pt>
                <c:pt idx="21">
                  <c:v>Xalapa, Ver.</c:v>
                </c:pt>
                <c:pt idx="22">
                  <c:v>Guadalajara, Jal.</c:v>
                </c:pt>
                <c:pt idx="23">
                  <c:v>Tapachula, Chis.</c:v>
                </c:pt>
                <c:pt idx="24">
                  <c:v>Querétaro, Qro.</c:v>
                </c:pt>
                <c:pt idx="25">
                  <c:v>Mérida, Yuc.</c:v>
                </c:pt>
                <c:pt idx="26">
                  <c:v>León, Gto.</c:v>
                </c:pt>
                <c:pt idx="27">
                  <c:v>Tepic, Nay. </c:v>
                </c:pt>
                <c:pt idx="28">
                  <c:v>Torreón, Coah.</c:v>
                </c:pt>
                <c:pt idx="29">
                  <c:v>Cuernavaca, Mor.</c:v>
                </c:pt>
                <c:pt idx="30">
                  <c:v>Colima, Col.</c:v>
                </c:pt>
                <c:pt idx="31">
                  <c:v>Durango, Dgo.</c:v>
                </c:pt>
                <c:pt idx="32">
                  <c:v>Aguascalientes, Ags</c:v>
                </c:pt>
                <c:pt idx="33">
                  <c:v>Culiacán, Sin.</c:v>
                </c:pt>
                <c:pt idx="34">
                  <c:v>Acapulco, Gro. </c:v>
                </c:pt>
                <c:pt idx="35">
                  <c:v>Morelia, Mich.</c:v>
                </c:pt>
                <c:pt idx="36">
                  <c:v>San Luis Potosí, S.L.P.</c:v>
                </c:pt>
                <c:pt idx="37">
                  <c:v>Oaxaca, Oax</c:v>
                </c:pt>
                <c:pt idx="38">
                  <c:v>Cancún, Q. Roo</c:v>
                </c:pt>
                <c:pt idx="39">
                  <c:v>Monterrey, N.L.</c:v>
                </c:pt>
                <c:pt idx="40">
                  <c:v>Tlaxcala, Tlax.</c:v>
                </c:pt>
                <c:pt idx="41">
                  <c:v>Ciudad Obregón, Son.</c:v>
                </c:pt>
                <c:pt idx="42">
                  <c:v>Toluca, Edo. de Mex.</c:v>
                </c:pt>
                <c:pt idx="43">
                  <c:v>Ensenada, B.C.</c:v>
                </c:pt>
                <c:pt idx="44">
                  <c:v>Zacatecas, Zac.</c:v>
                </c:pt>
                <c:pt idx="45">
                  <c:v>Tijuana, B.C.</c:v>
                </c:pt>
                <c:pt idx="46">
                  <c:v>Distrito Federal</c:v>
                </c:pt>
              </c:strCache>
            </c:strRef>
          </c:cat>
          <c:val>
            <c:numRef>
              <c:f>'2015'!$B$13:$B$59</c:f>
              <c:numCache>
                <c:formatCode>#,##0</c:formatCode>
                <c:ptCount val="47"/>
                <c:pt idx="0">
                  <c:v>19</c:v>
                </c:pt>
                <c:pt idx="1">
                  <c:v>22</c:v>
                </c:pt>
                <c:pt idx="2">
                  <c:v>22</c:v>
                </c:pt>
                <c:pt idx="3">
                  <c:v>27</c:v>
                </c:pt>
                <c:pt idx="4">
                  <c:v>32</c:v>
                </c:pt>
                <c:pt idx="5">
                  <c:v>37</c:v>
                </c:pt>
                <c:pt idx="6">
                  <c:v>43</c:v>
                </c:pt>
                <c:pt idx="7">
                  <c:v>45</c:v>
                </c:pt>
                <c:pt idx="8">
                  <c:v>45</c:v>
                </c:pt>
                <c:pt idx="9">
                  <c:v>52</c:v>
                </c:pt>
                <c:pt idx="10">
                  <c:v>54</c:v>
                </c:pt>
                <c:pt idx="11">
                  <c:v>69</c:v>
                </c:pt>
                <c:pt idx="12">
                  <c:v>74</c:v>
                </c:pt>
                <c:pt idx="13">
                  <c:v>76</c:v>
                </c:pt>
                <c:pt idx="14">
                  <c:v>81</c:v>
                </c:pt>
                <c:pt idx="15">
                  <c:v>85</c:v>
                </c:pt>
                <c:pt idx="16">
                  <c:v>94</c:v>
                </c:pt>
                <c:pt idx="17">
                  <c:v>96</c:v>
                </c:pt>
                <c:pt idx="18">
                  <c:v>97</c:v>
                </c:pt>
                <c:pt idx="19">
                  <c:v>106</c:v>
                </c:pt>
                <c:pt idx="20">
                  <c:v>116</c:v>
                </c:pt>
                <c:pt idx="21">
                  <c:v>125</c:v>
                </c:pt>
                <c:pt idx="22">
                  <c:v>127</c:v>
                </c:pt>
                <c:pt idx="23">
                  <c:v>133</c:v>
                </c:pt>
                <c:pt idx="24">
                  <c:v>137</c:v>
                </c:pt>
                <c:pt idx="25">
                  <c:v>145</c:v>
                </c:pt>
                <c:pt idx="26">
                  <c:v>164</c:v>
                </c:pt>
                <c:pt idx="27">
                  <c:v>171</c:v>
                </c:pt>
                <c:pt idx="28">
                  <c:v>185</c:v>
                </c:pt>
                <c:pt idx="29">
                  <c:v>200</c:v>
                </c:pt>
                <c:pt idx="30">
                  <c:v>226</c:v>
                </c:pt>
                <c:pt idx="31">
                  <c:v>234</c:v>
                </c:pt>
                <c:pt idx="32">
                  <c:v>327</c:v>
                </c:pt>
                <c:pt idx="33">
                  <c:v>339</c:v>
                </c:pt>
                <c:pt idx="34">
                  <c:v>344</c:v>
                </c:pt>
                <c:pt idx="35">
                  <c:v>359</c:v>
                </c:pt>
                <c:pt idx="36">
                  <c:v>366</c:v>
                </c:pt>
                <c:pt idx="37">
                  <c:v>396</c:v>
                </c:pt>
                <c:pt idx="38">
                  <c:v>403</c:v>
                </c:pt>
                <c:pt idx="39">
                  <c:v>473</c:v>
                </c:pt>
                <c:pt idx="40">
                  <c:v>592</c:v>
                </c:pt>
                <c:pt idx="41">
                  <c:v>598</c:v>
                </c:pt>
                <c:pt idx="42">
                  <c:v>599</c:v>
                </c:pt>
                <c:pt idx="43">
                  <c:v>801</c:v>
                </c:pt>
                <c:pt idx="44">
                  <c:v>978</c:v>
                </c:pt>
                <c:pt idx="45">
                  <c:v>1127</c:v>
                </c:pt>
                <c:pt idx="46">
                  <c:v>2242</c:v>
                </c:pt>
              </c:numCache>
            </c:numRef>
          </c:val>
        </c:ser>
        <c:dLbls>
          <c:showLegendKey val="0"/>
          <c:showVal val="1"/>
          <c:showCatName val="0"/>
          <c:showSerName val="0"/>
          <c:showPercent val="0"/>
          <c:showBubbleSize val="0"/>
        </c:dLbls>
        <c:gapWidth val="150"/>
        <c:axId val="125208064"/>
        <c:axId val="150134784"/>
      </c:barChart>
      <c:catAx>
        <c:axId val="125208064"/>
        <c:scaling>
          <c:orientation val="minMax"/>
        </c:scaling>
        <c:delete val="0"/>
        <c:axPos val="l"/>
        <c:numFmt formatCode="General" sourceLinked="1"/>
        <c:majorTickMark val="out"/>
        <c:minorTickMark val="none"/>
        <c:tickLblPos val="nextTo"/>
        <c:txPr>
          <a:bodyPr rot="0" vert="horz"/>
          <a:lstStyle/>
          <a:p>
            <a:pPr>
              <a:defRPr sz="800" b="1"/>
            </a:pPr>
            <a:endParaRPr lang="es-ES"/>
          </a:p>
        </c:txPr>
        <c:crossAx val="150134784"/>
        <c:crosses val="autoZero"/>
        <c:auto val="1"/>
        <c:lblAlgn val="ctr"/>
        <c:lblOffset val="100"/>
        <c:tickLblSkip val="1"/>
        <c:tickMarkSkip val="1"/>
        <c:noMultiLvlLbl val="0"/>
      </c:catAx>
      <c:valAx>
        <c:axId val="150134784"/>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ES"/>
          </a:p>
        </c:txPr>
        <c:crossAx val="125208064"/>
        <c:crosses val="autoZero"/>
        <c:crossBetween val="between"/>
        <c:majorUnit val="500"/>
      </c:valAx>
      <c:spPr>
        <a:noFill/>
        <a:ln>
          <a:solidFill>
            <a:schemeClr val="tx1">
              <a:lumMod val="50000"/>
              <a:lumOff val="50000"/>
            </a:schemeClr>
          </a:solidFill>
        </a:ln>
      </c:spPr>
    </c:plotArea>
    <c:plotVisOnly val="1"/>
    <c:dispBlanksAs val="gap"/>
    <c:showDLblsOverMax val="0"/>
  </c:chart>
  <c:spPr>
    <a:noFill/>
    <a:ln>
      <a:noFill/>
    </a:ln>
  </c:spPr>
  <c:txPr>
    <a:bodyPr/>
    <a:lstStyle/>
    <a:p>
      <a:pPr>
        <a:defRPr>
          <a:latin typeface="Georgia" pitchFamily="18" charset="0"/>
        </a:defRPr>
      </a:pPr>
      <a:endParaRPr lang="es-E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es-ES"/>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'2015'!$A$69:$A$70</c:f>
              <c:strCache>
                <c:ptCount val="2"/>
                <c:pt idx="0">
                  <c:v>Solicitudes recibidas de manera presencial</c:v>
                </c:pt>
                <c:pt idx="1">
                  <c:v>Solicitudes recibidas por medios electrónicos</c:v>
                </c:pt>
              </c:strCache>
            </c:strRef>
          </c:cat>
          <c:val>
            <c:numRef>
              <c:f>'2015'!$C$69:$C$70</c:f>
              <c:numCache>
                <c:formatCode>0.00%</c:formatCode>
                <c:ptCount val="2"/>
                <c:pt idx="0">
                  <c:v>0.92307692307692313</c:v>
                </c:pt>
                <c:pt idx="1">
                  <c:v>7.6923076923076927E-2</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607338370743597"/>
          <c:y val="2.0769717434885038E-3"/>
          <c:w val="0.77057342787510941"/>
          <c:h val="0.73622916206142186"/>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ES"/>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'2015'!$A$77:$A$79</c:f>
              <c:strCache>
                <c:ptCount val="3"/>
                <c:pt idx="0">
                  <c:v>Orientaciones</c:v>
                </c:pt>
                <c:pt idx="1">
                  <c:v>Canalizaciones</c:v>
                </c:pt>
                <c:pt idx="2">
                  <c:v>Solicitudes</c:v>
                </c:pt>
              </c:strCache>
            </c:strRef>
          </c:cat>
          <c:val>
            <c:numRef>
              <c:f>'2015'!$B$77:$B$79</c:f>
              <c:numCache>
                <c:formatCode>General</c:formatCode>
                <c:ptCount val="3"/>
                <c:pt idx="0" formatCode="#,##0">
                  <c:v>40</c:v>
                </c:pt>
                <c:pt idx="1">
                  <c:v>49</c:v>
                </c:pt>
                <c:pt idx="2" formatCode="#,##0">
                  <c:v>14092</c:v>
                </c:pt>
              </c:numCache>
            </c:numRef>
          </c:val>
        </c:ser>
        <c:dLbls>
          <c:showLegendKey val="0"/>
          <c:showVal val="1"/>
          <c:showCatName val="0"/>
          <c:showSerName val="0"/>
          <c:showPercent val="0"/>
          <c:showBubbleSize val="0"/>
        </c:dLbls>
        <c:gapWidth val="75"/>
        <c:axId val="139443712"/>
        <c:axId val="150137664"/>
      </c:barChart>
      <c:catAx>
        <c:axId val="139443712"/>
        <c:scaling>
          <c:orientation val="minMax"/>
        </c:scaling>
        <c:delete val="0"/>
        <c:axPos val="l"/>
        <c:numFmt formatCode="General" sourceLinked="1"/>
        <c:majorTickMark val="none"/>
        <c:minorTickMark val="none"/>
        <c:tickLblPos val="low"/>
        <c:txPr>
          <a:bodyPr rot="0" vert="horz"/>
          <a:lstStyle/>
          <a:p>
            <a:pPr>
              <a:defRPr sz="900" b="1">
                <a:latin typeface="Arial" pitchFamily="34" charset="0"/>
                <a:cs typeface="Arial" pitchFamily="34" charset="0"/>
              </a:defRPr>
            </a:pPr>
            <a:endParaRPr lang="es-ES"/>
          </a:p>
        </c:txPr>
        <c:crossAx val="150137664"/>
        <c:crosses val="autoZero"/>
        <c:auto val="1"/>
        <c:lblAlgn val="ctr"/>
        <c:lblOffset val="100"/>
        <c:tickLblSkip val="1"/>
        <c:tickMarkSkip val="1"/>
        <c:noMultiLvlLbl val="0"/>
      </c:catAx>
      <c:valAx>
        <c:axId val="150137664"/>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ES"/>
          </a:p>
        </c:txPr>
        <c:crossAx val="139443712"/>
        <c:crosses val="autoZero"/>
        <c:crossBetween val="between"/>
        <c:majorUnit val="2000"/>
      </c:valAx>
      <c:spPr>
        <a:noFill/>
      </c:spPr>
    </c:plotArea>
    <c:legend>
      <c:legendPos val="b"/>
      <c:layout>
        <c:manualLayout>
          <c:xMode val="edge"/>
          <c:yMode val="edge"/>
          <c:x val="0.24428591205782368"/>
          <c:y val="0.82550540814537587"/>
          <c:w val="0.54181654414969349"/>
          <c:h val="6.6072520218612554E-2"/>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021992353360105E-3"/>
                  <c:y val="1.16855207509541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'2015'!$A$84:$A$85</c:f>
              <c:strCache>
                <c:ptCount val="2"/>
                <c:pt idx="0">
                  <c:v>Administrativa</c:v>
                </c:pt>
                <c:pt idx="1">
                  <c:v>Jurisdiccional</c:v>
                </c:pt>
              </c:strCache>
            </c:strRef>
          </c:cat>
          <c:val>
            <c:numRef>
              <c:f>'2015'!$C$84:$C$85</c:f>
              <c:numCache>
                <c:formatCode>0.00%</c:formatCode>
                <c:ptCount val="2"/>
                <c:pt idx="0">
                  <c:v>9.202453987730061E-2</c:v>
                </c:pt>
                <c:pt idx="1">
                  <c:v>0.90797546012269936</c:v>
                </c:pt>
              </c:numCache>
            </c:numRef>
          </c:val>
        </c:ser>
        <c:dLbls>
          <c:showLegendKey val="0"/>
          <c:showVal val="1"/>
          <c:showCatName val="0"/>
          <c:showSerName val="0"/>
          <c:showPercent val="0"/>
          <c:showBubbleSize val="0"/>
        </c:dLbls>
        <c:gapWidth val="103"/>
        <c:overlap val="88"/>
        <c:axId val="125207552"/>
        <c:axId val="150139392"/>
      </c:barChart>
      <c:catAx>
        <c:axId val="125207552"/>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ES"/>
          </a:p>
        </c:txPr>
        <c:crossAx val="150139392"/>
        <c:crosses val="autoZero"/>
        <c:auto val="1"/>
        <c:lblAlgn val="ctr"/>
        <c:lblOffset val="100"/>
        <c:tickLblSkip val="1"/>
        <c:tickMarkSkip val="1"/>
        <c:noMultiLvlLbl val="0"/>
      </c:catAx>
      <c:valAx>
        <c:axId val="150139392"/>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ES"/>
          </a:p>
        </c:txPr>
        <c:crossAx val="125207552"/>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0031894512545378"/>
                  <c:y val="-0.12362848058379663"/>
                </c:manualLayout>
              </c:layout>
              <c:numFmt formatCode="0.00%" sourceLinked="0"/>
              <c:spPr/>
              <c:txPr>
                <a:bodyPr/>
                <a:lstStyle/>
                <a:p>
                  <a:pPr>
                    <a:defRPr sz="800" b="1">
                      <a:latin typeface="Georgia" panose="02040502050405020303" pitchFamily="18" charset="0"/>
                      <a:cs typeface="Calibri" pitchFamily="34" charset="0"/>
                    </a:defRPr>
                  </a:pPr>
                  <a:endParaRPr lang="es-ES"/>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2.9944661580203626E-2"/>
                  <c:y val="1.7035989082942578E-2"/>
                </c:manualLayout>
              </c:layout>
              <c:numFmt formatCode="0.00%" sourceLinked="0"/>
              <c:spPr/>
              <c:txPr>
                <a:bodyPr/>
                <a:lstStyle/>
                <a:p>
                  <a:pPr>
                    <a:defRPr sz="800" b="1">
                      <a:solidFill>
                        <a:sysClr val="windowText" lastClr="000000"/>
                      </a:solidFill>
                      <a:latin typeface="Georgia" panose="02040502050405020303" pitchFamily="18" charset="0"/>
                      <a:cs typeface="Calibri" pitchFamily="34" charset="0"/>
                    </a:defRPr>
                  </a:pPr>
                  <a:endParaRPr lang="es-ES"/>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ES"/>
              </a:p>
            </c:txPr>
            <c:showLegendKey val="0"/>
            <c:showVal val="1"/>
            <c:showCatName val="1"/>
            <c:showSerName val="0"/>
            <c:showPercent val="0"/>
            <c:showBubbleSize val="0"/>
            <c:showLeaderLines val="0"/>
            <c:extLst>
              <c:ext xmlns:c15="http://schemas.microsoft.com/office/drawing/2012/chart" uri="{CE6537A1-D6FC-4f65-9D91-7224C49458BB}"/>
            </c:extLst>
          </c:dLbls>
          <c:cat>
            <c:strRef>
              <c:f>'2015'!$A$92:$A$93</c:f>
              <c:strCache>
                <c:ptCount val="2"/>
                <c:pt idx="0">
                  <c:v>Tramitados sin intervención del Comité</c:v>
                </c:pt>
                <c:pt idx="1">
                  <c:v>Turnos al Comité</c:v>
                </c:pt>
              </c:strCache>
            </c:strRef>
          </c:cat>
          <c:val>
            <c:numRef>
              <c:f>'2015'!$B$92:$B$93</c:f>
              <c:numCache>
                <c:formatCode>0.00%</c:formatCode>
                <c:ptCount val="2"/>
                <c:pt idx="0">
                  <c:v>0.96</c:v>
                </c:pt>
                <c:pt idx="1">
                  <c:v>0.04</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ES"/>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'2015'!$A$96:$A$97</c:f>
              <c:strCache>
                <c:ptCount val="2"/>
                <c:pt idx="0">
                  <c:v>Clasificaciones emitidas por el Comité</c:v>
                </c:pt>
                <c:pt idx="1">
                  <c:v>Recursos de Revisión promovidos</c:v>
                </c:pt>
              </c:strCache>
            </c:strRef>
          </c:cat>
          <c:val>
            <c:numRef>
              <c:f>'2015'!$B$96:$B$97</c:f>
              <c:numCache>
                <c:formatCode>General</c:formatCode>
                <c:ptCount val="2"/>
                <c:pt idx="0">
                  <c:v>4</c:v>
                </c:pt>
                <c:pt idx="1">
                  <c:v>0</c:v>
                </c:pt>
              </c:numCache>
            </c:numRef>
          </c:val>
        </c:ser>
        <c:dLbls>
          <c:showLegendKey val="0"/>
          <c:showVal val="1"/>
          <c:showCatName val="1"/>
          <c:showSerName val="0"/>
          <c:showPercent val="0"/>
          <c:showBubbleSize val="0"/>
        </c:dLbls>
        <c:gapWidth val="150"/>
        <c:axId val="125208576"/>
        <c:axId val="150142272"/>
      </c:barChart>
      <c:catAx>
        <c:axId val="125208576"/>
        <c:scaling>
          <c:orientation val="minMax"/>
        </c:scaling>
        <c:delete val="1"/>
        <c:axPos val="b"/>
        <c:numFmt formatCode="General" sourceLinked="0"/>
        <c:majorTickMark val="out"/>
        <c:minorTickMark val="none"/>
        <c:tickLblPos val="none"/>
        <c:crossAx val="150142272"/>
        <c:crosses val="autoZero"/>
        <c:auto val="1"/>
        <c:lblAlgn val="ctr"/>
        <c:lblOffset val="100"/>
        <c:noMultiLvlLbl val="0"/>
      </c:catAx>
      <c:valAx>
        <c:axId val="15014227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ES"/>
          </a:p>
        </c:txPr>
        <c:crossAx val="125208576"/>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0.00108</cdr:y>
    </cdr:from>
    <cdr:to>
      <cdr:x>0.9972</cdr:x>
      <cdr:y>0.02668</cdr:y>
    </cdr:to>
    <cdr:sp macro="" textlink="">
      <cdr:nvSpPr>
        <cdr:cNvPr id="2" name="2 CuadroTexto"/>
        <cdr:cNvSpPr txBox="1"/>
      </cdr:nvSpPr>
      <cdr:spPr>
        <a:xfrm xmlns:a="http://schemas.openxmlformats.org/drawingml/2006/main">
          <a:off x="1258023" y="8085"/>
          <a:ext cx="3824217" cy="1908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F27142D21CD24AB850A6B619196703" ma:contentTypeVersion="1" ma:contentTypeDescription="Crear nuevo documento." ma:contentTypeScope="" ma:versionID="4f35d0d8836457d652ccc175df40a5ea">
  <xsd:schema xmlns:xsd="http://www.w3.org/2001/XMLSchema" xmlns:xs="http://www.w3.org/2001/XMLSchema" xmlns:p="http://schemas.microsoft.com/office/2006/metadata/properties" xmlns:ns1="http://schemas.microsoft.com/sharepoint/v3" targetNamespace="http://schemas.microsoft.com/office/2006/metadata/properties" ma:root="true" ma:fieldsID="abef88b8f65146705a8b63b1dbb381b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16D9-BF56-4EC1-AFA7-181F14B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62903-315A-4B7A-8BA0-601BB7CDCD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E12523-4EBF-4979-854D-94548F99E6A2}">
  <ds:schemaRefs>
    <ds:schemaRef ds:uri="http://schemas.microsoft.com/sharepoint/v3/contenttype/forms"/>
  </ds:schemaRefs>
</ds:datastoreItem>
</file>

<file path=customXml/itemProps4.xml><?xml version="1.0" encoding="utf-8"?>
<ds:datastoreItem xmlns:ds="http://schemas.openxmlformats.org/officeDocument/2006/customXml" ds:itemID="{5621451D-D524-4958-AEFC-F0A0AE10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Teresa Francisco Sotelo</cp:lastModifiedBy>
  <cp:revision>2</cp:revision>
  <cp:lastPrinted>2016-04-11T14:10:00Z</cp:lastPrinted>
  <dcterms:created xsi:type="dcterms:W3CDTF">2016-12-15T00:16:00Z</dcterms:created>
  <dcterms:modified xsi:type="dcterms:W3CDTF">2016-12-15T00:16:00Z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0x01010091F27142D21CD24AB850A6B619196703</vt:lpwstr>
  </property>
  <property fmtid="{D5CDD505-2E9C-101B-9397-08002B2CF9AE}" pid="3" name="Order">
    <vt:r8>1330100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