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5B585E">
      <w:pPr>
        <w:pStyle w:val="Prrafodelista"/>
      </w:pPr>
    </w:p>
    <w:p w14:paraId="55546123"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211F5ED9" w14:textId="77777777" w:rsidR="00875D0D" w:rsidRPr="00875D0D" w:rsidRDefault="00875D0D" w:rsidP="00875D0D">
      <w:pPr>
        <w:ind w:left="360"/>
        <w:jc w:val="both"/>
        <w:rPr>
          <w:rFonts w:ascii="Arial" w:hAnsi="Arial" w:cs="Arial"/>
          <w:b/>
          <w:sz w:val="22"/>
          <w:szCs w:val="26"/>
          <w:lang w:val="es-MX"/>
        </w:rPr>
      </w:pPr>
    </w:p>
    <w:p w14:paraId="4B866A39"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4E1E63" w:rsidRDefault="00875D0D" w:rsidP="00875D0D">
      <w:pPr>
        <w:ind w:left="360"/>
        <w:jc w:val="both"/>
        <w:rPr>
          <w:rFonts w:ascii="Georgia" w:hAnsi="Georgia" w:cs="Arial"/>
          <w:b/>
          <w:sz w:val="22"/>
          <w:szCs w:val="26"/>
          <w:lang w:val="es-MX"/>
        </w:rPr>
      </w:pPr>
    </w:p>
    <w:p w14:paraId="3BA1B084" w14:textId="77777777" w:rsidR="00875D0D" w:rsidRPr="004E1E63" w:rsidRDefault="00875D0D" w:rsidP="00875D0D">
      <w:pPr>
        <w:ind w:left="360"/>
        <w:jc w:val="both"/>
        <w:rPr>
          <w:rFonts w:ascii="Georgia" w:hAnsi="Georgia" w:cs="Arial"/>
          <w:b/>
          <w:sz w:val="22"/>
          <w:szCs w:val="26"/>
          <w:lang w:val="es-MX"/>
        </w:rPr>
      </w:pPr>
    </w:p>
    <w:p w14:paraId="44FD9B62"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503ED9DD" w14:textId="77777777" w:rsidR="00113DC9" w:rsidRPr="00113DC9" w:rsidRDefault="00113DC9" w:rsidP="00113DC9">
      <w:pPr>
        <w:ind w:left="709"/>
        <w:jc w:val="both"/>
        <w:rPr>
          <w:rFonts w:ascii="Georgia" w:hAnsi="Georgia" w:cs="Arial"/>
          <w:b/>
          <w:sz w:val="22"/>
          <w:szCs w:val="26"/>
          <w:lang w:val="es-MX"/>
        </w:rPr>
      </w:pPr>
    </w:p>
    <w:p w14:paraId="1638D645" w14:textId="01A599E8" w:rsidR="00696BBF" w:rsidRPr="000C3A57" w:rsidRDefault="00696BBF" w:rsidP="00696BBF">
      <w:pPr>
        <w:ind w:left="709"/>
        <w:jc w:val="both"/>
        <w:rPr>
          <w:rFonts w:ascii="Georgia" w:hAnsi="Georgia" w:cs="Arial"/>
          <w:sz w:val="22"/>
          <w:szCs w:val="26"/>
          <w:lang w:val="es-MX"/>
        </w:rPr>
      </w:pPr>
      <w:r w:rsidRPr="003E79A5">
        <w:rPr>
          <w:rFonts w:ascii="Georgia" w:hAnsi="Georgia" w:cs="Arial"/>
          <w:sz w:val="22"/>
          <w:szCs w:val="26"/>
          <w:lang w:val="es-MX"/>
        </w:rPr>
        <w:t>Porcentaje de procedimientos sumarios</w:t>
      </w:r>
      <w:r w:rsidRPr="008D0F8F">
        <w:rPr>
          <w:rFonts w:ascii="Georgia" w:hAnsi="Georgia" w:cs="Arial"/>
          <w:sz w:val="22"/>
          <w:szCs w:val="26"/>
          <w:lang w:val="es-MX"/>
        </w:rPr>
        <w:t xml:space="preserve">: </w:t>
      </w:r>
      <w:r w:rsidR="00DC3A52" w:rsidRPr="008D0F8F">
        <w:rPr>
          <w:rFonts w:ascii="Georgia" w:hAnsi="Georgia" w:cs="Arial"/>
          <w:b/>
          <w:sz w:val="22"/>
          <w:szCs w:val="26"/>
          <w:lang w:val="es-MX"/>
        </w:rPr>
        <w:t>9</w:t>
      </w:r>
      <w:r w:rsidR="0015130E" w:rsidRPr="008D0F8F">
        <w:rPr>
          <w:rFonts w:ascii="Georgia" w:hAnsi="Georgia" w:cs="Arial"/>
          <w:b/>
          <w:sz w:val="22"/>
          <w:szCs w:val="26"/>
          <w:lang w:val="es-MX"/>
        </w:rPr>
        <w:t>8</w:t>
      </w:r>
      <w:r w:rsidR="00C13809" w:rsidRPr="008D0F8F">
        <w:rPr>
          <w:rFonts w:ascii="Georgia" w:hAnsi="Georgia" w:cs="Arial"/>
          <w:b/>
          <w:sz w:val="22"/>
          <w:szCs w:val="26"/>
          <w:lang w:val="es-MX"/>
        </w:rPr>
        <w:t>.</w:t>
      </w:r>
      <w:r w:rsidR="0015130E" w:rsidRPr="008D0F8F">
        <w:rPr>
          <w:rFonts w:ascii="Georgia" w:hAnsi="Georgia" w:cs="Arial"/>
          <w:b/>
          <w:sz w:val="22"/>
          <w:szCs w:val="26"/>
          <w:lang w:val="es-MX"/>
        </w:rPr>
        <w:t>11</w:t>
      </w:r>
      <w:r w:rsidRPr="008D0F8F">
        <w:rPr>
          <w:rFonts w:ascii="Georgia" w:hAnsi="Georgia" w:cs="Arial"/>
          <w:b/>
          <w:sz w:val="22"/>
          <w:szCs w:val="26"/>
          <w:lang w:val="es-MX"/>
        </w:rPr>
        <w:t>%</w:t>
      </w:r>
    </w:p>
    <w:p w14:paraId="1D80C686" w14:textId="77777777" w:rsidR="00696BBF" w:rsidRPr="000C3A57" w:rsidRDefault="00696BBF" w:rsidP="00696BBF">
      <w:pPr>
        <w:ind w:left="709"/>
        <w:jc w:val="both"/>
        <w:rPr>
          <w:rFonts w:ascii="Georgia" w:hAnsi="Georgia" w:cs="Arial"/>
          <w:sz w:val="22"/>
          <w:szCs w:val="26"/>
          <w:lang w:val="es-MX"/>
        </w:rPr>
      </w:pPr>
    </w:p>
    <w:p w14:paraId="704CB1A8" w14:textId="1352E4D8" w:rsidR="00875D0D" w:rsidRPr="004E1E63" w:rsidRDefault="00696BBF" w:rsidP="00696BBF">
      <w:pPr>
        <w:ind w:left="709"/>
        <w:jc w:val="both"/>
        <w:rPr>
          <w:rFonts w:ascii="Georgia" w:hAnsi="Georgia" w:cs="Arial"/>
          <w:sz w:val="22"/>
          <w:szCs w:val="26"/>
          <w:lang w:val="es-MX"/>
        </w:rPr>
      </w:pPr>
      <w:r w:rsidRPr="000C3A57">
        <w:rPr>
          <w:rFonts w:ascii="Georgia" w:hAnsi="Georgia" w:cs="Arial"/>
          <w:sz w:val="22"/>
          <w:szCs w:val="26"/>
          <w:lang w:val="es-MX"/>
        </w:rPr>
        <w:t>Porcentaje de procedimientos ordinarios</w:t>
      </w:r>
      <w:r w:rsidRPr="00F83EC0">
        <w:rPr>
          <w:rFonts w:ascii="Georgia" w:hAnsi="Georgia" w:cs="Arial"/>
          <w:sz w:val="22"/>
          <w:szCs w:val="26"/>
          <w:lang w:val="es-MX"/>
        </w:rPr>
        <w:t>:</w:t>
      </w:r>
      <w:r w:rsidRPr="00F83EC0">
        <w:rPr>
          <w:rFonts w:ascii="Georgia" w:hAnsi="Georgia" w:cs="Arial"/>
          <w:b/>
          <w:bCs/>
          <w:sz w:val="22"/>
          <w:szCs w:val="26"/>
          <w:lang w:val="es-MX"/>
        </w:rPr>
        <w:t xml:space="preserve"> </w:t>
      </w:r>
      <w:r w:rsidR="00EB4C87" w:rsidRPr="008D0F8F">
        <w:rPr>
          <w:rFonts w:ascii="Georgia" w:hAnsi="Georgia" w:cs="Arial"/>
          <w:b/>
          <w:bCs/>
          <w:sz w:val="22"/>
          <w:szCs w:val="26"/>
          <w:lang w:val="es-MX"/>
        </w:rPr>
        <w:t>1</w:t>
      </w:r>
      <w:r w:rsidR="006F4AC9" w:rsidRPr="008D0F8F">
        <w:rPr>
          <w:rFonts w:ascii="Georgia" w:hAnsi="Georgia" w:cs="Arial"/>
          <w:b/>
          <w:sz w:val="22"/>
          <w:szCs w:val="26"/>
          <w:lang w:val="es-MX"/>
        </w:rPr>
        <w:t>.</w:t>
      </w:r>
      <w:r w:rsidR="002A1F42" w:rsidRPr="008D0F8F">
        <w:rPr>
          <w:rFonts w:ascii="Georgia" w:hAnsi="Georgia" w:cs="Arial"/>
          <w:b/>
          <w:sz w:val="22"/>
          <w:szCs w:val="26"/>
          <w:lang w:val="es-MX"/>
        </w:rPr>
        <w:t>8</w:t>
      </w:r>
      <w:r w:rsidR="00EB4C87" w:rsidRPr="008D0F8F">
        <w:rPr>
          <w:rFonts w:ascii="Georgia" w:hAnsi="Georgia" w:cs="Arial"/>
          <w:b/>
          <w:sz w:val="22"/>
          <w:szCs w:val="26"/>
          <w:lang w:val="es-MX"/>
        </w:rPr>
        <w:t>9</w:t>
      </w:r>
      <w:r w:rsidRPr="008D0F8F">
        <w:rPr>
          <w:rFonts w:ascii="Georgia" w:hAnsi="Georgia" w:cs="Arial"/>
          <w:b/>
          <w:sz w:val="22"/>
          <w:szCs w:val="26"/>
          <w:lang w:val="es-MX"/>
        </w:rPr>
        <w:t>%</w:t>
      </w:r>
    </w:p>
    <w:p w14:paraId="494875F6" w14:textId="77777777" w:rsidR="00875D0D" w:rsidRPr="004E1E63" w:rsidRDefault="00875D0D" w:rsidP="00875D0D">
      <w:pPr>
        <w:ind w:left="709"/>
        <w:jc w:val="both"/>
        <w:rPr>
          <w:rFonts w:ascii="Georgia" w:hAnsi="Georgia" w:cs="Arial"/>
          <w:b/>
          <w:sz w:val="22"/>
          <w:szCs w:val="26"/>
          <w:lang w:val="es-MX"/>
        </w:rPr>
      </w:pPr>
    </w:p>
    <w:p w14:paraId="7BE248FD" w14:textId="77777777" w:rsidR="00875D0D" w:rsidRPr="00875D0D" w:rsidRDefault="00875D0D" w:rsidP="00875D0D">
      <w:pPr>
        <w:ind w:left="709"/>
        <w:jc w:val="both"/>
        <w:rPr>
          <w:rFonts w:ascii="Arial" w:hAnsi="Arial" w:cs="Arial"/>
          <w:b/>
          <w:sz w:val="22"/>
          <w:szCs w:val="26"/>
          <w:lang w:val="es-MX"/>
        </w:rPr>
      </w:pPr>
    </w:p>
    <w:p w14:paraId="3316FDF5"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14197726" w14:textId="77777777" w:rsidR="006550E2" w:rsidRDefault="006550E2" w:rsidP="00DB3398">
      <w:pPr>
        <w:tabs>
          <w:tab w:val="left" w:pos="7956"/>
        </w:tabs>
        <w:ind w:left="709"/>
        <w:jc w:val="both"/>
        <w:rPr>
          <w:rFonts w:ascii="Georgia" w:hAnsi="Georgia" w:cs="Arial"/>
          <w:b/>
          <w:sz w:val="22"/>
          <w:szCs w:val="26"/>
          <w:lang w:val="es-MX"/>
        </w:rPr>
      </w:pPr>
    </w:p>
    <w:p w14:paraId="2FFCA9CC"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0B0ACB68" w14:textId="77777777" w:rsidR="00891F2E" w:rsidRDefault="00891F2E" w:rsidP="00875D0D">
      <w:pPr>
        <w:ind w:left="709"/>
        <w:jc w:val="both"/>
        <w:rPr>
          <w:rFonts w:ascii="Georgia" w:hAnsi="Georgia" w:cs="Arial"/>
          <w:b/>
          <w:sz w:val="22"/>
          <w:szCs w:val="26"/>
          <w:lang w:val="es-MX"/>
        </w:rPr>
      </w:pPr>
    </w:p>
    <w:p w14:paraId="418866C2" w14:textId="60AEC2FC" w:rsidR="00891F2E" w:rsidRPr="00830A4C" w:rsidRDefault="0015130E" w:rsidP="00875D0D">
      <w:pPr>
        <w:ind w:left="709"/>
        <w:jc w:val="both"/>
        <w:rPr>
          <w:rFonts w:ascii="Georgia" w:hAnsi="Georgia" w:cs="Arial"/>
          <w:b/>
          <w:sz w:val="22"/>
          <w:szCs w:val="26"/>
          <w:lang w:val="es-MX"/>
        </w:rPr>
      </w:pPr>
      <w:r>
        <w:rPr>
          <w:noProof/>
        </w:rPr>
        <w:drawing>
          <wp:inline distT="0" distB="0" distL="0" distR="0" wp14:anchorId="2B7B1F7B" wp14:editId="2D7374AC">
            <wp:extent cx="4696627" cy="2603500"/>
            <wp:effectExtent l="0" t="0" r="0" b="0"/>
            <wp:docPr id="2" name="Gráfico 2">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739C68C7" w14:textId="77777777" w:rsidR="00875D0D" w:rsidRPr="00830A4C" w:rsidRDefault="00875D0D" w:rsidP="00875D0D">
      <w:pPr>
        <w:numPr>
          <w:ilvl w:val="0"/>
          <w:numId w:val="2"/>
        </w:numPr>
        <w:jc w:val="both"/>
        <w:rPr>
          <w:rFonts w:ascii="Georgia" w:hAnsi="Georgia" w:cs="Arial"/>
          <w:b/>
          <w:sz w:val="22"/>
          <w:szCs w:val="26"/>
          <w:lang w:val="es-MX"/>
        </w:rPr>
      </w:pPr>
      <w:r w:rsidRPr="003E79A5">
        <w:rPr>
          <w:rFonts w:ascii="Georgia" w:hAnsi="Georgia" w:cs="Arial"/>
          <w:b/>
          <w:sz w:val="22"/>
          <w:szCs w:val="26"/>
          <w:lang w:val="es-MX"/>
        </w:rPr>
        <w:lastRenderedPageBreak/>
        <w:t>Trámite de solicitudes de información mediante el procedimiento sumario en los</w:t>
      </w:r>
      <w:r w:rsidRPr="00830A4C">
        <w:rPr>
          <w:rFonts w:ascii="Georgia" w:hAnsi="Georgia" w:cs="Arial"/>
          <w:b/>
          <w:sz w:val="22"/>
          <w:szCs w:val="26"/>
          <w:lang w:val="es-MX"/>
        </w:rPr>
        <w:t xml:space="preserve">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526C82E4" w14:textId="77777777" w:rsidR="00875D0D" w:rsidRPr="00875D0D" w:rsidRDefault="00875D0D" w:rsidP="00875D0D">
      <w:pPr>
        <w:ind w:left="360"/>
        <w:jc w:val="both"/>
        <w:rPr>
          <w:rFonts w:ascii="Arial" w:hAnsi="Arial" w:cs="Arial"/>
          <w:b/>
          <w:sz w:val="22"/>
          <w:szCs w:val="26"/>
          <w:lang w:val="es-MX"/>
        </w:rPr>
      </w:pPr>
    </w:p>
    <w:p w14:paraId="27E6548C"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06C5C837" w14:textId="77777777" w:rsidR="00DB3398" w:rsidRPr="004E1E63" w:rsidRDefault="00DB3398" w:rsidP="00875D0D">
      <w:pPr>
        <w:ind w:left="709"/>
        <w:jc w:val="both"/>
        <w:rPr>
          <w:rFonts w:ascii="Georgia" w:hAnsi="Georgia" w:cs="Arial"/>
          <w:sz w:val="22"/>
          <w:szCs w:val="26"/>
          <w:lang w:val="es-MX"/>
        </w:rPr>
      </w:pPr>
    </w:p>
    <w:p w14:paraId="6C9E8825" w14:textId="77777777" w:rsidR="00875D0D" w:rsidRDefault="00875D0D" w:rsidP="00E975AD">
      <w:pPr>
        <w:ind w:left="709"/>
        <w:jc w:val="both"/>
      </w:pPr>
      <w:r w:rsidRPr="00830A4C">
        <w:rPr>
          <w:rFonts w:ascii="Georgia" w:hAnsi="Georgia" w:cs="Arial"/>
          <w:b/>
          <w:sz w:val="22"/>
          <w:szCs w:val="26"/>
        </w:rPr>
        <w:t>Resultados:</w:t>
      </w:r>
      <w:r w:rsidR="004E1E63">
        <w:tab/>
      </w:r>
    </w:p>
    <w:p w14:paraId="18D9ED0E" w14:textId="77777777" w:rsidR="00DB3398" w:rsidRDefault="00DB3398" w:rsidP="00E975AD">
      <w:pPr>
        <w:ind w:left="709"/>
        <w:jc w:val="both"/>
      </w:pPr>
    </w:p>
    <w:p w14:paraId="7B67DE11" w14:textId="77777777" w:rsidR="00DB3398" w:rsidRDefault="00DB3398" w:rsidP="00DB3398">
      <w:pPr>
        <w:jc w:val="both"/>
      </w:pPr>
    </w:p>
    <w:p w14:paraId="5ABF23EA"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875D0D" w:rsidRDefault="00875D0D" w:rsidP="006C75B7">
            <w:pPr>
              <w:rPr>
                <w:rFonts w:ascii="Arial" w:hAnsi="Arial" w:cs="Arial"/>
                <w:b/>
                <w:bCs/>
                <w:color w:val="FFFFFF"/>
                <w:sz w:val="20"/>
              </w:rPr>
            </w:pPr>
          </w:p>
        </w:tc>
      </w:tr>
      <w:tr w:rsidR="00F22324" w:rsidRPr="00DB3398" w14:paraId="3A9FAA9E"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14:paraId="174B2CB6" w14:textId="5E601B1A" w:rsidR="00F22324" w:rsidRPr="003C5A86" w:rsidRDefault="00F22324" w:rsidP="00F22324">
            <w:pPr>
              <w:rPr>
                <w:rFonts w:asciiTheme="minorHAnsi" w:hAnsiTheme="minorHAnsi" w:cstheme="minorHAnsi"/>
                <w:sz w:val="20"/>
                <w:szCs w:val="20"/>
              </w:rPr>
            </w:pPr>
            <w:r>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14:paraId="39FF0674" w14:textId="1F9210B1" w:rsidR="00F22324" w:rsidRPr="003C5A86" w:rsidRDefault="00F22324" w:rsidP="00F22324">
            <w:pPr>
              <w:rPr>
                <w:rFonts w:asciiTheme="minorHAnsi" w:hAnsiTheme="minorHAnsi" w:cstheme="minorHAnsi"/>
                <w:sz w:val="20"/>
                <w:szCs w:val="20"/>
              </w:rPr>
            </w:pPr>
            <w:r>
              <w:rPr>
                <w:rFonts w:ascii="Arial" w:hAnsi="Arial" w:cs="Arial"/>
                <w:sz w:val="20"/>
                <w:szCs w:val="20"/>
              </w:rPr>
              <w:t>12,312</w:t>
            </w:r>
          </w:p>
        </w:tc>
        <w:tc>
          <w:tcPr>
            <w:tcW w:w="1409" w:type="dxa"/>
            <w:tcBorders>
              <w:top w:val="nil"/>
              <w:left w:val="nil"/>
              <w:bottom w:val="single" w:sz="8" w:space="0" w:color="auto"/>
              <w:right w:val="single" w:sz="8" w:space="0" w:color="auto"/>
            </w:tcBorders>
            <w:shd w:val="clear" w:color="auto" w:fill="auto"/>
            <w:noWrap/>
            <w:vAlign w:val="bottom"/>
          </w:tcPr>
          <w:p w14:paraId="07A75CCC" w14:textId="5EBA36C9" w:rsidR="00F22324" w:rsidRPr="003C5A86" w:rsidRDefault="00F22324" w:rsidP="00F22324">
            <w:pPr>
              <w:rPr>
                <w:rFonts w:asciiTheme="minorHAnsi" w:hAnsiTheme="minorHAnsi" w:cstheme="minorHAnsi"/>
                <w:sz w:val="20"/>
                <w:szCs w:val="20"/>
              </w:rPr>
            </w:pPr>
            <w:r>
              <w:rPr>
                <w:rFonts w:ascii="Arial" w:hAnsi="Arial" w:cs="Arial"/>
                <w:sz w:val="20"/>
                <w:szCs w:val="20"/>
              </w:rPr>
              <w:t>73.91%</w:t>
            </w:r>
          </w:p>
        </w:tc>
      </w:tr>
      <w:tr w:rsidR="00F22324" w:rsidRPr="00DB3398" w14:paraId="627966D7"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A614532" w14:textId="0072732A" w:rsidR="00F22324" w:rsidRPr="003C5A86" w:rsidRDefault="00F22324" w:rsidP="00F22324">
            <w:pPr>
              <w:rPr>
                <w:rFonts w:asciiTheme="minorHAnsi" w:hAnsiTheme="minorHAnsi" w:cstheme="minorHAnsi"/>
                <w:sz w:val="20"/>
                <w:szCs w:val="20"/>
              </w:rPr>
            </w:pPr>
            <w:r>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14:paraId="20A841D1" w14:textId="689D8DEF" w:rsidR="00F22324" w:rsidRPr="003C5A86" w:rsidRDefault="00F22324" w:rsidP="00F22324">
            <w:pPr>
              <w:rPr>
                <w:rFonts w:asciiTheme="minorHAnsi" w:hAnsiTheme="minorHAnsi" w:cstheme="minorHAnsi"/>
                <w:sz w:val="20"/>
                <w:szCs w:val="20"/>
              </w:rPr>
            </w:pPr>
            <w:r>
              <w:rPr>
                <w:rFonts w:ascii="Arial" w:hAnsi="Arial" w:cs="Arial"/>
                <w:sz w:val="20"/>
                <w:szCs w:val="20"/>
              </w:rPr>
              <w:t>1,240</w:t>
            </w:r>
          </w:p>
        </w:tc>
        <w:tc>
          <w:tcPr>
            <w:tcW w:w="1409" w:type="dxa"/>
            <w:tcBorders>
              <w:top w:val="nil"/>
              <w:left w:val="nil"/>
              <w:bottom w:val="single" w:sz="8" w:space="0" w:color="auto"/>
              <w:right w:val="single" w:sz="8" w:space="0" w:color="auto"/>
            </w:tcBorders>
            <w:shd w:val="clear" w:color="auto" w:fill="auto"/>
            <w:noWrap/>
            <w:vAlign w:val="bottom"/>
          </w:tcPr>
          <w:p w14:paraId="71F1C0AB" w14:textId="5F52461B" w:rsidR="00F22324" w:rsidRPr="003C5A86" w:rsidRDefault="00F22324" w:rsidP="00F22324">
            <w:pPr>
              <w:rPr>
                <w:rFonts w:asciiTheme="minorHAnsi" w:hAnsiTheme="minorHAnsi" w:cstheme="minorHAnsi"/>
                <w:sz w:val="20"/>
                <w:szCs w:val="20"/>
              </w:rPr>
            </w:pPr>
            <w:r>
              <w:rPr>
                <w:rFonts w:ascii="Arial" w:hAnsi="Arial" w:cs="Arial"/>
                <w:sz w:val="20"/>
                <w:szCs w:val="20"/>
              </w:rPr>
              <w:t>7.44%</w:t>
            </w:r>
          </w:p>
        </w:tc>
      </w:tr>
      <w:tr w:rsidR="00F22324" w:rsidRPr="00DB3398" w14:paraId="1E4F28F8"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66B36B8" w14:textId="4439FA32" w:rsidR="00F22324" w:rsidRPr="003C5A86" w:rsidRDefault="00F22324" w:rsidP="00F22324">
            <w:pPr>
              <w:rPr>
                <w:rFonts w:asciiTheme="minorHAnsi" w:hAnsiTheme="minorHAnsi" w:cstheme="minorHAnsi"/>
                <w:sz w:val="20"/>
                <w:szCs w:val="20"/>
              </w:rPr>
            </w:pPr>
            <w:r>
              <w:rPr>
                <w:rFonts w:ascii="Arial" w:hAnsi="Arial" w:cs="Arial"/>
                <w:sz w:val="20"/>
                <w:szCs w:val="20"/>
              </w:rPr>
              <w:t>Aguascalientes, Ags</w:t>
            </w:r>
          </w:p>
        </w:tc>
        <w:tc>
          <w:tcPr>
            <w:tcW w:w="1408" w:type="dxa"/>
            <w:tcBorders>
              <w:top w:val="nil"/>
              <w:left w:val="nil"/>
              <w:bottom w:val="single" w:sz="8" w:space="0" w:color="auto"/>
              <w:right w:val="single" w:sz="8" w:space="0" w:color="auto"/>
            </w:tcBorders>
            <w:shd w:val="clear" w:color="auto" w:fill="auto"/>
            <w:noWrap/>
            <w:vAlign w:val="bottom"/>
          </w:tcPr>
          <w:p w14:paraId="3A1F3146" w14:textId="5E051E19" w:rsidR="00F22324" w:rsidRPr="003C5A86" w:rsidRDefault="00F22324" w:rsidP="00F22324">
            <w:pPr>
              <w:rPr>
                <w:rFonts w:asciiTheme="minorHAnsi" w:hAnsiTheme="minorHAnsi" w:cstheme="minorHAnsi"/>
                <w:sz w:val="20"/>
                <w:szCs w:val="20"/>
              </w:rPr>
            </w:pPr>
            <w:r>
              <w:rPr>
                <w:rFonts w:ascii="Arial" w:hAnsi="Arial" w:cs="Arial"/>
                <w:sz w:val="20"/>
                <w:szCs w:val="20"/>
              </w:rPr>
              <w:t>352</w:t>
            </w:r>
          </w:p>
        </w:tc>
        <w:tc>
          <w:tcPr>
            <w:tcW w:w="1409" w:type="dxa"/>
            <w:tcBorders>
              <w:top w:val="nil"/>
              <w:left w:val="nil"/>
              <w:bottom w:val="single" w:sz="8" w:space="0" w:color="auto"/>
              <w:right w:val="single" w:sz="8" w:space="0" w:color="auto"/>
            </w:tcBorders>
            <w:shd w:val="clear" w:color="auto" w:fill="auto"/>
            <w:noWrap/>
            <w:vAlign w:val="bottom"/>
          </w:tcPr>
          <w:p w14:paraId="59B20AA4" w14:textId="667B4128" w:rsidR="00F22324" w:rsidRPr="003C5A86" w:rsidRDefault="00F22324" w:rsidP="00F22324">
            <w:pPr>
              <w:rPr>
                <w:rFonts w:asciiTheme="minorHAnsi" w:hAnsiTheme="minorHAnsi" w:cstheme="minorHAnsi"/>
                <w:sz w:val="20"/>
                <w:szCs w:val="20"/>
              </w:rPr>
            </w:pPr>
            <w:r>
              <w:rPr>
                <w:rFonts w:ascii="Arial" w:hAnsi="Arial" w:cs="Arial"/>
                <w:sz w:val="20"/>
                <w:szCs w:val="20"/>
              </w:rPr>
              <w:t>2.11%</w:t>
            </w:r>
          </w:p>
        </w:tc>
      </w:tr>
      <w:tr w:rsidR="00F22324" w:rsidRPr="00DB3398" w14:paraId="2D32D2F5"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DE38171" w14:textId="352AA821" w:rsidR="00F22324" w:rsidRPr="003C5A86" w:rsidRDefault="00F22324" w:rsidP="00F22324">
            <w:pPr>
              <w:rPr>
                <w:rFonts w:asciiTheme="minorHAnsi" w:hAnsiTheme="minorHAnsi" w:cstheme="minorHAnsi"/>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14:paraId="7BE9B399" w14:textId="26B05BB1" w:rsidR="00F22324" w:rsidRPr="003C5A86" w:rsidRDefault="00F22324" w:rsidP="00F22324">
            <w:pPr>
              <w:rPr>
                <w:rFonts w:asciiTheme="minorHAnsi" w:hAnsiTheme="minorHAnsi" w:cstheme="minorHAnsi"/>
                <w:sz w:val="20"/>
                <w:szCs w:val="20"/>
              </w:rPr>
            </w:pPr>
            <w:r>
              <w:rPr>
                <w:rFonts w:ascii="Arial" w:hAnsi="Arial" w:cs="Arial"/>
                <w:sz w:val="20"/>
                <w:szCs w:val="20"/>
              </w:rPr>
              <w:t>319</w:t>
            </w:r>
          </w:p>
        </w:tc>
        <w:tc>
          <w:tcPr>
            <w:tcW w:w="1409" w:type="dxa"/>
            <w:tcBorders>
              <w:top w:val="nil"/>
              <w:left w:val="nil"/>
              <w:bottom w:val="single" w:sz="8" w:space="0" w:color="auto"/>
              <w:right w:val="single" w:sz="8" w:space="0" w:color="auto"/>
            </w:tcBorders>
            <w:shd w:val="clear" w:color="auto" w:fill="auto"/>
            <w:noWrap/>
            <w:vAlign w:val="bottom"/>
          </w:tcPr>
          <w:p w14:paraId="4F9BF5D5" w14:textId="48C24FB3" w:rsidR="00F22324" w:rsidRPr="003C5A86" w:rsidRDefault="00F22324" w:rsidP="00F22324">
            <w:pPr>
              <w:rPr>
                <w:rFonts w:asciiTheme="minorHAnsi" w:hAnsiTheme="minorHAnsi" w:cstheme="minorHAnsi"/>
                <w:sz w:val="20"/>
                <w:szCs w:val="20"/>
              </w:rPr>
            </w:pPr>
            <w:r>
              <w:rPr>
                <w:rFonts w:ascii="Arial" w:hAnsi="Arial" w:cs="Arial"/>
                <w:sz w:val="20"/>
                <w:szCs w:val="20"/>
              </w:rPr>
              <w:t>1.91%</w:t>
            </w:r>
          </w:p>
        </w:tc>
      </w:tr>
      <w:tr w:rsidR="00F22324" w:rsidRPr="00DB3398" w14:paraId="7E57AF24"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1D3CE09" w14:textId="619B1DF9" w:rsidR="00F22324" w:rsidRPr="003C5A86" w:rsidRDefault="00F22324" w:rsidP="00F22324">
            <w:pPr>
              <w:rPr>
                <w:rFonts w:asciiTheme="minorHAnsi" w:hAnsiTheme="minorHAnsi" w:cstheme="minorHAnsi"/>
                <w:sz w:val="20"/>
                <w:szCs w:val="20"/>
              </w:rPr>
            </w:pPr>
            <w:r>
              <w:rPr>
                <w:rFonts w:ascii="Arial" w:hAnsi="Arial" w:cs="Arial"/>
                <w:sz w:val="20"/>
                <w:szCs w:val="20"/>
              </w:rPr>
              <w:t>Torreón, Coah.</w:t>
            </w:r>
          </w:p>
        </w:tc>
        <w:tc>
          <w:tcPr>
            <w:tcW w:w="1408" w:type="dxa"/>
            <w:tcBorders>
              <w:top w:val="nil"/>
              <w:left w:val="nil"/>
              <w:bottom w:val="single" w:sz="8" w:space="0" w:color="auto"/>
              <w:right w:val="single" w:sz="8" w:space="0" w:color="auto"/>
            </w:tcBorders>
            <w:shd w:val="clear" w:color="auto" w:fill="auto"/>
            <w:noWrap/>
            <w:vAlign w:val="bottom"/>
          </w:tcPr>
          <w:p w14:paraId="0593D842" w14:textId="3DAB43A3" w:rsidR="00F22324" w:rsidRPr="003C5A86" w:rsidRDefault="00F22324" w:rsidP="00F22324">
            <w:pPr>
              <w:rPr>
                <w:rFonts w:asciiTheme="minorHAnsi" w:hAnsiTheme="minorHAnsi" w:cstheme="minorHAnsi"/>
                <w:sz w:val="20"/>
                <w:szCs w:val="20"/>
              </w:rPr>
            </w:pPr>
            <w:r>
              <w:rPr>
                <w:rFonts w:ascii="Arial" w:hAnsi="Arial" w:cs="Arial"/>
                <w:sz w:val="20"/>
                <w:szCs w:val="20"/>
              </w:rPr>
              <w:t>318</w:t>
            </w:r>
          </w:p>
        </w:tc>
        <w:tc>
          <w:tcPr>
            <w:tcW w:w="1409" w:type="dxa"/>
            <w:tcBorders>
              <w:top w:val="nil"/>
              <w:left w:val="nil"/>
              <w:bottom w:val="single" w:sz="8" w:space="0" w:color="auto"/>
              <w:right w:val="single" w:sz="8" w:space="0" w:color="auto"/>
            </w:tcBorders>
            <w:shd w:val="clear" w:color="auto" w:fill="auto"/>
            <w:noWrap/>
            <w:vAlign w:val="bottom"/>
          </w:tcPr>
          <w:p w14:paraId="13DC1D2B" w14:textId="58B654E5" w:rsidR="00F22324" w:rsidRPr="003C5A86" w:rsidRDefault="00F22324" w:rsidP="00F22324">
            <w:pPr>
              <w:rPr>
                <w:rFonts w:asciiTheme="minorHAnsi" w:hAnsiTheme="minorHAnsi" w:cstheme="minorHAnsi"/>
                <w:sz w:val="20"/>
                <w:szCs w:val="20"/>
              </w:rPr>
            </w:pPr>
            <w:r>
              <w:rPr>
                <w:rFonts w:ascii="Arial" w:hAnsi="Arial" w:cs="Arial"/>
                <w:sz w:val="20"/>
                <w:szCs w:val="20"/>
              </w:rPr>
              <w:t>1.91%</w:t>
            </w:r>
          </w:p>
        </w:tc>
      </w:tr>
      <w:tr w:rsidR="00F22324" w:rsidRPr="00DB3398" w14:paraId="11614747"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4E704F2" w14:textId="6D36FB20" w:rsidR="00F22324" w:rsidRPr="003C5A86" w:rsidRDefault="00F22324" w:rsidP="00F22324">
            <w:pPr>
              <w:rPr>
                <w:rFonts w:asciiTheme="minorHAnsi" w:hAnsiTheme="minorHAnsi" w:cstheme="minorHAnsi"/>
                <w:sz w:val="20"/>
                <w:szCs w:val="20"/>
              </w:rPr>
            </w:pPr>
            <w:r>
              <w:rPr>
                <w:rFonts w:ascii="Arial" w:hAnsi="Arial" w:cs="Arial"/>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14:paraId="2DB57DF9" w14:textId="2D8AD371" w:rsidR="00F22324" w:rsidRPr="003C5A86" w:rsidRDefault="00F22324" w:rsidP="00F22324">
            <w:pPr>
              <w:rPr>
                <w:rFonts w:asciiTheme="minorHAnsi" w:hAnsiTheme="minorHAnsi" w:cstheme="minorHAnsi"/>
                <w:sz w:val="20"/>
                <w:szCs w:val="20"/>
              </w:rPr>
            </w:pPr>
            <w:r>
              <w:rPr>
                <w:rFonts w:ascii="Arial" w:hAnsi="Arial" w:cs="Arial"/>
                <w:sz w:val="20"/>
                <w:szCs w:val="20"/>
              </w:rPr>
              <w:t>285</w:t>
            </w:r>
          </w:p>
        </w:tc>
        <w:tc>
          <w:tcPr>
            <w:tcW w:w="1409" w:type="dxa"/>
            <w:tcBorders>
              <w:top w:val="nil"/>
              <w:left w:val="nil"/>
              <w:bottom w:val="single" w:sz="8" w:space="0" w:color="auto"/>
              <w:right w:val="single" w:sz="8" w:space="0" w:color="auto"/>
            </w:tcBorders>
            <w:shd w:val="clear" w:color="auto" w:fill="auto"/>
            <w:noWrap/>
            <w:vAlign w:val="bottom"/>
          </w:tcPr>
          <w:p w14:paraId="26AE8CEE" w14:textId="0B49A898" w:rsidR="00F22324" w:rsidRPr="003C5A86" w:rsidRDefault="00F22324" w:rsidP="00F22324">
            <w:pPr>
              <w:rPr>
                <w:rFonts w:asciiTheme="minorHAnsi" w:hAnsiTheme="minorHAnsi" w:cstheme="minorHAnsi"/>
                <w:sz w:val="20"/>
                <w:szCs w:val="20"/>
              </w:rPr>
            </w:pPr>
            <w:r>
              <w:rPr>
                <w:rFonts w:ascii="Arial" w:hAnsi="Arial" w:cs="Arial"/>
                <w:sz w:val="20"/>
                <w:szCs w:val="20"/>
              </w:rPr>
              <w:t>1.71%</w:t>
            </w:r>
          </w:p>
        </w:tc>
      </w:tr>
      <w:tr w:rsidR="00F22324" w:rsidRPr="00DB3398" w14:paraId="40D9EB51"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BF826D7" w14:textId="5006C3B7" w:rsidR="00F22324" w:rsidRPr="003C5A86" w:rsidRDefault="00F22324" w:rsidP="00F22324">
            <w:pPr>
              <w:rPr>
                <w:rFonts w:asciiTheme="minorHAnsi" w:hAnsiTheme="minorHAnsi" w:cstheme="minorHAnsi"/>
                <w:sz w:val="20"/>
                <w:szCs w:val="20"/>
              </w:rPr>
            </w:pPr>
            <w:r>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14:paraId="59F6DAD9" w14:textId="45EE473C" w:rsidR="00F22324" w:rsidRPr="003C5A86" w:rsidRDefault="00F22324" w:rsidP="00F22324">
            <w:pPr>
              <w:rPr>
                <w:rFonts w:asciiTheme="minorHAnsi" w:hAnsiTheme="minorHAnsi" w:cstheme="minorHAnsi"/>
                <w:sz w:val="20"/>
                <w:szCs w:val="20"/>
              </w:rPr>
            </w:pPr>
            <w:r>
              <w:rPr>
                <w:rFonts w:ascii="Arial" w:hAnsi="Arial" w:cs="Arial"/>
                <w:sz w:val="20"/>
                <w:szCs w:val="20"/>
              </w:rPr>
              <w:t>244</w:t>
            </w:r>
          </w:p>
        </w:tc>
        <w:tc>
          <w:tcPr>
            <w:tcW w:w="1409" w:type="dxa"/>
            <w:tcBorders>
              <w:top w:val="nil"/>
              <w:left w:val="nil"/>
              <w:bottom w:val="single" w:sz="8" w:space="0" w:color="auto"/>
              <w:right w:val="single" w:sz="8" w:space="0" w:color="auto"/>
            </w:tcBorders>
            <w:shd w:val="clear" w:color="auto" w:fill="auto"/>
            <w:noWrap/>
            <w:vAlign w:val="bottom"/>
          </w:tcPr>
          <w:p w14:paraId="6E36A161" w14:textId="79D5AC06" w:rsidR="00F22324" w:rsidRPr="003C5A86" w:rsidRDefault="00F22324" w:rsidP="00F22324">
            <w:pPr>
              <w:rPr>
                <w:rFonts w:asciiTheme="minorHAnsi" w:hAnsiTheme="minorHAnsi" w:cstheme="minorHAnsi"/>
                <w:sz w:val="20"/>
                <w:szCs w:val="20"/>
              </w:rPr>
            </w:pPr>
            <w:r>
              <w:rPr>
                <w:rFonts w:ascii="Arial" w:hAnsi="Arial" w:cs="Arial"/>
                <w:sz w:val="20"/>
                <w:szCs w:val="20"/>
              </w:rPr>
              <w:t>1.46%</w:t>
            </w:r>
          </w:p>
        </w:tc>
      </w:tr>
      <w:tr w:rsidR="00F22324" w:rsidRPr="00DB3398" w14:paraId="0D66E396"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3255D9E" w14:textId="3B6562DA" w:rsidR="00F22324" w:rsidRPr="003C5A86" w:rsidRDefault="00F22324" w:rsidP="00F22324">
            <w:pPr>
              <w:rPr>
                <w:rFonts w:asciiTheme="minorHAnsi" w:hAnsiTheme="minorHAnsi" w:cstheme="minorHAnsi"/>
                <w:sz w:val="20"/>
                <w:szCs w:val="20"/>
              </w:rPr>
            </w:pPr>
            <w:r>
              <w:rPr>
                <w:rFonts w:ascii="Arial" w:hAnsi="Arial" w:cs="Arial"/>
                <w:sz w:val="20"/>
                <w:szCs w:val="20"/>
              </w:rPr>
              <w:t>Campeche, Camp.</w:t>
            </w:r>
          </w:p>
        </w:tc>
        <w:tc>
          <w:tcPr>
            <w:tcW w:w="1408" w:type="dxa"/>
            <w:tcBorders>
              <w:top w:val="nil"/>
              <w:left w:val="nil"/>
              <w:bottom w:val="single" w:sz="8" w:space="0" w:color="auto"/>
              <w:right w:val="single" w:sz="8" w:space="0" w:color="auto"/>
            </w:tcBorders>
            <w:shd w:val="clear" w:color="auto" w:fill="auto"/>
            <w:noWrap/>
            <w:vAlign w:val="bottom"/>
          </w:tcPr>
          <w:p w14:paraId="4B852C0C" w14:textId="52D6F5A5" w:rsidR="00F22324" w:rsidRPr="003C5A86" w:rsidRDefault="00F22324" w:rsidP="00F22324">
            <w:pPr>
              <w:rPr>
                <w:rFonts w:asciiTheme="minorHAnsi" w:hAnsiTheme="minorHAnsi" w:cstheme="minorHAnsi"/>
                <w:sz w:val="20"/>
                <w:szCs w:val="20"/>
              </w:rPr>
            </w:pPr>
            <w:r>
              <w:rPr>
                <w:rFonts w:ascii="Arial" w:hAnsi="Arial" w:cs="Arial"/>
                <w:sz w:val="20"/>
                <w:szCs w:val="20"/>
              </w:rPr>
              <w:t>193</w:t>
            </w:r>
          </w:p>
        </w:tc>
        <w:tc>
          <w:tcPr>
            <w:tcW w:w="1409" w:type="dxa"/>
            <w:tcBorders>
              <w:top w:val="nil"/>
              <w:left w:val="nil"/>
              <w:bottom w:val="single" w:sz="8" w:space="0" w:color="auto"/>
              <w:right w:val="single" w:sz="8" w:space="0" w:color="auto"/>
            </w:tcBorders>
            <w:shd w:val="clear" w:color="auto" w:fill="auto"/>
            <w:noWrap/>
            <w:vAlign w:val="bottom"/>
          </w:tcPr>
          <w:p w14:paraId="4EF7A44C" w14:textId="1419B088" w:rsidR="00F22324" w:rsidRPr="003C5A86" w:rsidRDefault="00F22324" w:rsidP="00F22324">
            <w:pPr>
              <w:rPr>
                <w:rFonts w:asciiTheme="minorHAnsi" w:hAnsiTheme="minorHAnsi" w:cstheme="minorHAnsi"/>
                <w:sz w:val="20"/>
                <w:szCs w:val="20"/>
              </w:rPr>
            </w:pPr>
            <w:r>
              <w:rPr>
                <w:rFonts w:ascii="Arial" w:hAnsi="Arial" w:cs="Arial"/>
                <w:sz w:val="20"/>
                <w:szCs w:val="20"/>
              </w:rPr>
              <w:t>1.16%</w:t>
            </w:r>
          </w:p>
        </w:tc>
      </w:tr>
      <w:tr w:rsidR="00F22324" w:rsidRPr="00DB3398" w14:paraId="637629E1"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3F359B27" w14:textId="6D35100F" w:rsidR="00F22324" w:rsidRPr="003C5A86" w:rsidRDefault="00F22324" w:rsidP="00F22324">
            <w:pPr>
              <w:rPr>
                <w:rFonts w:asciiTheme="minorHAnsi" w:hAnsiTheme="minorHAnsi" w:cstheme="minorHAnsi"/>
                <w:sz w:val="20"/>
                <w:szCs w:val="20"/>
              </w:rPr>
            </w:pPr>
            <w:r>
              <w:rPr>
                <w:rFonts w:ascii="Arial" w:hAnsi="Arial" w:cs="Arial"/>
                <w:sz w:val="20"/>
                <w:szCs w:val="20"/>
              </w:rPr>
              <w:t>Monterrey, N.L.</w:t>
            </w:r>
          </w:p>
        </w:tc>
        <w:tc>
          <w:tcPr>
            <w:tcW w:w="1408" w:type="dxa"/>
            <w:tcBorders>
              <w:top w:val="nil"/>
              <w:left w:val="nil"/>
              <w:bottom w:val="single" w:sz="8" w:space="0" w:color="auto"/>
              <w:right w:val="single" w:sz="8" w:space="0" w:color="auto"/>
            </w:tcBorders>
            <w:shd w:val="clear" w:color="auto" w:fill="auto"/>
            <w:noWrap/>
            <w:vAlign w:val="bottom"/>
          </w:tcPr>
          <w:p w14:paraId="068E00B6" w14:textId="09E020E8" w:rsidR="00F22324" w:rsidRPr="003C5A86" w:rsidRDefault="00F22324" w:rsidP="00F22324">
            <w:pPr>
              <w:rPr>
                <w:rFonts w:asciiTheme="minorHAnsi" w:hAnsiTheme="minorHAnsi" w:cstheme="minorHAnsi"/>
                <w:sz w:val="20"/>
                <w:szCs w:val="20"/>
              </w:rPr>
            </w:pPr>
            <w:r>
              <w:rPr>
                <w:rFonts w:ascii="Arial" w:hAnsi="Arial" w:cs="Arial"/>
                <w:sz w:val="20"/>
                <w:szCs w:val="20"/>
              </w:rPr>
              <w:t>182</w:t>
            </w:r>
          </w:p>
        </w:tc>
        <w:tc>
          <w:tcPr>
            <w:tcW w:w="1409" w:type="dxa"/>
            <w:tcBorders>
              <w:top w:val="nil"/>
              <w:left w:val="nil"/>
              <w:bottom w:val="single" w:sz="8" w:space="0" w:color="auto"/>
              <w:right w:val="single" w:sz="8" w:space="0" w:color="auto"/>
            </w:tcBorders>
            <w:shd w:val="clear" w:color="auto" w:fill="auto"/>
            <w:noWrap/>
            <w:vAlign w:val="bottom"/>
          </w:tcPr>
          <w:p w14:paraId="10BDFBEB" w14:textId="1E0A71E7" w:rsidR="00F22324" w:rsidRPr="003C5A86" w:rsidRDefault="00F22324" w:rsidP="00F22324">
            <w:pPr>
              <w:rPr>
                <w:rFonts w:asciiTheme="minorHAnsi" w:hAnsiTheme="minorHAnsi" w:cstheme="minorHAnsi"/>
                <w:sz w:val="20"/>
                <w:szCs w:val="20"/>
              </w:rPr>
            </w:pPr>
            <w:r>
              <w:rPr>
                <w:rFonts w:ascii="Arial" w:hAnsi="Arial" w:cs="Arial"/>
                <w:sz w:val="20"/>
                <w:szCs w:val="20"/>
              </w:rPr>
              <w:t>1.09%</w:t>
            </w:r>
          </w:p>
        </w:tc>
      </w:tr>
      <w:tr w:rsidR="00F22324" w:rsidRPr="00DB3398" w14:paraId="6239C0D2"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47318FD4" w14:textId="1F33B4DC" w:rsidR="00F22324" w:rsidRPr="003C5A86" w:rsidRDefault="00F22324" w:rsidP="00F22324">
            <w:pPr>
              <w:rPr>
                <w:rFonts w:asciiTheme="minorHAnsi" w:hAnsiTheme="minorHAnsi" w:cstheme="minorHAnsi"/>
                <w:sz w:val="20"/>
                <w:szCs w:val="20"/>
              </w:rPr>
            </w:pPr>
            <w:r>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14:paraId="536791DB" w14:textId="3E5FD660" w:rsidR="00F22324" w:rsidRPr="003C5A86" w:rsidRDefault="00F22324" w:rsidP="00F22324">
            <w:pPr>
              <w:rPr>
                <w:rFonts w:asciiTheme="minorHAnsi" w:hAnsiTheme="minorHAnsi" w:cstheme="minorHAnsi"/>
                <w:sz w:val="20"/>
                <w:szCs w:val="20"/>
              </w:rPr>
            </w:pPr>
            <w:r>
              <w:rPr>
                <w:rFonts w:ascii="Arial" w:hAnsi="Arial" w:cs="Arial"/>
                <w:sz w:val="20"/>
                <w:szCs w:val="20"/>
              </w:rPr>
              <w:t>140</w:t>
            </w:r>
          </w:p>
        </w:tc>
        <w:tc>
          <w:tcPr>
            <w:tcW w:w="1409" w:type="dxa"/>
            <w:tcBorders>
              <w:top w:val="nil"/>
              <w:left w:val="nil"/>
              <w:bottom w:val="single" w:sz="8" w:space="0" w:color="auto"/>
              <w:right w:val="single" w:sz="8" w:space="0" w:color="auto"/>
            </w:tcBorders>
            <w:shd w:val="clear" w:color="auto" w:fill="auto"/>
            <w:noWrap/>
            <w:vAlign w:val="bottom"/>
          </w:tcPr>
          <w:p w14:paraId="4753503B" w14:textId="63434F60" w:rsidR="00F22324" w:rsidRPr="003C5A86" w:rsidRDefault="00F22324" w:rsidP="00F22324">
            <w:pPr>
              <w:rPr>
                <w:rFonts w:asciiTheme="minorHAnsi" w:hAnsiTheme="minorHAnsi" w:cstheme="minorHAnsi"/>
                <w:sz w:val="20"/>
                <w:szCs w:val="20"/>
              </w:rPr>
            </w:pPr>
            <w:r>
              <w:rPr>
                <w:rFonts w:ascii="Arial" w:hAnsi="Arial" w:cs="Arial"/>
                <w:sz w:val="20"/>
                <w:szCs w:val="20"/>
              </w:rPr>
              <w:t>0.84%</w:t>
            </w:r>
          </w:p>
        </w:tc>
      </w:tr>
      <w:tr w:rsidR="00F22324" w:rsidRPr="00DB3398" w14:paraId="423936A2"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CA72CE0" w14:textId="131AFA65" w:rsidR="00F22324" w:rsidRPr="003C5A86" w:rsidRDefault="00F22324" w:rsidP="00F22324">
            <w:pPr>
              <w:rPr>
                <w:rFonts w:asciiTheme="minorHAnsi" w:hAnsiTheme="minorHAnsi" w:cstheme="minorHAnsi"/>
                <w:sz w:val="20"/>
                <w:szCs w:val="20"/>
              </w:rPr>
            </w:pPr>
            <w:r>
              <w:rPr>
                <w:rFonts w:ascii="Arial" w:hAnsi="Arial" w:cs="Arial"/>
                <w:sz w:val="20"/>
                <w:szCs w:val="20"/>
              </w:rPr>
              <w:t>Ciudad Victoria, Tamps.</w:t>
            </w:r>
          </w:p>
        </w:tc>
        <w:tc>
          <w:tcPr>
            <w:tcW w:w="1408" w:type="dxa"/>
            <w:tcBorders>
              <w:top w:val="nil"/>
              <w:left w:val="nil"/>
              <w:bottom w:val="single" w:sz="8" w:space="0" w:color="auto"/>
              <w:right w:val="single" w:sz="8" w:space="0" w:color="auto"/>
            </w:tcBorders>
            <w:shd w:val="clear" w:color="auto" w:fill="auto"/>
            <w:noWrap/>
            <w:vAlign w:val="bottom"/>
          </w:tcPr>
          <w:p w14:paraId="14717F7E" w14:textId="072D05DD" w:rsidR="00F22324" w:rsidRPr="003C5A86" w:rsidRDefault="00F22324" w:rsidP="00F22324">
            <w:pPr>
              <w:rPr>
                <w:rFonts w:asciiTheme="minorHAnsi" w:hAnsiTheme="minorHAnsi" w:cstheme="minorHAnsi"/>
                <w:sz w:val="20"/>
                <w:szCs w:val="20"/>
              </w:rPr>
            </w:pPr>
            <w:r>
              <w:rPr>
                <w:rFonts w:ascii="Arial" w:hAnsi="Arial" w:cs="Arial"/>
                <w:sz w:val="20"/>
                <w:szCs w:val="20"/>
              </w:rPr>
              <w:t>136</w:t>
            </w:r>
          </w:p>
        </w:tc>
        <w:tc>
          <w:tcPr>
            <w:tcW w:w="1409" w:type="dxa"/>
            <w:tcBorders>
              <w:top w:val="nil"/>
              <w:left w:val="nil"/>
              <w:bottom w:val="single" w:sz="8" w:space="0" w:color="auto"/>
              <w:right w:val="single" w:sz="8" w:space="0" w:color="auto"/>
            </w:tcBorders>
            <w:shd w:val="clear" w:color="auto" w:fill="auto"/>
            <w:noWrap/>
            <w:vAlign w:val="bottom"/>
          </w:tcPr>
          <w:p w14:paraId="6134D0C0" w14:textId="649C44F4" w:rsidR="00F22324" w:rsidRPr="003C5A86" w:rsidRDefault="00F22324" w:rsidP="00F22324">
            <w:pPr>
              <w:rPr>
                <w:rFonts w:asciiTheme="minorHAnsi" w:hAnsiTheme="minorHAnsi" w:cstheme="minorHAnsi"/>
                <w:sz w:val="20"/>
                <w:szCs w:val="20"/>
              </w:rPr>
            </w:pPr>
            <w:r>
              <w:rPr>
                <w:rFonts w:ascii="Arial" w:hAnsi="Arial" w:cs="Arial"/>
                <w:sz w:val="20"/>
                <w:szCs w:val="20"/>
              </w:rPr>
              <w:t>0.82%</w:t>
            </w:r>
          </w:p>
        </w:tc>
      </w:tr>
      <w:tr w:rsidR="00F22324" w:rsidRPr="00DB3398" w14:paraId="0898FED0"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7F1B95F" w14:textId="6F2C32E2" w:rsidR="00F22324" w:rsidRPr="003C5A86" w:rsidRDefault="00F22324" w:rsidP="00F22324">
            <w:pPr>
              <w:rPr>
                <w:rFonts w:asciiTheme="minorHAnsi" w:hAnsiTheme="minorHAnsi" w:cstheme="minorHAnsi"/>
                <w:sz w:val="20"/>
                <w:szCs w:val="20"/>
              </w:rPr>
            </w:pPr>
            <w:r>
              <w:rPr>
                <w:rFonts w:ascii="Arial" w:hAnsi="Arial" w:cs="Arial"/>
                <w:sz w:val="20"/>
                <w:szCs w:val="20"/>
              </w:rPr>
              <w:t>Saltillo, Coah.</w:t>
            </w:r>
          </w:p>
        </w:tc>
        <w:tc>
          <w:tcPr>
            <w:tcW w:w="1408" w:type="dxa"/>
            <w:tcBorders>
              <w:top w:val="nil"/>
              <w:left w:val="nil"/>
              <w:bottom w:val="single" w:sz="8" w:space="0" w:color="auto"/>
              <w:right w:val="single" w:sz="8" w:space="0" w:color="auto"/>
            </w:tcBorders>
            <w:shd w:val="clear" w:color="auto" w:fill="auto"/>
            <w:noWrap/>
            <w:vAlign w:val="bottom"/>
          </w:tcPr>
          <w:p w14:paraId="7F614727" w14:textId="24499CC8" w:rsidR="00F22324" w:rsidRPr="003C5A86" w:rsidRDefault="00F22324" w:rsidP="00F22324">
            <w:pPr>
              <w:rPr>
                <w:rFonts w:asciiTheme="minorHAnsi" w:hAnsiTheme="minorHAnsi" w:cstheme="minorHAnsi"/>
                <w:sz w:val="20"/>
                <w:szCs w:val="20"/>
              </w:rPr>
            </w:pPr>
            <w:r>
              <w:rPr>
                <w:rFonts w:ascii="Arial" w:hAnsi="Arial" w:cs="Arial"/>
                <w:sz w:val="20"/>
                <w:szCs w:val="20"/>
              </w:rPr>
              <w:t>125</w:t>
            </w:r>
          </w:p>
        </w:tc>
        <w:tc>
          <w:tcPr>
            <w:tcW w:w="1409" w:type="dxa"/>
            <w:tcBorders>
              <w:top w:val="nil"/>
              <w:left w:val="nil"/>
              <w:bottom w:val="single" w:sz="8" w:space="0" w:color="auto"/>
              <w:right w:val="single" w:sz="8" w:space="0" w:color="auto"/>
            </w:tcBorders>
            <w:shd w:val="clear" w:color="auto" w:fill="auto"/>
            <w:noWrap/>
            <w:vAlign w:val="bottom"/>
          </w:tcPr>
          <w:p w14:paraId="51F3949C" w14:textId="0AACEF89" w:rsidR="00F22324" w:rsidRPr="003C5A86" w:rsidRDefault="00F22324" w:rsidP="00F22324">
            <w:pPr>
              <w:rPr>
                <w:rFonts w:asciiTheme="minorHAnsi" w:hAnsiTheme="minorHAnsi" w:cstheme="minorHAnsi"/>
                <w:sz w:val="20"/>
                <w:szCs w:val="20"/>
              </w:rPr>
            </w:pPr>
            <w:r>
              <w:rPr>
                <w:rFonts w:ascii="Arial" w:hAnsi="Arial" w:cs="Arial"/>
                <w:sz w:val="20"/>
                <w:szCs w:val="20"/>
              </w:rPr>
              <w:t>0.75%</w:t>
            </w:r>
          </w:p>
        </w:tc>
      </w:tr>
      <w:tr w:rsidR="00F22324" w:rsidRPr="00DB3398" w14:paraId="280909FF"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07438BE" w14:textId="42005143" w:rsidR="00F22324" w:rsidRPr="003C5A86" w:rsidRDefault="00F22324" w:rsidP="00F22324">
            <w:pPr>
              <w:rPr>
                <w:rFonts w:asciiTheme="minorHAnsi" w:hAnsiTheme="minorHAnsi" w:cstheme="minorHAnsi"/>
                <w:sz w:val="20"/>
                <w:szCs w:val="20"/>
              </w:rPr>
            </w:pPr>
            <w:r>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14:paraId="35B1C04B" w14:textId="5271E41A" w:rsidR="00F22324" w:rsidRPr="003C5A86" w:rsidRDefault="00F22324" w:rsidP="00F22324">
            <w:pPr>
              <w:rPr>
                <w:rFonts w:asciiTheme="minorHAnsi" w:hAnsiTheme="minorHAnsi" w:cstheme="minorHAnsi"/>
                <w:sz w:val="20"/>
                <w:szCs w:val="20"/>
              </w:rPr>
            </w:pPr>
            <w:r>
              <w:rPr>
                <w:rFonts w:ascii="Arial" w:hAnsi="Arial" w:cs="Arial"/>
                <w:sz w:val="20"/>
                <w:szCs w:val="20"/>
              </w:rPr>
              <w:t>104</w:t>
            </w:r>
          </w:p>
        </w:tc>
        <w:tc>
          <w:tcPr>
            <w:tcW w:w="1409" w:type="dxa"/>
            <w:tcBorders>
              <w:top w:val="nil"/>
              <w:left w:val="nil"/>
              <w:bottom w:val="single" w:sz="8" w:space="0" w:color="auto"/>
              <w:right w:val="single" w:sz="8" w:space="0" w:color="auto"/>
            </w:tcBorders>
            <w:shd w:val="clear" w:color="auto" w:fill="auto"/>
            <w:noWrap/>
            <w:vAlign w:val="bottom"/>
          </w:tcPr>
          <w:p w14:paraId="7F2ACD0B" w14:textId="5A3B7E33" w:rsidR="00F22324" w:rsidRPr="003C5A86" w:rsidRDefault="00F22324" w:rsidP="00F22324">
            <w:pPr>
              <w:rPr>
                <w:rFonts w:asciiTheme="minorHAnsi" w:hAnsiTheme="minorHAnsi" w:cstheme="minorHAnsi"/>
                <w:sz w:val="20"/>
                <w:szCs w:val="20"/>
              </w:rPr>
            </w:pPr>
            <w:r>
              <w:rPr>
                <w:rFonts w:ascii="Arial" w:hAnsi="Arial" w:cs="Arial"/>
                <w:sz w:val="20"/>
                <w:szCs w:val="20"/>
              </w:rPr>
              <w:t>0.62%</w:t>
            </w:r>
          </w:p>
        </w:tc>
      </w:tr>
      <w:tr w:rsidR="00F22324" w:rsidRPr="00DB3398" w14:paraId="6F6BF6A6"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DD13DCC" w14:textId="422DA522" w:rsidR="00F22324" w:rsidRPr="003C5A86" w:rsidRDefault="00F22324" w:rsidP="00F22324">
            <w:pPr>
              <w:rPr>
                <w:rFonts w:asciiTheme="minorHAnsi" w:hAnsiTheme="minorHAnsi" w:cstheme="minorHAnsi"/>
                <w:sz w:val="20"/>
                <w:szCs w:val="20"/>
              </w:rPr>
            </w:pPr>
            <w:r>
              <w:rPr>
                <w:rFonts w:ascii="Arial" w:hAnsi="Arial" w:cs="Arial"/>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vAlign w:val="bottom"/>
          </w:tcPr>
          <w:p w14:paraId="5F3CA3DC" w14:textId="5C9472D6" w:rsidR="00F22324" w:rsidRPr="003C5A86" w:rsidRDefault="00F22324" w:rsidP="00F22324">
            <w:pPr>
              <w:rPr>
                <w:rFonts w:asciiTheme="minorHAnsi" w:hAnsiTheme="minorHAnsi" w:cstheme="minorHAnsi"/>
                <w:sz w:val="20"/>
                <w:szCs w:val="20"/>
              </w:rPr>
            </w:pPr>
            <w:r>
              <w:rPr>
                <w:rFonts w:ascii="Arial" w:hAnsi="Arial" w:cs="Arial"/>
                <w:sz w:val="20"/>
                <w:szCs w:val="20"/>
              </w:rPr>
              <w:t>91</w:t>
            </w:r>
          </w:p>
        </w:tc>
        <w:tc>
          <w:tcPr>
            <w:tcW w:w="1409" w:type="dxa"/>
            <w:tcBorders>
              <w:top w:val="nil"/>
              <w:left w:val="nil"/>
              <w:bottom w:val="single" w:sz="8" w:space="0" w:color="auto"/>
              <w:right w:val="single" w:sz="8" w:space="0" w:color="auto"/>
            </w:tcBorders>
            <w:shd w:val="clear" w:color="auto" w:fill="auto"/>
            <w:noWrap/>
            <w:vAlign w:val="bottom"/>
          </w:tcPr>
          <w:p w14:paraId="3467065D" w14:textId="7D7276C3" w:rsidR="00F22324" w:rsidRPr="003C5A86" w:rsidRDefault="00F22324" w:rsidP="00F22324">
            <w:pPr>
              <w:rPr>
                <w:rFonts w:asciiTheme="minorHAnsi" w:hAnsiTheme="minorHAnsi" w:cstheme="minorHAnsi"/>
                <w:sz w:val="20"/>
                <w:szCs w:val="20"/>
              </w:rPr>
            </w:pPr>
            <w:r>
              <w:rPr>
                <w:rFonts w:ascii="Arial" w:hAnsi="Arial" w:cs="Arial"/>
                <w:sz w:val="20"/>
                <w:szCs w:val="20"/>
              </w:rPr>
              <w:t>0.55%</w:t>
            </w:r>
          </w:p>
        </w:tc>
      </w:tr>
      <w:tr w:rsidR="00F22324" w:rsidRPr="00DB3398" w14:paraId="6436526A"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BE2287B" w14:textId="45EF28BA" w:rsidR="00F22324" w:rsidRPr="003C5A86" w:rsidRDefault="00F22324" w:rsidP="00F22324">
            <w:pPr>
              <w:rPr>
                <w:rFonts w:asciiTheme="minorHAnsi" w:hAnsiTheme="minorHAnsi" w:cstheme="minorHAnsi"/>
                <w:sz w:val="20"/>
                <w:szCs w:val="20"/>
              </w:rPr>
            </w:pPr>
            <w:r>
              <w:rPr>
                <w:rFonts w:ascii="Arial" w:hAnsi="Arial" w:cs="Arial"/>
                <w:sz w:val="20"/>
                <w:szCs w:val="20"/>
              </w:rPr>
              <w:t>Hermosillo, Son.</w:t>
            </w:r>
          </w:p>
        </w:tc>
        <w:tc>
          <w:tcPr>
            <w:tcW w:w="1408" w:type="dxa"/>
            <w:tcBorders>
              <w:top w:val="nil"/>
              <w:left w:val="nil"/>
              <w:bottom w:val="single" w:sz="8" w:space="0" w:color="auto"/>
              <w:right w:val="single" w:sz="8" w:space="0" w:color="auto"/>
            </w:tcBorders>
            <w:shd w:val="clear" w:color="auto" w:fill="auto"/>
            <w:noWrap/>
            <w:vAlign w:val="bottom"/>
          </w:tcPr>
          <w:p w14:paraId="4E37B8FF" w14:textId="58276E3C" w:rsidR="00F22324" w:rsidRPr="003C5A86" w:rsidRDefault="00F22324" w:rsidP="00F22324">
            <w:pPr>
              <w:rPr>
                <w:rFonts w:asciiTheme="minorHAnsi" w:hAnsiTheme="minorHAnsi" w:cstheme="minorHAnsi"/>
                <w:sz w:val="20"/>
                <w:szCs w:val="20"/>
              </w:rPr>
            </w:pPr>
            <w:r>
              <w:rPr>
                <w:rFonts w:ascii="Arial" w:hAnsi="Arial" w:cs="Arial"/>
                <w:sz w:val="20"/>
                <w:szCs w:val="20"/>
              </w:rPr>
              <w:t>81</w:t>
            </w:r>
          </w:p>
        </w:tc>
        <w:tc>
          <w:tcPr>
            <w:tcW w:w="1409" w:type="dxa"/>
            <w:tcBorders>
              <w:top w:val="nil"/>
              <w:left w:val="nil"/>
              <w:bottom w:val="single" w:sz="8" w:space="0" w:color="auto"/>
              <w:right w:val="single" w:sz="8" w:space="0" w:color="auto"/>
            </w:tcBorders>
            <w:shd w:val="clear" w:color="auto" w:fill="auto"/>
            <w:noWrap/>
            <w:vAlign w:val="bottom"/>
          </w:tcPr>
          <w:p w14:paraId="4AC0DEF6" w14:textId="1696DE78" w:rsidR="00F22324" w:rsidRPr="003C5A86" w:rsidRDefault="00F22324" w:rsidP="00F22324">
            <w:pPr>
              <w:rPr>
                <w:rFonts w:asciiTheme="minorHAnsi" w:hAnsiTheme="minorHAnsi" w:cstheme="minorHAnsi"/>
                <w:sz w:val="20"/>
                <w:szCs w:val="20"/>
              </w:rPr>
            </w:pPr>
            <w:r>
              <w:rPr>
                <w:rFonts w:ascii="Arial" w:hAnsi="Arial" w:cs="Arial"/>
                <w:sz w:val="20"/>
                <w:szCs w:val="20"/>
              </w:rPr>
              <w:t>0.49%</w:t>
            </w:r>
          </w:p>
        </w:tc>
      </w:tr>
      <w:tr w:rsidR="00F22324" w:rsidRPr="00DB3398" w14:paraId="4EDD94D5"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3049E8D" w14:textId="442A5DF8" w:rsidR="00F22324" w:rsidRPr="003C5A86" w:rsidRDefault="00F22324" w:rsidP="00F22324">
            <w:pPr>
              <w:rPr>
                <w:rFonts w:asciiTheme="minorHAnsi" w:hAnsiTheme="minorHAnsi" w:cstheme="minorHAnsi"/>
                <w:sz w:val="20"/>
                <w:szCs w:val="20"/>
              </w:rPr>
            </w:pPr>
            <w:r>
              <w:rPr>
                <w:rFonts w:ascii="Arial" w:hAnsi="Arial" w:cs="Arial"/>
                <w:sz w:val="20"/>
                <w:szCs w:val="20"/>
              </w:rPr>
              <w:t>Puebla, Pue.</w:t>
            </w:r>
          </w:p>
        </w:tc>
        <w:tc>
          <w:tcPr>
            <w:tcW w:w="1408" w:type="dxa"/>
            <w:tcBorders>
              <w:top w:val="nil"/>
              <w:left w:val="nil"/>
              <w:bottom w:val="single" w:sz="8" w:space="0" w:color="auto"/>
              <w:right w:val="single" w:sz="8" w:space="0" w:color="auto"/>
            </w:tcBorders>
            <w:shd w:val="clear" w:color="auto" w:fill="auto"/>
            <w:noWrap/>
            <w:vAlign w:val="bottom"/>
          </w:tcPr>
          <w:p w14:paraId="33434C3C" w14:textId="1791804F" w:rsidR="00F22324" w:rsidRPr="003C5A86" w:rsidRDefault="00F22324" w:rsidP="00F22324">
            <w:pPr>
              <w:rPr>
                <w:rFonts w:asciiTheme="minorHAnsi" w:hAnsiTheme="minorHAnsi" w:cstheme="minorHAnsi"/>
                <w:sz w:val="20"/>
                <w:szCs w:val="20"/>
              </w:rPr>
            </w:pPr>
            <w:r>
              <w:rPr>
                <w:rFonts w:ascii="Arial" w:hAnsi="Arial" w:cs="Arial"/>
                <w:sz w:val="20"/>
                <w:szCs w:val="20"/>
              </w:rPr>
              <w:t>81</w:t>
            </w:r>
          </w:p>
        </w:tc>
        <w:tc>
          <w:tcPr>
            <w:tcW w:w="1409" w:type="dxa"/>
            <w:tcBorders>
              <w:top w:val="nil"/>
              <w:left w:val="nil"/>
              <w:bottom w:val="single" w:sz="8" w:space="0" w:color="auto"/>
              <w:right w:val="single" w:sz="8" w:space="0" w:color="auto"/>
            </w:tcBorders>
            <w:shd w:val="clear" w:color="auto" w:fill="auto"/>
            <w:noWrap/>
            <w:vAlign w:val="bottom"/>
          </w:tcPr>
          <w:p w14:paraId="37D05870" w14:textId="070B916F" w:rsidR="00F22324" w:rsidRPr="003C5A86" w:rsidRDefault="00F22324" w:rsidP="00F22324">
            <w:pPr>
              <w:rPr>
                <w:rFonts w:asciiTheme="minorHAnsi" w:hAnsiTheme="minorHAnsi" w:cstheme="minorHAnsi"/>
                <w:sz w:val="20"/>
                <w:szCs w:val="20"/>
              </w:rPr>
            </w:pPr>
            <w:r>
              <w:rPr>
                <w:rFonts w:ascii="Arial" w:hAnsi="Arial" w:cs="Arial"/>
                <w:sz w:val="20"/>
                <w:szCs w:val="20"/>
              </w:rPr>
              <w:t>0.49%</w:t>
            </w:r>
          </w:p>
        </w:tc>
      </w:tr>
      <w:tr w:rsidR="00F22324" w:rsidRPr="00DB3398" w14:paraId="710BD7DE"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5A3888C" w14:textId="101A8994" w:rsidR="00F22324" w:rsidRPr="003C5A86" w:rsidRDefault="00F22324" w:rsidP="00F22324">
            <w:pPr>
              <w:rPr>
                <w:rFonts w:asciiTheme="minorHAnsi" w:hAnsiTheme="minorHAnsi" w:cstheme="minorHAnsi"/>
                <w:sz w:val="20"/>
                <w:szCs w:val="20"/>
              </w:rPr>
            </w:pPr>
            <w:r>
              <w:rPr>
                <w:rFonts w:ascii="Arial" w:hAnsi="Arial" w:cs="Arial"/>
                <w:sz w:val="20"/>
                <w:szCs w:val="20"/>
              </w:rPr>
              <w:t>Ciudad Juárez, Chih.</w:t>
            </w:r>
          </w:p>
        </w:tc>
        <w:tc>
          <w:tcPr>
            <w:tcW w:w="1408" w:type="dxa"/>
            <w:tcBorders>
              <w:top w:val="nil"/>
              <w:left w:val="nil"/>
              <w:bottom w:val="single" w:sz="8" w:space="0" w:color="auto"/>
              <w:right w:val="single" w:sz="8" w:space="0" w:color="auto"/>
            </w:tcBorders>
            <w:shd w:val="clear" w:color="auto" w:fill="auto"/>
            <w:noWrap/>
            <w:vAlign w:val="bottom"/>
          </w:tcPr>
          <w:p w14:paraId="0DBA1C2F" w14:textId="1A024917" w:rsidR="00F22324" w:rsidRPr="003C5A86" w:rsidRDefault="00F22324" w:rsidP="00F22324">
            <w:pPr>
              <w:rPr>
                <w:rFonts w:asciiTheme="minorHAnsi" w:hAnsiTheme="minorHAnsi" w:cstheme="minorHAnsi"/>
                <w:sz w:val="20"/>
                <w:szCs w:val="20"/>
              </w:rPr>
            </w:pPr>
            <w:r>
              <w:rPr>
                <w:rFonts w:ascii="Arial" w:hAnsi="Arial" w:cs="Arial"/>
                <w:sz w:val="20"/>
                <w:szCs w:val="20"/>
              </w:rPr>
              <w:t>60</w:t>
            </w:r>
          </w:p>
        </w:tc>
        <w:tc>
          <w:tcPr>
            <w:tcW w:w="1409" w:type="dxa"/>
            <w:tcBorders>
              <w:top w:val="nil"/>
              <w:left w:val="nil"/>
              <w:bottom w:val="single" w:sz="8" w:space="0" w:color="auto"/>
              <w:right w:val="single" w:sz="8" w:space="0" w:color="auto"/>
            </w:tcBorders>
            <w:shd w:val="clear" w:color="auto" w:fill="auto"/>
            <w:noWrap/>
            <w:vAlign w:val="bottom"/>
          </w:tcPr>
          <w:p w14:paraId="37D7E8D4" w14:textId="6B071EB8" w:rsidR="00F22324" w:rsidRPr="003C5A86" w:rsidRDefault="00F22324" w:rsidP="00F22324">
            <w:pPr>
              <w:rPr>
                <w:rFonts w:asciiTheme="minorHAnsi" w:hAnsiTheme="minorHAnsi" w:cstheme="minorHAnsi"/>
                <w:sz w:val="20"/>
                <w:szCs w:val="20"/>
              </w:rPr>
            </w:pPr>
            <w:r>
              <w:rPr>
                <w:rFonts w:ascii="Arial" w:hAnsi="Arial" w:cs="Arial"/>
                <w:sz w:val="20"/>
                <w:szCs w:val="20"/>
              </w:rPr>
              <w:t>0.36%</w:t>
            </w:r>
          </w:p>
        </w:tc>
      </w:tr>
      <w:tr w:rsidR="00F22324" w:rsidRPr="00DB3398" w14:paraId="34B55658"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E654B18" w14:textId="255E4C87" w:rsidR="00F22324" w:rsidRPr="003C5A86" w:rsidRDefault="00F22324" w:rsidP="00F22324">
            <w:pPr>
              <w:rPr>
                <w:rFonts w:asciiTheme="minorHAnsi" w:hAnsiTheme="minorHAnsi" w:cstheme="minorHAnsi"/>
                <w:sz w:val="20"/>
                <w:szCs w:val="20"/>
              </w:rPr>
            </w:pPr>
            <w:r>
              <w:rPr>
                <w:rFonts w:ascii="Arial" w:hAnsi="Arial" w:cs="Arial"/>
                <w:sz w:val="20"/>
                <w:szCs w:val="20"/>
              </w:rPr>
              <w:t>San Luis Potosí, S.L.P.</w:t>
            </w:r>
          </w:p>
        </w:tc>
        <w:tc>
          <w:tcPr>
            <w:tcW w:w="1408" w:type="dxa"/>
            <w:tcBorders>
              <w:top w:val="nil"/>
              <w:left w:val="nil"/>
              <w:bottom w:val="single" w:sz="8" w:space="0" w:color="auto"/>
              <w:right w:val="single" w:sz="8" w:space="0" w:color="auto"/>
            </w:tcBorders>
            <w:shd w:val="clear" w:color="auto" w:fill="auto"/>
            <w:noWrap/>
            <w:vAlign w:val="bottom"/>
          </w:tcPr>
          <w:p w14:paraId="3EFEC3D7" w14:textId="078A48B3" w:rsidR="00F22324" w:rsidRPr="003C5A86" w:rsidRDefault="00F22324" w:rsidP="00F22324">
            <w:pPr>
              <w:rPr>
                <w:rFonts w:asciiTheme="minorHAnsi" w:hAnsiTheme="minorHAnsi" w:cstheme="minorHAnsi"/>
                <w:sz w:val="20"/>
                <w:szCs w:val="20"/>
              </w:rPr>
            </w:pPr>
            <w:r>
              <w:rPr>
                <w:rFonts w:ascii="Arial" w:hAnsi="Arial" w:cs="Arial"/>
                <w:sz w:val="20"/>
                <w:szCs w:val="20"/>
              </w:rPr>
              <w:t>57</w:t>
            </w:r>
          </w:p>
        </w:tc>
        <w:tc>
          <w:tcPr>
            <w:tcW w:w="1409" w:type="dxa"/>
            <w:tcBorders>
              <w:top w:val="nil"/>
              <w:left w:val="nil"/>
              <w:bottom w:val="single" w:sz="8" w:space="0" w:color="auto"/>
              <w:right w:val="single" w:sz="8" w:space="0" w:color="auto"/>
            </w:tcBorders>
            <w:shd w:val="clear" w:color="auto" w:fill="auto"/>
            <w:noWrap/>
            <w:vAlign w:val="bottom"/>
          </w:tcPr>
          <w:p w14:paraId="4EABED24" w14:textId="1367A207" w:rsidR="00F22324" w:rsidRPr="003C5A86" w:rsidRDefault="00F22324" w:rsidP="00F22324">
            <w:pPr>
              <w:rPr>
                <w:rFonts w:asciiTheme="minorHAnsi" w:hAnsiTheme="minorHAnsi" w:cstheme="minorHAnsi"/>
                <w:sz w:val="20"/>
                <w:szCs w:val="20"/>
              </w:rPr>
            </w:pPr>
            <w:r>
              <w:rPr>
                <w:rFonts w:ascii="Arial" w:hAnsi="Arial" w:cs="Arial"/>
                <w:sz w:val="20"/>
                <w:szCs w:val="20"/>
              </w:rPr>
              <w:t>0.34%</w:t>
            </w:r>
          </w:p>
        </w:tc>
      </w:tr>
      <w:tr w:rsidR="00F22324" w:rsidRPr="00DB3398" w14:paraId="0E6EF7CF" w14:textId="77777777" w:rsidTr="007544B1">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BBE46C3" w14:textId="1653A5B1" w:rsidR="00F22324" w:rsidRPr="003C5A86" w:rsidRDefault="00F22324" w:rsidP="00F22324">
            <w:pPr>
              <w:rPr>
                <w:rFonts w:asciiTheme="minorHAnsi" w:hAnsiTheme="minorHAnsi" w:cstheme="minorHAnsi"/>
                <w:sz w:val="20"/>
                <w:szCs w:val="20"/>
              </w:rPr>
            </w:pPr>
            <w:r>
              <w:rPr>
                <w:rFonts w:ascii="Arial" w:hAnsi="Arial" w:cs="Arial"/>
                <w:sz w:val="20"/>
                <w:szCs w:val="20"/>
              </w:rPr>
              <w:t>Durango, Dgo.</w:t>
            </w:r>
          </w:p>
        </w:tc>
        <w:tc>
          <w:tcPr>
            <w:tcW w:w="1408" w:type="dxa"/>
            <w:tcBorders>
              <w:top w:val="nil"/>
              <w:left w:val="nil"/>
              <w:bottom w:val="single" w:sz="8" w:space="0" w:color="auto"/>
              <w:right w:val="single" w:sz="8" w:space="0" w:color="auto"/>
            </w:tcBorders>
            <w:shd w:val="clear" w:color="auto" w:fill="auto"/>
            <w:noWrap/>
            <w:vAlign w:val="bottom"/>
          </w:tcPr>
          <w:p w14:paraId="3DAD63AF" w14:textId="2D4CD241" w:rsidR="00F22324" w:rsidRPr="003C5A86" w:rsidRDefault="00F22324" w:rsidP="00F22324">
            <w:pPr>
              <w:rPr>
                <w:rFonts w:asciiTheme="minorHAnsi" w:hAnsiTheme="minorHAnsi" w:cstheme="minorHAnsi"/>
                <w:sz w:val="20"/>
                <w:szCs w:val="20"/>
              </w:rPr>
            </w:pPr>
            <w:r>
              <w:rPr>
                <w:rFonts w:ascii="Arial" w:hAnsi="Arial" w:cs="Arial"/>
                <w:sz w:val="20"/>
                <w:szCs w:val="20"/>
              </w:rPr>
              <w:t>54</w:t>
            </w:r>
          </w:p>
        </w:tc>
        <w:tc>
          <w:tcPr>
            <w:tcW w:w="1409" w:type="dxa"/>
            <w:tcBorders>
              <w:top w:val="nil"/>
              <w:left w:val="nil"/>
              <w:bottom w:val="single" w:sz="8" w:space="0" w:color="auto"/>
              <w:right w:val="single" w:sz="8" w:space="0" w:color="auto"/>
            </w:tcBorders>
            <w:shd w:val="clear" w:color="auto" w:fill="auto"/>
            <w:noWrap/>
            <w:vAlign w:val="bottom"/>
          </w:tcPr>
          <w:p w14:paraId="3FD5F6EF" w14:textId="3E74C639" w:rsidR="00F22324" w:rsidRPr="003C5A86" w:rsidRDefault="00F22324" w:rsidP="00F22324">
            <w:pPr>
              <w:rPr>
                <w:rFonts w:asciiTheme="minorHAnsi" w:hAnsiTheme="minorHAnsi" w:cstheme="minorHAnsi"/>
                <w:sz w:val="20"/>
                <w:szCs w:val="20"/>
              </w:rPr>
            </w:pPr>
            <w:r>
              <w:rPr>
                <w:rFonts w:ascii="Arial" w:hAnsi="Arial" w:cs="Arial"/>
                <w:sz w:val="20"/>
                <w:szCs w:val="20"/>
              </w:rPr>
              <w:t>0.32%</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875D0D" w:rsidRDefault="002D0E84" w:rsidP="0017624E">
            <w:pPr>
              <w:rPr>
                <w:rFonts w:ascii="Arial" w:hAnsi="Arial" w:cs="Arial"/>
                <w:b/>
                <w:bCs/>
                <w:color w:val="FFFFFF"/>
                <w:sz w:val="20"/>
              </w:rPr>
            </w:pPr>
          </w:p>
        </w:tc>
      </w:tr>
      <w:tr w:rsidR="00F22324" w:rsidRPr="00577FA5" w14:paraId="6F885718"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52D7F481" w:rsidR="00F22324" w:rsidRPr="003C5A86" w:rsidRDefault="00F22324" w:rsidP="00F22324">
            <w:pPr>
              <w:rPr>
                <w:rFonts w:asciiTheme="minorHAnsi" w:hAnsiTheme="minorHAnsi" w:cstheme="minorHAnsi"/>
                <w:sz w:val="20"/>
                <w:szCs w:val="20"/>
              </w:rPr>
            </w:pPr>
            <w:r>
              <w:rPr>
                <w:rFonts w:ascii="Arial" w:hAnsi="Arial" w:cs="Arial"/>
                <w:sz w:val="20"/>
                <w:szCs w:val="20"/>
              </w:rPr>
              <w:t>Guadalajara, Jal.</w:t>
            </w:r>
          </w:p>
        </w:tc>
        <w:tc>
          <w:tcPr>
            <w:tcW w:w="1246" w:type="dxa"/>
            <w:tcBorders>
              <w:top w:val="nil"/>
              <w:left w:val="nil"/>
              <w:bottom w:val="single" w:sz="8" w:space="0" w:color="auto"/>
              <w:right w:val="single" w:sz="8" w:space="0" w:color="auto"/>
            </w:tcBorders>
            <w:shd w:val="clear" w:color="auto" w:fill="auto"/>
            <w:noWrap/>
            <w:vAlign w:val="bottom"/>
          </w:tcPr>
          <w:p w14:paraId="4D873153" w14:textId="44816800" w:rsidR="00F22324" w:rsidRPr="003C5A86" w:rsidRDefault="00F22324" w:rsidP="00F22324">
            <w:pPr>
              <w:rPr>
                <w:rFonts w:asciiTheme="minorHAnsi" w:hAnsiTheme="minorHAnsi" w:cstheme="minorHAnsi"/>
                <w:sz w:val="20"/>
                <w:szCs w:val="20"/>
              </w:rPr>
            </w:pPr>
            <w:r>
              <w:rPr>
                <w:rFonts w:ascii="Arial" w:hAnsi="Arial" w:cs="Arial"/>
                <w:sz w:val="20"/>
                <w:szCs w:val="20"/>
              </w:rPr>
              <w:t>50</w:t>
            </w:r>
          </w:p>
        </w:tc>
        <w:tc>
          <w:tcPr>
            <w:tcW w:w="1503" w:type="dxa"/>
            <w:tcBorders>
              <w:top w:val="nil"/>
              <w:left w:val="nil"/>
              <w:bottom w:val="single" w:sz="8" w:space="0" w:color="auto"/>
              <w:right w:val="single" w:sz="8" w:space="0" w:color="auto"/>
            </w:tcBorders>
            <w:shd w:val="clear" w:color="auto" w:fill="auto"/>
            <w:noWrap/>
            <w:vAlign w:val="bottom"/>
          </w:tcPr>
          <w:p w14:paraId="567C0994" w14:textId="433C9D98" w:rsidR="00F22324" w:rsidRPr="003C5A86" w:rsidRDefault="00F22324" w:rsidP="00F22324">
            <w:pPr>
              <w:rPr>
                <w:rFonts w:asciiTheme="minorHAnsi" w:hAnsiTheme="minorHAnsi" w:cstheme="minorHAnsi"/>
                <w:sz w:val="20"/>
                <w:szCs w:val="20"/>
              </w:rPr>
            </w:pPr>
            <w:r>
              <w:rPr>
                <w:rFonts w:ascii="Arial" w:hAnsi="Arial" w:cs="Arial"/>
                <w:sz w:val="20"/>
                <w:szCs w:val="20"/>
              </w:rPr>
              <w:t>0.30%</w:t>
            </w:r>
          </w:p>
        </w:tc>
      </w:tr>
      <w:tr w:rsidR="00F22324" w:rsidRPr="00577FA5" w14:paraId="6ACFD1AE"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707A9B31" w:rsidR="00F22324" w:rsidRPr="003C5A86" w:rsidRDefault="00F22324" w:rsidP="00F22324">
            <w:pPr>
              <w:rPr>
                <w:rFonts w:asciiTheme="minorHAnsi" w:hAnsiTheme="minorHAnsi" w:cstheme="minorHAnsi"/>
                <w:sz w:val="20"/>
                <w:szCs w:val="20"/>
              </w:rPr>
            </w:pPr>
            <w:r>
              <w:rPr>
                <w:rFonts w:ascii="Arial" w:hAnsi="Arial" w:cs="Arial"/>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14:paraId="058E0A6B" w14:textId="70DD3B8D" w:rsidR="00F22324" w:rsidRPr="003C5A86" w:rsidRDefault="00F22324" w:rsidP="00F22324">
            <w:pPr>
              <w:rPr>
                <w:rFonts w:asciiTheme="minorHAnsi" w:hAnsiTheme="minorHAnsi" w:cstheme="minorHAnsi"/>
                <w:sz w:val="20"/>
                <w:szCs w:val="20"/>
              </w:rPr>
            </w:pPr>
            <w:r>
              <w:rPr>
                <w:rFonts w:ascii="Arial" w:hAnsi="Arial" w:cs="Arial"/>
                <w:sz w:val="20"/>
                <w:szCs w:val="20"/>
              </w:rPr>
              <w:t>45</w:t>
            </w:r>
          </w:p>
        </w:tc>
        <w:tc>
          <w:tcPr>
            <w:tcW w:w="1503" w:type="dxa"/>
            <w:tcBorders>
              <w:top w:val="nil"/>
              <w:left w:val="nil"/>
              <w:bottom w:val="single" w:sz="8" w:space="0" w:color="auto"/>
              <w:right w:val="single" w:sz="8" w:space="0" w:color="auto"/>
            </w:tcBorders>
            <w:shd w:val="clear" w:color="auto" w:fill="auto"/>
            <w:noWrap/>
            <w:vAlign w:val="bottom"/>
          </w:tcPr>
          <w:p w14:paraId="35326EC2" w14:textId="7EBF9683" w:rsidR="00F22324" w:rsidRPr="003C5A86" w:rsidRDefault="00F22324" w:rsidP="00F22324">
            <w:pPr>
              <w:rPr>
                <w:rFonts w:asciiTheme="minorHAnsi" w:hAnsiTheme="minorHAnsi" w:cstheme="minorHAnsi"/>
                <w:sz w:val="20"/>
                <w:szCs w:val="20"/>
              </w:rPr>
            </w:pPr>
            <w:r>
              <w:rPr>
                <w:rFonts w:ascii="Arial" w:hAnsi="Arial" w:cs="Arial"/>
                <w:sz w:val="20"/>
                <w:szCs w:val="20"/>
              </w:rPr>
              <w:t>0.27%</w:t>
            </w:r>
          </w:p>
        </w:tc>
      </w:tr>
      <w:tr w:rsidR="00F22324" w:rsidRPr="00577FA5" w14:paraId="433FE60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2BCC1AE0" w:rsidR="00F22324" w:rsidRPr="003C5A86" w:rsidRDefault="00F22324" w:rsidP="00F22324">
            <w:pPr>
              <w:rPr>
                <w:rFonts w:asciiTheme="minorHAnsi" w:hAnsiTheme="minorHAnsi" w:cstheme="minorHAnsi"/>
                <w:sz w:val="20"/>
                <w:szCs w:val="20"/>
              </w:rPr>
            </w:pPr>
            <w:r>
              <w:rPr>
                <w:rFonts w:ascii="Arial" w:hAnsi="Arial" w:cs="Arial"/>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14:paraId="7B8237BE" w14:textId="57C1F317" w:rsidR="00F22324" w:rsidRPr="003C5A86" w:rsidRDefault="00F22324" w:rsidP="00F22324">
            <w:pPr>
              <w:rPr>
                <w:rFonts w:asciiTheme="minorHAnsi" w:hAnsiTheme="minorHAnsi" w:cstheme="minorHAnsi"/>
                <w:sz w:val="20"/>
                <w:szCs w:val="20"/>
              </w:rPr>
            </w:pPr>
            <w:r>
              <w:rPr>
                <w:rFonts w:ascii="Arial" w:hAnsi="Arial" w:cs="Arial"/>
                <w:sz w:val="20"/>
                <w:szCs w:val="20"/>
              </w:rPr>
              <w:t>39</w:t>
            </w:r>
          </w:p>
        </w:tc>
        <w:tc>
          <w:tcPr>
            <w:tcW w:w="1503" w:type="dxa"/>
            <w:tcBorders>
              <w:top w:val="nil"/>
              <w:left w:val="nil"/>
              <w:bottom w:val="single" w:sz="8" w:space="0" w:color="auto"/>
              <w:right w:val="single" w:sz="8" w:space="0" w:color="auto"/>
            </w:tcBorders>
            <w:shd w:val="clear" w:color="auto" w:fill="auto"/>
            <w:noWrap/>
            <w:vAlign w:val="bottom"/>
          </w:tcPr>
          <w:p w14:paraId="4DA1622B" w14:textId="4215FE65" w:rsidR="00F22324" w:rsidRPr="003C5A86" w:rsidRDefault="00F22324" w:rsidP="00F22324">
            <w:pPr>
              <w:rPr>
                <w:rFonts w:asciiTheme="minorHAnsi" w:hAnsiTheme="minorHAnsi" w:cstheme="minorHAnsi"/>
                <w:sz w:val="20"/>
                <w:szCs w:val="20"/>
              </w:rPr>
            </w:pPr>
            <w:r>
              <w:rPr>
                <w:rFonts w:ascii="Arial" w:hAnsi="Arial" w:cs="Arial"/>
                <w:sz w:val="20"/>
                <w:szCs w:val="20"/>
              </w:rPr>
              <w:t>0.23%</w:t>
            </w:r>
          </w:p>
        </w:tc>
      </w:tr>
      <w:tr w:rsidR="00F22324" w:rsidRPr="00577FA5" w14:paraId="6B97D8F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3BAF61E6" w:rsidR="00F22324" w:rsidRPr="003C5A86" w:rsidRDefault="00F22324" w:rsidP="00F22324">
            <w:pPr>
              <w:rPr>
                <w:rFonts w:asciiTheme="minorHAnsi" w:hAnsiTheme="minorHAnsi" w:cstheme="minorHAnsi"/>
                <w:sz w:val="20"/>
                <w:szCs w:val="20"/>
              </w:rPr>
            </w:pPr>
            <w:r>
              <w:rPr>
                <w:rFonts w:ascii="Arial" w:hAnsi="Arial" w:cs="Arial"/>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vAlign w:val="bottom"/>
          </w:tcPr>
          <w:p w14:paraId="42A523A6" w14:textId="3943579D" w:rsidR="00F22324" w:rsidRPr="003C5A86" w:rsidRDefault="00F22324" w:rsidP="00F22324">
            <w:pPr>
              <w:rPr>
                <w:rFonts w:asciiTheme="minorHAnsi" w:hAnsiTheme="minorHAnsi" w:cstheme="minorHAnsi"/>
                <w:sz w:val="20"/>
                <w:szCs w:val="20"/>
              </w:rPr>
            </w:pPr>
            <w:r>
              <w:rPr>
                <w:rFonts w:ascii="Arial" w:hAnsi="Arial" w:cs="Arial"/>
                <w:sz w:val="20"/>
                <w:szCs w:val="20"/>
              </w:rPr>
              <w:t>31</w:t>
            </w:r>
          </w:p>
        </w:tc>
        <w:tc>
          <w:tcPr>
            <w:tcW w:w="1503" w:type="dxa"/>
            <w:tcBorders>
              <w:top w:val="nil"/>
              <w:left w:val="nil"/>
              <w:bottom w:val="single" w:sz="8" w:space="0" w:color="auto"/>
              <w:right w:val="single" w:sz="8" w:space="0" w:color="auto"/>
            </w:tcBorders>
            <w:shd w:val="clear" w:color="auto" w:fill="auto"/>
            <w:noWrap/>
            <w:vAlign w:val="bottom"/>
          </w:tcPr>
          <w:p w14:paraId="54556887" w14:textId="705E58F9" w:rsidR="00F22324" w:rsidRPr="003C5A86" w:rsidRDefault="00F22324" w:rsidP="00F22324">
            <w:pPr>
              <w:rPr>
                <w:rFonts w:asciiTheme="minorHAnsi" w:hAnsiTheme="minorHAnsi" w:cstheme="minorHAnsi"/>
                <w:sz w:val="20"/>
                <w:szCs w:val="20"/>
              </w:rPr>
            </w:pPr>
            <w:r>
              <w:rPr>
                <w:rFonts w:ascii="Arial" w:hAnsi="Arial" w:cs="Arial"/>
                <w:sz w:val="20"/>
                <w:szCs w:val="20"/>
              </w:rPr>
              <w:t>0.19%</w:t>
            </w:r>
          </w:p>
        </w:tc>
      </w:tr>
      <w:tr w:rsidR="00F22324" w:rsidRPr="00577FA5" w14:paraId="524FA5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7972D9F0" w:rsidR="00F22324" w:rsidRPr="003C5A86" w:rsidRDefault="00F22324" w:rsidP="00F22324">
            <w:pPr>
              <w:rPr>
                <w:rFonts w:asciiTheme="minorHAnsi" w:hAnsiTheme="minorHAnsi" w:cstheme="minorHAnsi"/>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3E745228" w14:textId="4E77D87C" w:rsidR="00F22324" w:rsidRPr="003C5A86" w:rsidRDefault="00F22324" w:rsidP="00F22324">
            <w:pPr>
              <w:rPr>
                <w:rFonts w:asciiTheme="minorHAnsi" w:hAnsiTheme="minorHAnsi" w:cstheme="minorHAnsi"/>
                <w:sz w:val="20"/>
                <w:szCs w:val="20"/>
              </w:rPr>
            </w:pPr>
            <w:r>
              <w:rPr>
                <w:rFonts w:ascii="Arial" w:hAnsi="Arial" w:cs="Arial"/>
                <w:sz w:val="20"/>
                <w:szCs w:val="20"/>
              </w:rPr>
              <w:t>22</w:t>
            </w:r>
          </w:p>
        </w:tc>
        <w:tc>
          <w:tcPr>
            <w:tcW w:w="1503" w:type="dxa"/>
            <w:tcBorders>
              <w:top w:val="nil"/>
              <w:left w:val="nil"/>
              <w:bottom w:val="single" w:sz="8" w:space="0" w:color="auto"/>
              <w:right w:val="single" w:sz="8" w:space="0" w:color="auto"/>
            </w:tcBorders>
            <w:shd w:val="clear" w:color="auto" w:fill="auto"/>
            <w:noWrap/>
            <w:vAlign w:val="bottom"/>
          </w:tcPr>
          <w:p w14:paraId="0F809137" w14:textId="61B75F05" w:rsidR="00F22324" w:rsidRPr="003C5A86" w:rsidRDefault="00F22324" w:rsidP="00F22324">
            <w:pPr>
              <w:rPr>
                <w:rFonts w:asciiTheme="minorHAnsi" w:hAnsiTheme="minorHAnsi" w:cstheme="minorHAnsi"/>
                <w:sz w:val="20"/>
                <w:szCs w:val="20"/>
              </w:rPr>
            </w:pPr>
            <w:r>
              <w:rPr>
                <w:rFonts w:ascii="Arial" w:hAnsi="Arial" w:cs="Arial"/>
                <w:sz w:val="20"/>
                <w:szCs w:val="20"/>
              </w:rPr>
              <w:t>0.13%</w:t>
            </w:r>
          </w:p>
        </w:tc>
      </w:tr>
      <w:tr w:rsidR="00F22324" w:rsidRPr="00577FA5" w14:paraId="66C8318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6FD2003A" w:rsidR="00F22324" w:rsidRPr="003C5A86" w:rsidRDefault="00F22324" w:rsidP="00F22324">
            <w:pPr>
              <w:rPr>
                <w:rFonts w:asciiTheme="minorHAnsi" w:hAnsiTheme="minorHAnsi" w:cstheme="minorHAnsi"/>
                <w:sz w:val="20"/>
                <w:szCs w:val="20"/>
              </w:rPr>
            </w:pPr>
            <w:r>
              <w:rPr>
                <w:rFonts w:ascii="Arial" w:hAnsi="Arial" w:cs="Arial"/>
                <w:sz w:val="20"/>
                <w:szCs w:val="20"/>
              </w:rPr>
              <w:t>Oaxaca, Oax</w:t>
            </w:r>
          </w:p>
        </w:tc>
        <w:tc>
          <w:tcPr>
            <w:tcW w:w="1246" w:type="dxa"/>
            <w:tcBorders>
              <w:top w:val="nil"/>
              <w:left w:val="nil"/>
              <w:bottom w:val="single" w:sz="8" w:space="0" w:color="auto"/>
              <w:right w:val="single" w:sz="8" w:space="0" w:color="auto"/>
            </w:tcBorders>
            <w:shd w:val="clear" w:color="auto" w:fill="auto"/>
            <w:noWrap/>
            <w:vAlign w:val="bottom"/>
          </w:tcPr>
          <w:p w14:paraId="7793E105" w14:textId="7C076B74" w:rsidR="00F22324" w:rsidRPr="003C5A86" w:rsidRDefault="00F22324" w:rsidP="00F22324">
            <w:pPr>
              <w:rPr>
                <w:rFonts w:asciiTheme="minorHAnsi" w:hAnsiTheme="minorHAnsi" w:cstheme="minorHAnsi"/>
                <w:sz w:val="20"/>
                <w:szCs w:val="20"/>
              </w:rPr>
            </w:pPr>
            <w:r>
              <w:rPr>
                <w:rFonts w:ascii="Arial" w:hAnsi="Arial" w:cs="Arial"/>
                <w:sz w:val="20"/>
                <w:szCs w:val="20"/>
              </w:rPr>
              <w:t>21</w:t>
            </w:r>
          </w:p>
        </w:tc>
        <w:tc>
          <w:tcPr>
            <w:tcW w:w="1503" w:type="dxa"/>
            <w:tcBorders>
              <w:top w:val="nil"/>
              <w:left w:val="nil"/>
              <w:bottom w:val="single" w:sz="8" w:space="0" w:color="auto"/>
              <w:right w:val="single" w:sz="8" w:space="0" w:color="auto"/>
            </w:tcBorders>
            <w:shd w:val="clear" w:color="auto" w:fill="auto"/>
            <w:noWrap/>
            <w:vAlign w:val="bottom"/>
          </w:tcPr>
          <w:p w14:paraId="7F2C6FC1" w14:textId="25FADBE4" w:rsidR="00F22324" w:rsidRPr="003C5A86" w:rsidRDefault="00F22324" w:rsidP="00F22324">
            <w:pPr>
              <w:rPr>
                <w:rFonts w:asciiTheme="minorHAnsi" w:hAnsiTheme="minorHAnsi" w:cstheme="minorHAnsi"/>
                <w:sz w:val="20"/>
                <w:szCs w:val="20"/>
              </w:rPr>
            </w:pPr>
            <w:r>
              <w:rPr>
                <w:rFonts w:ascii="Arial" w:hAnsi="Arial" w:cs="Arial"/>
                <w:sz w:val="20"/>
                <w:szCs w:val="20"/>
              </w:rPr>
              <w:t>0.13%</w:t>
            </w:r>
          </w:p>
        </w:tc>
      </w:tr>
      <w:tr w:rsidR="00F22324" w:rsidRPr="00577FA5" w14:paraId="059B1B3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5DB7987A" w:rsidR="00F22324" w:rsidRPr="003C5A86" w:rsidRDefault="00F22324" w:rsidP="00F22324">
            <w:pPr>
              <w:rPr>
                <w:rFonts w:asciiTheme="minorHAnsi" w:hAnsiTheme="minorHAnsi" w:cstheme="minorHAnsi"/>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6FA2D475" w14:textId="1E8FF444" w:rsidR="00F22324" w:rsidRPr="003C5A86" w:rsidRDefault="00F22324" w:rsidP="00F22324">
            <w:pPr>
              <w:rPr>
                <w:rFonts w:asciiTheme="minorHAnsi" w:hAnsiTheme="minorHAnsi" w:cstheme="minorHAnsi"/>
                <w:sz w:val="20"/>
                <w:szCs w:val="20"/>
              </w:rPr>
            </w:pPr>
            <w:r>
              <w:rPr>
                <w:rFonts w:ascii="Arial" w:hAnsi="Arial" w:cs="Arial"/>
                <w:sz w:val="20"/>
                <w:szCs w:val="20"/>
              </w:rPr>
              <w:t>19</w:t>
            </w:r>
          </w:p>
        </w:tc>
        <w:tc>
          <w:tcPr>
            <w:tcW w:w="1503" w:type="dxa"/>
            <w:tcBorders>
              <w:top w:val="nil"/>
              <w:left w:val="nil"/>
              <w:bottom w:val="single" w:sz="8" w:space="0" w:color="auto"/>
              <w:right w:val="single" w:sz="8" w:space="0" w:color="auto"/>
            </w:tcBorders>
            <w:shd w:val="clear" w:color="auto" w:fill="auto"/>
            <w:noWrap/>
            <w:vAlign w:val="bottom"/>
          </w:tcPr>
          <w:p w14:paraId="54BD84C3" w14:textId="2B1C363D" w:rsidR="00F22324" w:rsidRPr="003C5A86" w:rsidRDefault="00F22324" w:rsidP="00F22324">
            <w:pPr>
              <w:rPr>
                <w:rFonts w:asciiTheme="minorHAnsi" w:hAnsiTheme="minorHAnsi" w:cstheme="minorHAnsi"/>
                <w:sz w:val="20"/>
                <w:szCs w:val="20"/>
              </w:rPr>
            </w:pPr>
            <w:r>
              <w:rPr>
                <w:rFonts w:ascii="Arial" w:hAnsi="Arial" w:cs="Arial"/>
                <w:sz w:val="20"/>
                <w:szCs w:val="20"/>
              </w:rPr>
              <w:t>0.11%</w:t>
            </w:r>
          </w:p>
        </w:tc>
      </w:tr>
      <w:tr w:rsidR="00F22324" w:rsidRPr="00577FA5" w14:paraId="287B47D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28479146" w:rsidR="00F22324" w:rsidRPr="003C5A86" w:rsidRDefault="00F22324" w:rsidP="00F22324">
            <w:pPr>
              <w:rPr>
                <w:rFonts w:asciiTheme="minorHAnsi" w:hAnsiTheme="minorHAnsi" w:cstheme="minorHAnsi"/>
                <w:sz w:val="20"/>
                <w:szCs w:val="20"/>
              </w:rPr>
            </w:pPr>
            <w:r>
              <w:rPr>
                <w:rFonts w:ascii="Arial" w:hAnsi="Arial" w:cs="Arial"/>
                <w:sz w:val="20"/>
                <w:szCs w:val="20"/>
              </w:rPr>
              <w:t>Mérida, Yuc.</w:t>
            </w:r>
          </w:p>
        </w:tc>
        <w:tc>
          <w:tcPr>
            <w:tcW w:w="1246" w:type="dxa"/>
            <w:tcBorders>
              <w:top w:val="nil"/>
              <w:left w:val="nil"/>
              <w:bottom w:val="single" w:sz="8" w:space="0" w:color="auto"/>
              <w:right w:val="single" w:sz="8" w:space="0" w:color="auto"/>
            </w:tcBorders>
            <w:shd w:val="clear" w:color="auto" w:fill="auto"/>
            <w:noWrap/>
            <w:vAlign w:val="bottom"/>
          </w:tcPr>
          <w:p w14:paraId="19AA9789" w14:textId="0DDF2692" w:rsidR="00F22324" w:rsidRPr="003C5A86" w:rsidRDefault="00F22324" w:rsidP="00F22324">
            <w:pPr>
              <w:rPr>
                <w:rFonts w:asciiTheme="minorHAnsi" w:hAnsiTheme="minorHAnsi" w:cstheme="minorHAnsi"/>
                <w:sz w:val="20"/>
                <w:szCs w:val="20"/>
              </w:rPr>
            </w:pPr>
            <w:r>
              <w:rPr>
                <w:rFonts w:ascii="Arial" w:hAnsi="Arial" w:cs="Arial"/>
                <w:sz w:val="20"/>
                <w:szCs w:val="20"/>
              </w:rPr>
              <w:t>18</w:t>
            </w:r>
          </w:p>
        </w:tc>
        <w:tc>
          <w:tcPr>
            <w:tcW w:w="1503" w:type="dxa"/>
            <w:tcBorders>
              <w:top w:val="nil"/>
              <w:left w:val="nil"/>
              <w:bottom w:val="single" w:sz="8" w:space="0" w:color="auto"/>
              <w:right w:val="single" w:sz="8" w:space="0" w:color="auto"/>
            </w:tcBorders>
            <w:shd w:val="clear" w:color="auto" w:fill="auto"/>
            <w:noWrap/>
            <w:vAlign w:val="bottom"/>
          </w:tcPr>
          <w:p w14:paraId="4084248F" w14:textId="16CB698A" w:rsidR="00F22324" w:rsidRPr="003C5A86" w:rsidRDefault="00F22324" w:rsidP="00F22324">
            <w:pPr>
              <w:rPr>
                <w:rFonts w:asciiTheme="minorHAnsi" w:hAnsiTheme="minorHAnsi" w:cstheme="minorHAnsi"/>
                <w:sz w:val="20"/>
                <w:szCs w:val="20"/>
              </w:rPr>
            </w:pPr>
            <w:r>
              <w:rPr>
                <w:rFonts w:ascii="Arial" w:hAnsi="Arial" w:cs="Arial"/>
                <w:sz w:val="20"/>
                <w:szCs w:val="20"/>
              </w:rPr>
              <w:t>0.11%</w:t>
            </w:r>
          </w:p>
        </w:tc>
      </w:tr>
      <w:tr w:rsidR="00F22324" w:rsidRPr="00577FA5" w14:paraId="3A18BC76"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5765B7FE" w:rsidR="00F22324" w:rsidRPr="003C5A86" w:rsidRDefault="00F22324" w:rsidP="00F22324">
            <w:pPr>
              <w:rPr>
                <w:rFonts w:asciiTheme="minorHAnsi" w:hAnsiTheme="minorHAnsi" w:cstheme="minorHAnsi"/>
                <w:sz w:val="20"/>
                <w:szCs w:val="20"/>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14:paraId="09FFB990" w14:textId="4DFB7BE9" w:rsidR="00F22324" w:rsidRPr="003C5A86" w:rsidRDefault="00F22324" w:rsidP="00F22324">
            <w:pPr>
              <w:rPr>
                <w:rFonts w:asciiTheme="minorHAnsi" w:hAnsiTheme="minorHAnsi" w:cstheme="minorHAnsi"/>
                <w:sz w:val="20"/>
                <w:szCs w:val="20"/>
              </w:rPr>
            </w:pPr>
            <w:r>
              <w:rPr>
                <w:rFonts w:ascii="Arial" w:hAnsi="Arial" w:cs="Arial"/>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327E809C" w14:textId="3BC8AE3D" w:rsidR="00F22324" w:rsidRPr="003C5A86" w:rsidRDefault="00F22324" w:rsidP="00F22324">
            <w:pPr>
              <w:rPr>
                <w:rFonts w:asciiTheme="minorHAnsi" w:hAnsiTheme="minorHAnsi" w:cstheme="minorHAnsi"/>
                <w:sz w:val="20"/>
                <w:szCs w:val="20"/>
              </w:rPr>
            </w:pPr>
            <w:r>
              <w:rPr>
                <w:rFonts w:ascii="Arial" w:hAnsi="Arial" w:cs="Arial"/>
                <w:sz w:val="20"/>
                <w:szCs w:val="20"/>
              </w:rPr>
              <w:t>0.04%</w:t>
            </w:r>
          </w:p>
        </w:tc>
      </w:tr>
      <w:tr w:rsidR="00F22324" w:rsidRPr="00577FA5" w14:paraId="07C5283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1D6C1C37" w:rsidR="00F22324" w:rsidRPr="003C5A86" w:rsidRDefault="00F22324" w:rsidP="00F22324">
            <w:pPr>
              <w:rPr>
                <w:rFonts w:asciiTheme="minorHAnsi" w:hAnsiTheme="minorHAnsi" w:cstheme="minorHAnsi"/>
                <w:sz w:val="20"/>
                <w:szCs w:val="20"/>
              </w:rPr>
            </w:pPr>
            <w:r>
              <w:rPr>
                <w:rFonts w:ascii="Arial" w:hAnsi="Arial" w:cs="Arial"/>
                <w:sz w:val="20"/>
                <w:szCs w:val="20"/>
              </w:rPr>
              <w:t>Chetumal, Q.Roo</w:t>
            </w:r>
          </w:p>
        </w:tc>
        <w:tc>
          <w:tcPr>
            <w:tcW w:w="1246" w:type="dxa"/>
            <w:tcBorders>
              <w:top w:val="nil"/>
              <w:left w:val="nil"/>
              <w:bottom w:val="single" w:sz="8" w:space="0" w:color="auto"/>
              <w:right w:val="single" w:sz="8" w:space="0" w:color="auto"/>
            </w:tcBorders>
            <w:shd w:val="clear" w:color="auto" w:fill="auto"/>
            <w:noWrap/>
            <w:vAlign w:val="bottom"/>
          </w:tcPr>
          <w:p w14:paraId="1ED575E4" w14:textId="5C0DE32D" w:rsidR="00F22324" w:rsidRPr="003C5A86" w:rsidRDefault="00F22324" w:rsidP="00F22324">
            <w:pPr>
              <w:rPr>
                <w:rFonts w:asciiTheme="minorHAnsi" w:hAnsiTheme="minorHAnsi" w:cstheme="minorHAnsi"/>
                <w:sz w:val="20"/>
                <w:szCs w:val="20"/>
              </w:rPr>
            </w:pPr>
            <w:r>
              <w:rPr>
                <w:rFonts w:ascii="Arial" w:hAnsi="Arial" w:cs="Arial"/>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7E185D6D" w14:textId="3E2F36E3" w:rsidR="00F22324" w:rsidRPr="003C5A86" w:rsidRDefault="00F22324" w:rsidP="00F22324">
            <w:pPr>
              <w:rPr>
                <w:rFonts w:asciiTheme="minorHAnsi" w:hAnsiTheme="minorHAnsi" w:cstheme="minorHAnsi"/>
                <w:sz w:val="20"/>
                <w:szCs w:val="20"/>
              </w:rPr>
            </w:pPr>
            <w:r>
              <w:rPr>
                <w:rFonts w:ascii="Arial" w:hAnsi="Arial" w:cs="Arial"/>
                <w:sz w:val="20"/>
                <w:szCs w:val="20"/>
              </w:rPr>
              <w:t>0.04%</w:t>
            </w:r>
          </w:p>
        </w:tc>
      </w:tr>
      <w:tr w:rsidR="00F22324" w:rsidRPr="00577FA5" w14:paraId="063D3FC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65E62652" w:rsidR="00F22324" w:rsidRPr="003C5A86" w:rsidRDefault="00F22324" w:rsidP="00F22324">
            <w:pPr>
              <w:rPr>
                <w:rFonts w:asciiTheme="minorHAnsi" w:hAnsiTheme="minorHAnsi" w:cstheme="minorHAnsi"/>
                <w:sz w:val="20"/>
                <w:szCs w:val="20"/>
              </w:rPr>
            </w:pPr>
            <w:r>
              <w:rPr>
                <w:rFonts w:ascii="Arial" w:hAnsi="Arial" w:cs="Arial"/>
                <w:sz w:val="20"/>
                <w:szCs w:val="20"/>
              </w:rPr>
              <w:t>Tlaxcala, Tlax.</w:t>
            </w:r>
          </w:p>
        </w:tc>
        <w:tc>
          <w:tcPr>
            <w:tcW w:w="1246" w:type="dxa"/>
            <w:tcBorders>
              <w:top w:val="nil"/>
              <w:left w:val="nil"/>
              <w:bottom w:val="single" w:sz="8" w:space="0" w:color="auto"/>
              <w:right w:val="single" w:sz="8" w:space="0" w:color="auto"/>
            </w:tcBorders>
            <w:shd w:val="clear" w:color="auto" w:fill="auto"/>
            <w:noWrap/>
            <w:vAlign w:val="bottom"/>
          </w:tcPr>
          <w:p w14:paraId="39F512ED" w14:textId="7548B300" w:rsidR="00F22324" w:rsidRPr="003C5A86" w:rsidRDefault="00F22324" w:rsidP="00F22324">
            <w:pPr>
              <w:rPr>
                <w:rFonts w:asciiTheme="minorHAnsi" w:hAnsiTheme="minorHAnsi" w:cstheme="minorHAnsi"/>
                <w:sz w:val="20"/>
                <w:szCs w:val="20"/>
              </w:rPr>
            </w:pPr>
            <w:r>
              <w:rPr>
                <w:rFonts w:ascii="Arial" w:hAnsi="Arial" w:cs="Arial"/>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09E3E10C" w14:textId="2B682EE2" w:rsidR="00F22324" w:rsidRPr="003C5A86" w:rsidRDefault="00F22324" w:rsidP="00F22324">
            <w:pPr>
              <w:rPr>
                <w:rFonts w:asciiTheme="minorHAnsi" w:hAnsiTheme="minorHAnsi" w:cstheme="minorHAnsi"/>
                <w:sz w:val="20"/>
                <w:szCs w:val="20"/>
              </w:rPr>
            </w:pPr>
            <w:r>
              <w:rPr>
                <w:rFonts w:ascii="Arial" w:hAnsi="Arial" w:cs="Arial"/>
                <w:sz w:val="20"/>
                <w:szCs w:val="20"/>
              </w:rPr>
              <w:t>0.04%</w:t>
            </w:r>
          </w:p>
        </w:tc>
      </w:tr>
      <w:tr w:rsidR="00F22324" w:rsidRPr="00577FA5" w14:paraId="740DE2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3666E9A7" w:rsidR="00F22324" w:rsidRPr="003C5A86" w:rsidRDefault="00F22324" w:rsidP="00F22324">
            <w:pPr>
              <w:rPr>
                <w:rFonts w:asciiTheme="minorHAnsi" w:hAnsiTheme="minorHAnsi" w:cstheme="minorHAnsi"/>
                <w:sz w:val="20"/>
                <w:szCs w:val="20"/>
              </w:rPr>
            </w:pPr>
            <w:r>
              <w:rPr>
                <w:rFonts w:ascii="Arial" w:hAnsi="Arial" w:cs="Arial"/>
                <w:sz w:val="20"/>
                <w:szCs w:val="20"/>
              </w:rPr>
              <w:t>León, Gto.</w:t>
            </w:r>
          </w:p>
        </w:tc>
        <w:tc>
          <w:tcPr>
            <w:tcW w:w="1246" w:type="dxa"/>
            <w:tcBorders>
              <w:top w:val="nil"/>
              <w:left w:val="nil"/>
              <w:bottom w:val="single" w:sz="8" w:space="0" w:color="auto"/>
              <w:right w:val="single" w:sz="8" w:space="0" w:color="auto"/>
            </w:tcBorders>
            <w:shd w:val="clear" w:color="auto" w:fill="auto"/>
            <w:noWrap/>
            <w:vAlign w:val="bottom"/>
          </w:tcPr>
          <w:p w14:paraId="503770A2" w14:textId="1FE8F2E8" w:rsidR="00F22324" w:rsidRPr="003C5A86" w:rsidRDefault="00F22324" w:rsidP="00F22324">
            <w:pPr>
              <w:rPr>
                <w:rFonts w:asciiTheme="minorHAnsi" w:hAnsiTheme="minorHAnsi" w:cstheme="minorHAnsi"/>
                <w:sz w:val="20"/>
                <w:szCs w:val="20"/>
              </w:rPr>
            </w:pPr>
            <w:r>
              <w:rPr>
                <w:rFonts w:ascii="Arial" w:hAnsi="Arial" w:cs="Arial"/>
                <w:sz w:val="20"/>
                <w:szCs w:val="20"/>
              </w:rPr>
              <w:t>6</w:t>
            </w:r>
          </w:p>
        </w:tc>
        <w:tc>
          <w:tcPr>
            <w:tcW w:w="1503" w:type="dxa"/>
            <w:tcBorders>
              <w:top w:val="nil"/>
              <w:left w:val="nil"/>
              <w:bottom w:val="single" w:sz="8" w:space="0" w:color="auto"/>
              <w:right w:val="single" w:sz="8" w:space="0" w:color="auto"/>
            </w:tcBorders>
            <w:shd w:val="clear" w:color="auto" w:fill="auto"/>
            <w:noWrap/>
            <w:vAlign w:val="bottom"/>
          </w:tcPr>
          <w:p w14:paraId="79E8D3AF" w14:textId="22900860" w:rsidR="00F22324" w:rsidRPr="003C5A86" w:rsidRDefault="00F22324" w:rsidP="00F22324">
            <w:pPr>
              <w:rPr>
                <w:rFonts w:asciiTheme="minorHAnsi" w:hAnsiTheme="minorHAnsi" w:cstheme="minorHAnsi"/>
                <w:sz w:val="20"/>
                <w:szCs w:val="20"/>
              </w:rPr>
            </w:pPr>
            <w:r>
              <w:rPr>
                <w:rFonts w:ascii="Arial" w:hAnsi="Arial" w:cs="Arial"/>
                <w:sz w:val="20"/>
                <w:szCs w:val="20"/>
              </w:rPr>
              <w:t>0.04%</w:t>
            </w:r>
          </w:p>
        </w:tc>
      </w:tr>
      <w:tr w:rsidR="00F22324" w:rsidRPr="00577FA5" w14:paraId="414EA392"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6EF93D67" w:rsidR="00F22324" w:rsidRPr="00293F50" w:rsidRDefault="00F22324" w:rsidP="00F22324">
            <w:pPr>
              <w:rPr>
                <w:rFonts w:asciiTheme="minorHAnsi" w:hAnsiTheme="minorHAnsi" w:cstheme="minorHAnsi"/>
                <w:sz w:val="20"/>
                <w:szCs w:val="20"/>
                <w:lang w:val="es-MX"/>
              </w:rPr>
            </w:pPr>
            <w:r>
              <w:rPr>
                <w:rFonts w:ascii="Arial" w:hAnsi="Arial" w:cs="Arial"/>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14:paraId="6C98DEFB" w14:textId="4FD8A9AF" w:rsidR="00F22324" w:rsidRPr="003C5A86" w:rsidRDefault="00F22324" w:rsidP="00F22324">
            <w:pPr>
              <w:rPr>
                <w:rFonts w:asciiTheme="minorHAnsi" w:hAnsiTheme="minorHAnsi" w:cstheme="minorHAnsi"/>
                <w:sz w:val="20"/>
                <w:szCs w:val="20"/>
              </w:rPr>
            </w:pPr>
            <w:r>
              <w:rPr>
                <w:rFonts w:ascii="Arial" w:hAnsi="Arial" w:cs="Arial"/>
                <w:sz w:val="20"/>
                <w:szCs w:val="20"/>
              </w:rPr>
              <w:t>5</w:t>
            </w:r>
          </w:p>
        </w:tc>
        <w:tc>
          <w:tcPr>
            <w:tcW w:w="1503" w:type="dxa"/>
            <w:tcBorders>
              <w:top w:val="nil"/>
              <w:left w:val="nil"/>
              <w:bottom w:val="single" w:sz="8" w:space="0" w:color="auto"/>
              <w:right w:val="single" w:sz="8" w:space="0" w:color="auto"/>
            </w:tcBorders>
            <w:shd w:val="clear" w:color="auto" w:fill="auto"/>
            <w:noWrap/>
            <w:vAlign w:val="bottom"/>
          </w:tcPr>
          <w:p w14:paraId="3FAF409D" w14:textId="01E86D59" w:rsidR="00F22324" w:rsidRPr="003C5A86" w:rsidRDefault="00F22324" w:rsidP="00F22324">
            <w:pPr>
              <w:rPr>
                <w:rFonts w:asciiTheme="minorHAnsi" w:hAnsiTheme="minorHAnsi" w:cstheme="minorHAnsi"/>
                <w:sz w:val="20"/>
                <w:szCs w:val="20"/>
              </w:rPr>
            </w:pPr>
            <w:r>
              <w:rPr>
                <w:rFonts w:ascii="Arial" w:hAnsi="Arial" w:cs="Arial"/>
                <w:sz w:val="20"/>
                <w:szCs w:val="20"/>
              </w:rPr>
              <w:t>0.03%</w:t>
            </w:r>
          </w:p>
        </w:tc>
      </w:tr>
      <w:tr w:rsidR="00F22324" w:rsidRPr="00577FA5" w14:paraId="0EDE1A5D"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3BAB93D9" w:rsidR="00F22324" w:rsidRPr="003C5A86" w:rsidRDefault="00F22324" w:rsidP="00F22324">
            <w:pPr>
              <w:rPr>
                <w:rFonts w:asciiTheme="minorHAnsi" w:hAnsiTheme="minorHAnsi" w:cstheme="minorHAnsi"/>
                <w:sz w:val="20"/>
                <w:szCs w:val="20"/>
              </w:rPr>
            </w:pPr>
            <w:r>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125D20D1" w14:textId="69296546" w:rsidR="00F22324" w:rsidRPr="003C5A86" w:rsidRDefault="00F22324" w:rsidP="00F22324">
            <w:pPr>
              <w:rPr>
                <w:rFonts w:asciiTheme="minorHAnsi" w:hAnsiTheme="minorHAnsi" w:cstheme="minorHAnsi"/>
                <w:sz w:val="20"/>
                <w:szCs w:val="20"/>
              </w:rPr>
            </w:pPr>
            <w:r>
              <w:rPr>
                <w:rFonts w:ascii="Arial" w:hAnsi="Arial" w:cs="Arial"/>
                <w:sz w:val="20"/>
                <w:szCs w:val="20"/>
              </w:rPr>
              <w:t>4</w:t>
            </w:r>
          </w:p>
        </w:tc>
        <w:tc>
          <w:tcPr>
            <w:tcW w:w="1503" w:type="dxa"/>
            <w:tcBorders>
              <w:top w:val="nil"/>
              <w:left w:val="nil"/>
              <w:bottom w:val="single" w:sz="8" w:space="0" w:color="auto"/>
              <w:right w:val="single" w:sz="8" w:space="0" w:color="auto"/>
            </w:tcBorders>
            <w:shd w:val="clear" w:color="auto" w:fill="auto"/>
            <w:noWrap/>
            <w:vAlign w:val="bottom"/>
          </w:tcPr>
          <w:p w14:paraId="19C0A747" w14:textId="69F3DE0A" w:rsidR="00F22324" w:rsidRPr="003C5A86" w:rsidRDefault="00F22324" w:rsidP="00F22324">
            <w:pPr>
              <w:rPr>
                <w:rFonts w:asciiTheme="minorHAnsi" w:hAnsiTheme="minorHAnsi" w:cstheme="minorHAnsi"/>
                <w:sz w:val="20"/>
                <w:szCs w:val="20"/>
              </w:rPr>
            </w:pPr>
            <w:r>
              <w:rPr>
                <w:rFonts w:ascii="Arial" w:hAnsi="Arial" w:cs="Arial"/>
                <w:sz w:val="20"/>
                <w:szCs w:val="20"/>
              </w:rPr>
              <w:t>0.02%</w:t>
            </w:r>
          </w:p>
        </w:tc>
      </w:tr>
      <w:tr w:rsidR="00F22324" w:rsidRPr="00577FA5" w14:paraId="4CA0B50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72FDDC2C" w:rsidR="00F22324" w:rsidRPr="003C5A86" w:rsidRDefault="00F22324" w:rsidP="00F22324">
            <w:pPr>
              <w:rPr>
                <w:rFonts w:asciiTheme="minorHAnsi" w:hAnsiTheme="minorHAnsi" w:cstheme="minorHAnsi"/>
                <w:sz w:val="20"/>
                <w:szCs w:val="20"/>
                <w:lang w:val="es-MX"/>
              </w:rPr>
            </w:pPr>
            <w:r>
              <w:rPr>
                <w:rFonts w:ascii="Arial" w:hAnsi="Arial" w:cs="Arial"/>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14:paraId="71BA41E5" w14:textId="2F3E5CB1" w:rsidR="00F22324" w:rsidRPr="003C5A86" w:rsidRDefault="00F22324" w:rsidP="00F22324">
            <w:pPr>
              <w:rPr>
                <w:rFonts w:asciiTheme="minorHAnsi" w:hAnsiTheme="minorHAnsi" w:cstheme="minorHAnsi"/>
                <w:sz w:val="20"/>
                <w:szCs w:val="20"/>
              </w:rPr>
            </w:pPr>
            <w:r>
              <w:rPr>
                <w:rFonts w:ascii="Arial" w:hAnsi="Arial" w:cs="Arial"/>
                <w:sz w:val="20"/>
                <w:szCs w:val="20"/>
              </w:rPr>
              <w:t>2</w:t>
            </w:r>
          </w:p>
        </w:tc>
        <w:tc>
          <w:tcPr>
            <w:tcW w:w="1503" w:type="dxa"/>
            <w:tcBorders>
              <w:top w:val="nil"/>
              <w:left w:val="nil"/>
              <w:bottom w:val="single" w:sz="8" w:space="0" w:color="auto"/>
              <w:right w:val="single" w:sz="8" w:space="0" w:color="auto"/>
            </w:tcBorders>
            <w:shd w:val="clear" w:color="auto" w:fill="auto"/>
            <w:noWrap/>
            <w:vAlign w:val="bottom"/>
          </w:tcPr>
          <w:p w14:paraId="117EE841" w14:textId="129CDFA1" w:rsidR="00F22324" w:rsidRPr="003C5A86" w:rsidRDefault="00F22324" w:rsidP="00F22324">
            <w:pPr>
              <w:rPr>
                <w:rFonts w:asciiTheme="minorHAnsi" w:hAnsiTheme="minorHAnsi" w:cstheme="minorHAnsi"/>
                <w:sz w:val="20"/>
                <w:szCs w:val="20"/>
              </w:rPr>
            </w:pPr>
            <w:r>
              <w:rPr>
                <w:rFonts w:ascii="Arial" w:hAnsi="Arial" w:cs="Arial"/>
                <w:sz w:val="20"/>
                <w:szCs w:val="20"/>
              </w:rPr>
              <w:t>0.01%</w:t>
            </w:r>
          </w:p>
        </w:tc>
      </w:tr>
      <w:tr w:rsidR="00F22324" w:rsidRPr="00577FA5" w14:paraId="4A763DB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3F36A1F2" w:rsidR="00F22324" w:rsidRPr="003C5A86" w:rsidRDefault="00F22324" w:rsidP="00F22324">
            <w:pPr>
              <w:rPr>
                <w:rFonts w:asciiTheme="minorHAnsi" w:hAnsiTheme="minorHAnsi" w:cstheme="minorHAnsi"/>
                <w:sz w:val="20"/>
                <w:szCs w:val="20"/>
              </w:rPr>
            </w:pPr>
            <w:r>
              <w:rPr>
                <w:rFonts w:ascii="Arial" w:hAnsi="Arial" w:cs="Arial"/>
                <w:sz w:val="20"/>
                <w:szCs w:val="20"/>
              </w:rPr>
              <w:t xml:space="preserve">Pachuca, Hgo. </w:t>
            </w:r>
          </w:p>
        </w:tc>
        <w:tc>
          <w:tcPr>
            <w:tcW w:w="1246" w:type="dxa"/>
            <w:tcBorders>
              <w:top w:val="nil"/>
              <w:left w:val="nil"/>
              <w:bottom w:val="single" w:sz="8" w:space="0" w:color="auto"/>
              <w:right w:val="single" w:sz="8" w:space="0" w:color="auto"/>
            </w:tcBorders>
            <w:shd w:val="clear" w:color="auto" w:fill="auto"/>
            <w:noWrap/>
            <w:vAlign w:val="bottom"/>
          </w:tcPr>
          <w:p w14:paraId="70FA84D5" w14:textId="591CB1CC" w:rsidR="00F22324" w:rsidRPr="003C5A86" w:rsidRDefault="00F22324" w:rsidP="00F22324">
            <w:pPr>
              <w:rPr>
                <w:rFonts w:asciiTheme="minorHAnsi" w:hAnsiTheme="minorHAnsi" w:cstheme="minorHAnsi"/>
                <w:sz w:val="20"/>
                <w:szCs w:val="20"/>
              </w:rPr>
            </w:pPr>
            <w:r>
              <w:rPr>
                <w:rFonts w:ascii="Arial" w:hAnsi="Arial" w:cs="Arial"/>
                <w:sz w:val="20"/>
                <w:szCs w:val="20"/>
              </w:rPr>
              <w:t>2</w:t>
            </w:r>
          </w:p>
        </w:tc>
        <w:tc>
          <w:tcPr>
            <w:tcW w:w="1503" w:type="dxa"/>
            <w:tcBorders>
              <w:top w:val="nil"/>
              <w:left w:val="nil"/>
              <w:bottom w:val="single" w:sz="8" w:space="0" w:color="auto"/>
              <w:right w:val="single" w:sz="8" w:space="0" w:color="auto"/>
            </w:tcBorders>
            <w:shd w:val="clear" w:color="auto" w:fill="auto"/>
            <w:noWrap/>
            <w:vAlign w:val="bottom"/>
          </w:tcPr>
          <w:p w14:paraId="55C6E619" w14:textId="226EA40B" w:rsidR="00F22324" w:rsidRPr="003C5A86" w:rsidRDefault="00F22324" w:rsidP="00F22324">
            <w:pPr>
              <w:rPr>
                <w:rFonts w:asciiTheme="minorHAnsi" w:hAnsiTheme="minorHAnsi" w:cstheme="minorHAnsi"/>
                <w:sz w:val="20"/>
                <w:szCs w:val="20"/>
              </w:rPr>
            </w:pPr>
            <w:r>
              <w:rPr>
                <w:rFonts w:ascii="Arial" w:hAnsi="Arial" w:cs="Arial"/>
                <w:sz w:val="20"/>
                <w:szCs w:val="20"/>
              </w:rPr>
              <w:t>0.01%</w:t>
            </w:r>
          </w:p>
        </w:tc>
      </w:tr>
      <w:tr w:rsidR="00F22324" w:rsidRPr="00577FA5" w14:paraId="46F2C98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28F3394A" w:rsidR="00F22324" w:rsidRPr="003C5A86" w:rsidRDefault="00F22324" w:rsidP="00F22324">
            <w:pPr>
              <w:rPr>
                <w:rFonts w:asciiTheme="minorHAnsi" w:hAnsiTheme="minorHAnsi" w:cstheme="minorHAnsi"/>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210716EF" w14:textId="3BBEC776" w:rsidR="00F22324" w:rsidRPr="003C5A86" w:rsidRDefault="00F22324" w:rsidP="00F22324">
            <w:pPr>
              <w:rPr>
                <w:rFonts w:asciiTheme="minorHAnsi" w:hAnsiTheme="minorHAnsi" w:cstheme="minorHAnsi"/>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393B6BE2" w:rsidR="00F22324" w:rsidRPr="003C5A86" w:rsidRDefault="00F22324" w:rsidP="00F22324">
            <w:pPr>
              <w:rPr>
                <w:rFonts w:asciiTheme="minorHAnsi" w:hAnsiTheme="minorHAnsi" w:cstheme="minorHAnsi"/>
                <w:sz w:val="20"/>
                <w:szCs w:val="20"/>
              </w:rPr>
            </w:pPr>
            <w:r>
              <w:rPr>
                <w:rFonts w:ascii="Arial" w:hAnsi="Arial" w:cs="Arial"/>
                <w:sz w:val="20"/>
                <w:szCs w:val="20"/>
              </w:rPr>
              <w:t>0.00%</w:t>
            </w:r>
          </w:p>
        </w:tc>
      </w:tr>
      <w:tr w:rsidR="00F22324" w:rsidRPr="00577FA5" w14:paraId="7D902141"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0A7E29CF" w:rsidR="00F22324" w:rsidRPr="003C5A86" w:rsidRDefault="00F22324" w:rsidP="00F22324">
            <w:pPr>
              <w:rPr>
                <w:rFonts w:asciiTheme="minorHAnsi" w:hAnsiTheme="minorHAnsi" w:cstheme="minorHAnsi"/>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623CC43F" w14:textId="6E1C397E" w:rsidR="00F22324" w:rsidRPr="003C5A86" w:rsidRDefault="00F22324" w:rsidP="00F22324">
            <w:pPr>
              <w:rPr>
                <w:rFonts w:asciiTheme="minorHAnsi" w:hAnsiTheme="minorHAnsi" w:cstheme="minorHAnsi"/>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01F4EBF3" w:rsidR="00F22324" w:rsidRPr="003C5A86" w:rsidRDefault="00F22324" w:rsidP="00F22324">
            <w:pPr>
              <w:rPr>
                <w:rFonts w:asciiTheme="minorHAnsi" w:hAnsiTheme="minorHAnsi" w:cstheme="minorHAnsi"/>
                <w:sz w:val="20"/>
                <w:szCs w:val="20"/>
              </w:rPr>
            </w:pPr>
            <w:r>
              <w:rPr>
                <w:rFonts w:ascii="Arial" w:hAnsi="Arial" w:cs="Arial"/>
                <w:sz w:val="20"/>
                <w:szCs w:val="20"/>
              </w:rPr>
              <w:t>0.00%</w:t>
            </w:r>
          </w:p>
        </w:tc>
      </w:tr>
      <w:tr w:rsidR="00372836"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25931C84" w:rsidR="00372836" w:rsidRPr="00066153" w:rsidRDefault="002C75CD" w:rsidP="00372836">
            <w:pPr>
              <w:jc w:val="center"/>
              <w:rPr>
                <w:rFonts w:asciiTheme="minorHAnsi" w:hAnsiTheme="minorHAnsi" w:cstheme="minorHAnsi"/>
                <w:b/>
                <w:bCs/>
                <w:sz w:val="20"/>
                <w:szCs w:val="20"/>
              </w:rPr>
            </w:pPr>
            <w:r>
              <w:rPr>
                <w:rFonts w:asciiTheme="minorHAnsi" w:hAnsiTheme="minorHAnsi" w:cstheme="minorHAnsi"/>
                <w:b/>
                <w:bCs/>
                <w:sz w:val="20"/>
                <w:szCs w:val="20"/>
              </w:rPr>
              <w:t>1</w:t>
            </w:r>
            <w:r w:rsidR="00F22324">
              <w:rPr>
                <w:rFonts w:asciiTheme="minorHAnsi" w:hAnsiTheme="minorHAnsi" w:cstheme="minorHAnsi"/>
                <w:b/>
                <w:bCs/>
                <w:sz w:val="20"/>
                <w:szCs w:val="20"/>
              </w:rPr>
              <w:t>6</w:t>
            </w:r>
            <w:r w:rsidR="00966A4C">
              <w:rPr>
                <w:rFonts w:asciiTheme="minorHAnsi" w:hAnsiTheme="minorHAnsi" w:cstheme="minorHAnsi"/>
                <w:b/>
                <w:bCs/>
                <w:sz w:val="20"/>
                <w:szCs w:val="20"/>
              </w:rPr>
              <w:t>,</w:t>
            </w:r>
            <w:r w:rsidR="003C5A86">
              <w:rPr>
                <w:rFonts w:asciiTheme="minorHAnsi" w:hAnsiTheme="minorHAnsi" w:cstheme="minorHAnsi"/>
                <w:b/>
                <w:bCs/>
                <w:sz w:val="20"/>
                <w:szCs w:val="20"/>
              </w:rPr>
              <w:t>6</w:t>
            </w:r>
            <w:r w:rsidR="00F22324">
              <w:rPr>
                <w:rFonts w:asciiTheme="minorHAnsi" w:hAnsiTheme="minorHAnsi" w:cstheme="minorHAnsi"/>
                <w:b/>
                <w:bCs/>
                <w:sz w:val="20"/>
                <w:szCs w:val="20"/>
              </w:rPr>
              <w:t>59</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48413DAB" w14:textId="41029738" w:rsidR="00CE48C4" w:rsidRDefault="00CA23FD" w:rsidP="00CE48C4">
      <w:pPr>
        <w:ind w:left="720"/>
        <w:jc w:val="both"/>
        <w:rPr>
          <w:rFonts w:ascii="Georgia" w:hAnsi="Georgia" w:cs="Arial"/>
          <w:b/>
          <w:sz w:val="22"/>
          <w:szCs w:val="22"/>
          <w:lang w:val="es-MX"/>
        </w:rPr>
      </w:pPr>
      <w:r>
        <w:rPr>
          <w:noProof/>
        </w:rPr>
        <w:lastRenderedPageBreak/>
        <w:drawing>
          <wp:inline distT="0" distB="0" distL="0" distR="0" wp14:anchorId="1B7024E0" wp14:editId="07540BE4">
            <wp:extent cx="5193665" cy="7456170"/>
            <wp:effectExtent l="0" t="0" r="6985" b="11430"/>
            <wp:docPr id="9" name="Gráfico 9">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09E796C0" w14:textId="77777777" w:rsidR="00F578C7" w:rsidRPr="004D40C0" w:rsidRDefault="00F578C7" w:rsidP="001A52FD">
      <w:pPr>
        <w:numPr>
          <w:ilvl w:val="0"/>
          <w:numId w:val="2"/>
        </w:numPr>
        <w:jc w:val="both"/>
        <w:rPr>
          <w:rFonts w:ascii="Georgia" w:hAnsi="Georgia" w:cs="Arial"/>
          <w:b/>
          <w:sz w:val="22"/>
          <w:szCs w:val="22"/>
          <w:lang w:val="es-MX"/>
        </w:rPr>
      </w:pPr>
      <w:r w:rsidRPr="004D40C0">
        <w:rPr>
          <w:rFonts w:ascii="Georgia" w:hAnsi="Georgia" w:cs="Arial"/>
          <w:b/>
          <w:sz w:val="22"/>
          <w:szCs w:val="22"/>
          <w:lang w:val="es-MX"/>
        </w:rPr>
        <w:lastRenderedPageBreak/>
        <w:t xml:space="preserve">Medio preferido por los gobernados para presentar sus solicitudes de </w:t>
      </w:r>
      <w:r w:rsidR="001A52FD" w:rsidRPr="004D40C0">
        <w:rPr>
          <w:rFonts w:ascii="Georgia" w:hAnsi="Georgia" w:cs="Arial"/>
          <w:b/>
          <w:sz w:val="22"/>
          <w:szCs w:val="22"/>
          <w:lang w:val="es-MX"/>
        </w:rPr>
        <w:t>a</w:t>
      </w:r>
      <w:r w:rsidRPr="004D40C0">
        <w:rPr>
          <w:rFonts w:ascii="Georgia" w:hAnsi="Georgia" w:cs="Arial"/>
          <w:b/>
          <w:sz w:val="22"/>
          <w:szCs w:val="22"/>
          <w:lang w:val="es-MX"/>
        </w:rPr>
        <w:t>cceso a la información</w:t>
      </w:r>
      <w:r w:rsidRPr="004D40C0">
        <w:rPr>
          <w:rStyle w:val="Refdenotaalpie"/>
          <w:rFonts w:ascii="Georgia" w:hAnsi="Georgia" w:cs="Arial"/>
          <w:b/>
          <w:sz w:val="22"/>
          <w:szCs w:val="22"/>
        </w:rPr>
        <w:footnoteReference w:id="4"/>
      </w:r>
      <w:r w:rsidRPr="004D40C0">
        <w:rPr>
          <w:rFonts w:ascii="Georgia" w:hAnsi="Georgia" w:cs="Arial"/>
          <w:b/>
          <w:sz w:val="22"/>
          <w:szCs w:val="22"/>
          <w:lang w:val="es-MX"/>
        </w:rPr>
        <w:t xml:space="preserve">. </w:t>
      </w:r>
      <w:r w:rsidR="001A52FD" w:rsidRPr="004D40C0">
        <w:rPr>
          <w:rFonts w:ascii="Georgia" w:hAnsi="Georgia" w:cs="Arial"/>
          <w:b/>
          <w:sz w:val="22"/>
          <w:szCs w:val="22"/>
          <w:lang w:val="es-MX"/>
        </w:rPr>
        <w:t xml:space="preserve"> </w:t>
      </w:r>
    </w:p>
    <w:p w14:paraId="148EFE1F" w14:textId="77777777" w:rsidR="001A52FD" w:rsidRPr="003640DF" w:rsidRDefault="001A52FD" w:rsidP="001A52FD">
      <w:pPr>
        <w:ind w:left="720"/>
        <w:jc w:val="both"/>
        <w:rPr>
          <w:rFonts w:ascii="Georgia" w:hAnsi="Georgia" w:cs="Arial"/>
          <w:b/>
          <w:sz w:val="22"/>
          <w:szCs w:val="22"/>
          <w:lang w:val="es-MX"/>
        </w:rPr>
      </w:pPr>
    </w:p>
    <w:p w14:paraId="4CB7B1D8" w14:textId="77777777" w:rsidR="00F578C7" w:rsidRPr="003640DF" w:rsidRDefault="00F578C7" w:rsidP="00F578C7">
      <w:pPr>
        <w:ind w:left="360"/>
        <w:jc w:val="both"/>
        <w:rPr>
          <w:rFonts w:ascii="Georgia" w:hAnsi="Georgia" w:cs="Arial"/>
          <w:b/>
          <w:sz w:val="22"/>
          <w:szCs w:val="22"/>
          <w:lang w:val="es-MX"/>
        </w:rPr>
      </w:pPr>
    </w:p>
    <w:p w14:paraId="3E2E895B"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1A583264"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4491E0FF"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2B717918" w14:textId="77777777" w:rsidR="00F578C7" w:rsidRPr="003640DF" w:rsidRDefault="00F578C7" w:rsidP="003640DF">
      <w:pPr>
        <w:ind w:left="709" w:firstLine="360"/>
        <w:jc w:val="both"/>
        <w:rPr>
          <w:rFonts w:ascii="Georgia" w:hAnsi="Georgia" w:cs="Arial"/>
          <w:sz w:val="22"/>
          <w:szCs w:val="22"/>
          <w:lang w:val="es-MX"/>
        </w:rPr>
      </w:pPr>
    </w:p>
    <w:p w14:paraId="3B3F5B1F" w14:textId="77777777" w:rsidR="00F578C7" w:rsidRPr="000C3A57"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 xml:space="preserve">Porcentaje de solicitudes recibidas de manera </w:t>
      </w:r>
      <w:r w:rsidRPr="000C3A57">
        <w:rPr>
          <w:rFonts w:ascii="Georgia" w:hAnsi="Georgia" w:cs="Arial"/>
          <w:sz w:val="22"/>
          <w:szCs w:val="22"/>
          <w:lang w:val="es-MX"/>
        </w:rPr>
        <w:t>presencial</w:t>
      </w:r>
      <w:r w:rsidR="00E7254D" w:rsidRPr="00F83EC0">
        <w:rPr>
          <w:rFonts w:ascii="Georgia" w:hAnsi="Georgia" w:cs="Arial"/>
          <w:sz w:val="22"/>
          <w:szCs w:val="22"/>
          <w:lang w:val="es-MX"/>
        </w:rPr>
        <w:t>*</w:t>
      </w:r>
      <w:r w:rsidRPr="00F83EC0">
        <w:rPr>
          <w:rFonts w:ascii="Georgia" w:hAnsi="Georgia" w:cs="Arial"/>
          <w:sz w:val="22"/>
          <w:szCs w:val="22"/>
          <w:lang w:val="es-MX"/>
        </w:rPr>
        <w:t xml:space="preserve">: </w:t>
      </w:r>
      <w:r w:rsidR="00B74395" w:rsidRPr="00F83EC0">
        <w:rPr>
          <w:rFonts w:ascii="Georgia" w:hAnsi="Georgia" w:cs="Arial"/>
          <w:b/>
          <w:sz w:val="22"/>
          <w:szCs w:val="22"/>
          <w:lang w:val="es-MX"/>
        </w:rPr>
        <w:t>0</w:t>
      </w:r>
      <w:r w:rsidR="00E56BA8" w:rsidRPr="00F83EC0">
        <w:rPr>
          <w:rFonts w:ascii="Georgia" w:hAnsi="Georgia" w:cs="Arial"/>
          <w:b/>
          <w:sz w:val="22"/>
          <w:szCs w:val="22"/>
          <w:lang w:val="es-MX"/>
        </w:rPr>
        <w:t>%</w:t>
      </w:r>
    </w:p>
    <w:p w14:paraId="08978018" w14:textId="77777777" w:rsidR="00F578C7" w:rsidRPr="000C3A57" w:rsidRDefault="00F578C7" w:rsidP="003640DF">
      <w:pPr>
        <w:ind w:left="709"/>
        <w:jc w:val="both"/>
        <w:rPr>
          <w:rFonts w:ascii="Georgia" w:hAnsi="Georgia" w:cs="Arial"/>
          <w:sz w:val="22"/>
          <w:szCs w:val="22"/>
          <w:lang w:val="es-MX"/>
        </w:rPr>
      </w:pPr>
    </w:p>
    <w:p w14:paraId="3719C54D" w14:textId="77777777" w:rsidR="00F578C7" w:rsidRDefault="00F578C7" w:rsidP="003640DF">
      <w:pPr>
        <w:ind w:left="709"/>
        <w:jc w:val="both"/>
        <w:rPr>
          <w:rFonts w:ascii="Georgia" w:hAnsi="Georgia" w:cs="Arial"/>
          <w:b/>
          <w:sz w:val="22"/>
          <w:szCs w:val="22"/>
          <w:lang w:val="es-MX"/>
        </w:rPr>
      </w:pPr>
      <w:r w:rsidRPr="000C3A57">
        <w:rPr>
          <w:rFonts w:ascii="Georgia" w:hAnsi="Georgia" w:cs="Arial"/>
          <w:sz w:val="22"/>
          <w:szCs w:val="22"/>
          <w:lang w:val="es-MX"/>
        </w:rPr>
        <w:t>Porcentaje de solicitudes recibidas por medios electrónicos</w:t>
      </w:r>
      <w:r w:rsidRPr="00F83EC0">
        <w:rPr>
          <w:rFonts w:ascii="Georgia" w:hAnsi="Georgia" w:cs="Arial"/>
          <w:sz w:val="22"/>
          <w:szCs w:val="22"/>
          <w:lang w:val="es-MX"/>
        </w:rPr>
        <w:t xml:space="preserve">: </w:t>
      </w:r>
      <w:r w:rsidR="007C2188" w:rsidRPr="00F83EC0">
        <w:rPr>
          <w:rFonts w:ascii="Georgia" w:hAnsi="Georgia" w:cs="Arial"/>
          <w:b/>
          <w:sz w:val="22"/>
          <w:szCs w:val="22"/>
          <w:lang w:val="es-MX"/>
        </w:rPr>
        <w:t>100</w:t>
      </w:r>
      <w:r w:rsidR="00E56BA8" w:rsidRPr="00F83EC0">
        <w:rPr>
          <w:rFonts w:ascii="Georgia" w:hAnsi="Georgia" w:cs="Arial"/>
          <w:b/>
          <w:sz w:val="22"/>
          <w:szCs w:val="22"/>
          <w:lang w:val="es-MX"/>
        </w:rPr>
        <w:t>%</w:t>
      </w:r>
    </w:p>
    <w:p w14:paraId="72B2F7BB" w14:textId="77777777" w:rsidR="00AD74BA" w:rsidRDefault="00AD74BA" w:rsidP="003640DF">
      <w:pPr>
        <w:ind w:left="709"/>
        <w:jc w:val="both"/>
        <w:rPr>
          <w:rFonts w:ascii="Georgia" w:hAnsi="Georgia" w:cs="Arial"/>
          <w:b/>
          <w:sz w:val="22"/>
          <w:szCs w:val="22"/>
          <w:lang w:val="es-MX"/>
        </w:rPr>
      </w:pPr>
    </w:p>
    <w:p w14:paraId="56D6BC31" w14:textId="77777777" w:rsidR="0001314E" w:rsidRPr="003640DF" w:rsidRDefault="0001314E" w:rsidP="003640DF">
      <w:pPr>
        <w:ind w:left="709"/>
        <w:jc w:val="both"/>
        <w:rPr>
          <w:rFonts w:ascii="Georgia" w:hAnsi="Georgia" w:cs="Arial"/>
          <w:sz w:val="22"/>
          <w:szCs w:val="22"/>
          <w:lang w:val="es-MX"/>
        </w:rPr>
      </w:pPr>
    </w:p>
    <w:p w14:paraId="06FE7600" w14:textId="77777777" w:rsidR="00F578C7" w:rsidRPr="00F578C7" w:rsidRDefault="00F578C7" w:rsidP="00F578C7">
      <w:pPr>
        <w:jc w:val="both"/>
        <w:rPr>
          <w:rFonts w:ascii="Arial" w:hAnsi="Arial" w:cs="Arial"/>
          <w:sz w:val="26"/>
          <w:szCs w:val="26"/>
          <w:lang w:val="es-MX"/>
        </w:rPr>
      </w:pPr>
    </w:p>
    <w:p w14:paraId="6B019B70" w14:textId="77777777" w:rsidR="00F578C7" w:rsidRDefault="00720BCD" w:rsidP="00430FFF">
      <w:pPr>
        <w:ind w:left="708"/>
        <w:jc w:val="both"/>
        <w:rPr>
          <w:rFonts w:ascii="Arial" w:hAnsi="Arial" w:cs="Arial"/>
          <w:b/>
          <w:sz w:val="26"/>
          <w:szCs w:val="26"/>
          <w:lang w:val="es-MX"/>
        </w:rPr>
      </w:pPr>
      <w:r>
        <w:rPr>
          <w:noProof/>
        </w:rPr>
        <w:drawing>
          <wp:inline distT="0" distB="0" distL="0" distR="0" wp14:anchorId="4975004C" wp14:editId="289933B6">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F578C7" w:rsidRDefault="00744011" w:rsidP="00430FFF">
      <w:pPr>
        <w:ind w:left="708"/>
        <w:jc w:val="both"/>
        <w:rPr>
          <w:rFonts w:ascii="Arial" w:hAnsi="Arial" w:cs="Arial"/>
          <w:b/>
          <w:sz w:val="26"/>
          <w:szCs w:val="26"/>
          <w:lang w:val="es-MX"/>
        </w:rPr>
      </w:pPr>
    </w:p>
    <w:p w14:paraId="3911DB32" w14:textId="77777777" w:rsidR="00775B38" w:rsidRDefault="00775B38" w:rsidP="00E7254D">
      <w:pPr>
        <w:pStyle w:val="Lugaryfecha"/>
      </w:pPr>
    </w:p>
    <w:p w14:paraId="7D12EDD1" w14:textId="77777777" w:rsidR="003640DF" w:rsidRDefault="003640DF" w:rsidP="00E7254D">
      <w:pPr>
        <w:pStyle w:val="Lugaryfecha"/>
      </w:pPr>
    </w:p>
    <w:p w14:paraId="0FFE4DCA" w14:textId="3E58D057" w:rsidR="00074291" w:rsidRDefault="00E7254D" w:rsidP="00CA23FD">
      <w:pPr>
        <w:pStyle w:val="Lugaryfecha"/>
      </w:pPr>
      <w:r>
        <w:t>*</w:t>
      </w:r>
      <w:r w:rsidR="00A10978" w:rsidRPr="00A10978">
        <w:t xml:space="preserve"> </w:t>
      </w:r>
      <w:r w:rsidR="00A10978" w:rsidRPr="00AF038D">
        <w:t xml:space="preserve">De conformidad </w:t>
      </w:r>
      <w:r w:rsidR="00A10978">
        <w:t xml:space="preserve">con el </w:t>
      </w:r>
      <w:r w:rsidR="00A10978" w:rsidRPr="00987994">
        <w:t>ACUERDO GENERAL DE ADMINISTRACIÓN NÚERO VII/2021 QUE REFORMA DIVERSAS DISPOSICIONES DEL ACUERDO GENERAL DE ADMINISTRACIÓN NÚMERO II/2020 DEL PRESIDENTE DE LA SUPREMA CORTE DE JUSTICIA DE LA NACIÓN, DE VEINTINUEVE DE JULIO DE DOS MIL VEINTE, POR EL QUE SE ESTABLECEN LOS LINEAMIENTOS DE SEGURIDAD SANITARIA EN LA SUPREMA CORTE DE JUSTICIA DE LA NACIÓN DURANTE LA EMERGENCIA GENERADA POR EL VIRUS SARS-CoV2 (COVID 19)</w:t>
      </w:r>
      <w:r w:rsidR="00A10978">
        <w:t>.</w:t>
      </w:r>
    </w:p>
    <w:p w14:paraId="29FAE8F2"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19C745FC" w14:textId="77777777" w:rsidR="00574F2C" w:rsidRPr="00574F2C" w:rsidRDefault="00574F2C" w:rsidP="00574F2C">
      <w:pPr>
        <w:ind w:left="360"/>
        <w:jc w:val="both"/>
        <w:rPr>
          <w:rFonts w:asciiTheme="majorHAnsi" w:hAnsiTheme="majorHAnsi" w:cs="Arial"/>
          <w:b/>
          <w:sz w:val="22"/>
          <w:szCs w:val="26"/>
          <w:lang w:val="es-MX"/>
        </w:rPr>
      </w:pPr>
    </w:p>
    <w:p w14:paraId="0CD4A59F"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574F2C" w:rsidRDefault="00574F2C" w:rsidP="00574F2C">
      <w:pPr>
        <w:ind w:left="709"/>
        <w:jc w:val="both"/>
        <w:rPr>
          <w:rFonts w:asciiTheme="majorHAnsi" w:hAnsiTheme="majorHAnsi" w:cs="Arial"/>
          <w:sz w:val="22"/>
          <w:szCs w:val="26"/>
          <w:lang w:val="es-MX"/>
        </w:rPr>
      </w:pPr>
    </w:p>
    <w:p w14:paraId="123F2A66"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4A53D0" w14:textId="77777777" w:rsidR="00574F2C" w:rsidRPr="00574F2C" w:rsidRDefault="00574F2C" w:rsidP="00574F2C">
      <w:pPr>
        <w:ind w:left="709" w:firstLine="360"/>
        <w:jc w:val="both"/>
        <w:rPr>
          <w:rFonts w:asciiTheme="majorHAnsi" w:hAnsiTheme="majorHAnsi" w:cs="Arial"/>
          <w:sz w:val="22"/>
          <w:szCs w:val="26"/>
          <w:lang w:val="es-MX"/>
        </w:rPr>
      </w:pPr>
    </w:p>
    <w:p w14:paraId="6A7E1459" w14:textId="455C44B6" w:rsidR="00574F2C" w:rsidRPr="000C3A57" w:rsidRDefault="00574F2C" w:rsidP="00574F2C">
      <w:pPr>
        <w:ind w:left="709"/>
        <w:jc w:val="both"/>
        <w:rPr>
          <w:rFonts w:asciiTheme="majorHAnsi" w:hAnsiTheme="majorHAnsi" w:cs="Arial"/>
          <w:sz w:val="22"/>
          <w:szCs w:val="26"/>
          <w:lang w:val="es-MX"/>
        </w:rPr>
      </w:pPr>
      <w:r w:rsidRPr="00662203">
        <w:rPr>
          <w:rFonts w:asciiTheme="majorHAnsi" w:hAnsiTheme="majorHAnsi" w:cs="Arial"/>
          <w:sz w:val="22"/>
          <w:szCs w:val="26"/>
          <w:lang w:val="es-MX"/>
        </w:rPr>
        <w:t>Número de canalizaciones al Consejo de la Judicatura Federal respecto del total de solicitudes</w:t>
      </w:r>
      <w:r w:rsidRPr="008D0F8F">
        <w:rPr>
          <w:rFonts w:asciiTheme="majorHAnsi" w:hAnsiTheme="majorHAnsi" w:cs="Arial"/>
          <w:sz w:val="22"/>
          <w:szCs w:val="26"/>
          <w:lang w:val="es-MX"/>
        </w:rPr>
        <w:t xml:space="preserve">: </w:t>
      </w:r>
      <w:r w:rsidR="00CA23FD" w:rsidRPr="008D0F8F">
        <w:rPr>
          <w:rFonts w:asciiTheme="majorHAnsi" w:hAnsiTheme="majorHAnsi" w:cs="Arial"/>
          <w:b/>
          <w:sz w:val="22"/>
          <w:szCs w:val="26"/>
          <w:lang w:val="es-MX"/>
        </w:rPr>
        <w:t>9</w:t>
      </w:r>
      <w:r w:rsidR="00B16D14" w:rsidRPr="008D0F8F">
        <w:rPr>
          <w:rFonts w:asciiTheme="majorHAnsi" w:hAnsiTheme="majorHAnsi" w:cs="Arial"/>
          <w:b/>
          <w:sz w:val="22"/>
          <w:szCs w:val="26"/>
          <w:lang w:val="es-MX"/>
        </w:rPr>
        <w:t>1</w:t>
      </w:r>
      <w:r w:rsidRPr="008D0F8F">
        <w:rPr>
          <w:rFonts w:asciiTheme="majorHAnsi" w:hAnsiTheme="majorHAnsi" w:cs="Arial"/>
          <w:sz w:val="22"/>
          <w:szCs w:val="26"/>
          <w:lang w:val="es-MX"/>
        </w:rPr>
        <w:t>.</w:t>
      </w:r>
    </w:p>
    <w:p w14:paraId="01DF869C" w14:textId="77777777" w:rsidR="00574F2C" w:rsidRPr="000C3A57" w:rsidRDefault="00574F2C" w:rsidP="00574F2C">
      <w:pPr>
        <w:ind w:left="709"/>
        <w:jc w:val="both"/>
        <w:rPr>
          <w:rFonts w:asciiTheme="majorHAnsi" w:hAnsiTheme="majorHAnsi" w:cs="Arial"/>
          <w:sz w:val="22"/>
          <w:szCs w:val="26"/>
          <w:lang w:val="es-MX"/>
        </w:rPr>
      </w:pPr>
    </w:p>
    <w:p w14:paraId="773BADD7" w14:textId="3D5D62AC" w:rsidR="00574F2C" w:rsidRPr="00574F2C" w:rsidRDefault="00574F2C" w:rsidP="00574F2C">
      <w:pPr>
        <w:ind w:left="709"/>
        <w:jc w:val="both"/>
        <w:rPr>
          <w:rFonts w:asciiTheme="majorHAnsi" w:hAnsiTheme="majorHAnsi" w:cs="Arial"/>
          <w:sz w:val="22"/>
          <w:szCs w:val="26"/>
          <w:lang w:val="es-MX"/>
        </w:rPr>
      </w:pPr>
      <w:r w:rsidRPr="000C3A57">
        <w:rPr>
          <w:rFonts w:asciiTheme="majorHAnsi" w:hAnsiTheme="majorHAnsi" w:cs="Arial"/>
          <w:sz w:val="22"/>
          <w:szCs w:val="26"/>
          <w:lang w:val="es-MX"/>
        </w:rPr>
        <w:t>Número de orientaciones respecto del total de solicitudes</w:t>
      </w:r>
      <w:r w:rsidRPr="008D0F8F">
        <w:rPr>
          <w:rFonts w:asciiTheme="majorHAnsi" w:hAnsiTheme="majorHAnsi" w:cs="Arial"/>
          <w:sz w:val="22"/>
          <w:szCs w:val="26"/>
          <w:lang w:val="es-MX"/>
        </w:rPr>
        <w:t xml:space="preserve">: </w:t>
      </w:r>
      <w:r w:rsidR="00B16D14" w:rsidRPr="008D0F8F">
        <w:rPr>
          <w:rFonts w:asciiTheme="majorHAnsi" w:hAnsiTheme="majorHAnsi" w:cs="Arial"/>
          <w:b/>
          <w:sz w:val="22"/>
          <w:szCs w:val="26"/>
          <w:lang w:val="es-MX"/>
        </w:rPr>
        <w:t>1</w:t>
      </w:r>
      <w:r w:rsidR="00CA23FD" w:rsidRPr="008D0F8F">
        <w:rPr>
          <w:rFonts w:asciiTheme="majorHAnsi" w:hAnsiTheme="majorHAnsi" w:cs="Arial"/>
          <w:b/>
          <w:sz w:val="22"/>
          <w:szCs w:val="26"/>
          <w:lang w:val="es-MX"/>
        </w:rPr>
        <w:t>7</w:t>
      </w:r>
      <w:r w:rsidRPr="008D0F8F">
        <w:rPr>
          <w:rFonts w:asciiTheme="majorHAnsi" w:hAnsiTheme="majorHAnsi" w:cs="Arial"/>
          <w:sz w:val="22"/>
          <w:szCs w:val="26"/>
          <w:lang w:val="es-MX"/>
        </w:rPr>
        <w:t>.</w:t>
      </w:r>
    </w:p>
    <w:p w14:paraId="47890087" w14:textId="77777777" w:rsidR="00574F2C" w:rsidRDefault="00574F2C" w:rsidP="00574F2C">
      <w:pPr>
        <w:ind w:left="709"/>
        <w:jc w:val="both"/>
        <w:rPr>
          <w:rFonts w:asciiTheme="majorHAnsi" w:hAnsiTheme="majorHAnsi" w:cs="Arial"/>
          <w:sz w:val="22"/>
          <w:szCs w:val="26"/>
          <w:lang w:val="es-MX"/>
        </w:rPr>
      </w:pPr>
    </w:p>
    <w:p w14:paraId="6DE60957" w14:textId="77777777" w:rsidR="00891F2E" w:rsidRPr="00574F2C" w:rsidRDefault="00891F2E" w:rsidP="00574F2C">
      <w:pPr>
        <w:ind w:left="709"/>
        <w:jc w:val="both"/>
        <w:rPr>
          <w:rFonts w:asciiTheme="majorHAnsi" w:hAnsiTheme="majorHAnsi" w:cs="Arial"/>
          <w:sz w:val="22"/>
          <w:szCs w:val="26"/>
          <w:lang w:val="es-MX"/>
        </w:rPr>
      </w:pPr>
    </w:p>
    <w:p w14:paraId="2D0147B1" w14:textId="77777777"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14:paraId="25281929" w14:textId="08942FA0" w:rsidR="003640DF" w:rsidRDefault="00CA23FD" w:rsidP="00E7254D">
      <w:pPr>
        <w:pStyle w:val="Lugaryfecha"/>
        <w:rPr>
          <w:lang w:val="es-MX"/>
        </w:rPr>
      </w:pPr>
      <w:r>
        <w:rPr>
          <w:noProof/>
        </w:rPr>
        <w:drawing>
          <wp:inline distT="0" distB="0" distL="0" distR="0" wp14:anchorId="37F3C83F" wp14:editId="410E2AC7">
            <wp:extent cx="5850890" cy="3241675"/>
            <wp:effectExtent l="0" t="0" r="0" b="0"/>
            <wp:docPr id="16" name="Gráfico 16">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59F4CB" w14:textId="77777777" w:rsidR="00070C29" w:rsidRDefault="00070C29" w:rsidP="00E7254D">
      <w:pPr>
        <w:pStyle w:val="Lugaryfecha"/>
      </w:pPr>
    </w:p>
    <w:p w14:paraId="2C10BA62" w14:textId="77777777" w:rsidR="00070C29" w:rsidRDefault="00070C29" w:rsidP="00E7254D">
      <w:pPr>
        <w:pStyle w:val="Lugaryfecha"/>
      </w:pPr>
    </w:p>
    <w:p w14:paraId="18CB02A4"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3F311A88" w14:textId="77777777" w:rsidR="00574F2C" w:rsidRPr="00574F2C" w:rsidRDefault="00574F2C" w:rsidP="00574F2C">
      <w:pPr>
        <w:ind w:left="360"/>
        <w:jc w:val="both"/>
        <w:rPr>
          <w:rFonts w:asciiTheme="majorHAnsi" w:hAnsiTheme="majorHAnsi" w:cs="Arial"/>
          <w:sz w:val="22"/>
          <w:szCs w:val="26"/>
          <w:lang w:val="es-MX"/>
        </w:rPr>
      </w:pPr>
    </w:p>
    <w:p w14:paraId="59D39BC9"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42D9B5D0"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3520D696"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47D51328" w14:textId="40E8DC84" w:rsidR="00574F2C" w:rsidRPr="000C3A57" w:rsidRDefault="00574F2C" w:rsidP="00C85EE0">
      <w:pPr>
        <w:tabs>
          <w:tab w:val="left" w:pos="709"/>
        </w:tabs>
        <w:ind w:left="709"/>
        <w:jc w:val="both"/>
        <w:rPr>
          <w:rFonts w:asciiTheme="majorHAnsi" w:hAnsiTheme="majorHAnsi" w:cs="Arial"/>
          <w:b/>
          <w:sz w:val="22"/>
          <w:szCs w:val="26"/>
          <w:lang w:val="es-MX"/>
        </w:rPr>
      </w:pPr>
      <w:r w:rsidRPr="0039057A">
        <w:rPr>
          <w:rFonts w:asciiTheme="majorHAnsi" w:hAnsiTheme="majorHAnsi" w:cs="Arial"/>
          <w:sz w:val="22"/>
          <w:szCs w:val="26"/>
          <w:lang w:val="es-MX"/>
        </w:rPr>
        <w:t xml:space="preserve">Porcentaje de solicitudes de información </w:t>
      </w:r>
      <w:r w:rsidRPr="000525D8">
        <w:rPr>
          <w:rFonts w:asciiTheme="majorHAnsi" w:hAnsiTheme="majorHAnsi" w:cs="Arial"/>
          <w:sz w:val="22"/>
          <w:szCs w:val="26"/>
          <w:lang w:val="es-MX"/>
        </w:rPr>
        <w:t xml:space="preserve">administrativa: </w:t>
      </w:r>
      <w:r w:rsidR="003266AC" w:rsidRPr="000525D8">
        <w:rPr>
          <w:rFonts w:asciiTheme="majorHAnsi" w:hAnsiTheme="majorHAnsi" w:cs="Arial"/>
          <w:b/>
          <w:sz w:val="22"/>
          <w:szCs w:val="26"/>
          <w:lang w:val="es-MX"/>
        </w:rPr>
        <w:t>2</w:t>
      </w:r>
      <w:r w:rsidR="00366439" w:rsidRPr="000525D8">
        <w:rPr>
          <w:rFonts w:asciiTheme="majorHAnsi" w:hAnsiTheme="majorHAnsi" w:cs="Arial"/>
          <w:b/>
          <w:sz w:val="22"/>
          <w:szCs w:val="26"/>
          <w:lang w:val="es-MX"/>
        </w:rPr>
        <w:t>7</w:t>
      </w:r>
      <w:r w:rsidR="003152AC" w:rsidRPr="000525D8">
        <w:rPr>
          <w:rFonts w:asciiTheme="majorHAnsi" w:hAnsiTheme="majorHAnsi" w:cs="Arial"/>
          <w:b/>
          <w:sz w:val="22"/>
          <w:szCs w:val="26"/>
          <w:lang w:val="es-MX"/>
        </w:rPr>
        <w:t>.</w:t>
      </w:r>
      <w:r w:rsidR="00366439" w:rsidRPr="000525D8">
        <w:rPr>
          <w:rFonts w:asciiTheme="majorHAnsi" w:hAnsiTheme="majorHAnsi" w:cs="Arial"/>
          <w:b/>
          <w:sz w:val="22"/>
          <w:szCs w:val="26"/>
          <w:lang w:val="es-MX"/>
        </w:rPr>
        <w:t>02</w:t>
      </w:r>
      <w:r w:rsidR="00760761" w:rsidRPr="000525D8">
        <w:rPr>
          <w:rFonts w:asciiTheme="majorHAnsi" w:hAnsiTheme="majorHAnsi" w:cs="Arial"/>
          <w:b/>
          <w:sz w:val="22"/>
          <w:szCs w:val="26"/>
          <w:lang w:val="es-MX"/>
        </w:rPr>
        <w:t>%</w:t>
      </w:r>
    </w:p>
    <w:p w14:paraId="544CB721" w14:textId="77777777" w:rsidR="00574F2C" w:rsidRPr="000C3A57" w:rsidRDefault="00574F2C" w:rsidP="00C85EE0">
      <w:pPr>
        <w:tabs>
          <w:tab w:val="left" w:pos="709"/>
        </w:tabs>
        <w:ind w:left="709"/>
        <w:jc w:val="both"/>
        <w:rPr>
          <w:rFonts w:asciiTheme="majorHAnsi" w:hAnsiTheme="majorHAnsi" w:cs="Arial"/>
          <w:sz w:val="22"/>
          <w:szCs w:val="26"/>
          <w:lang w:val="es-MX"/>
        </w:rPr>
      </w:pPr>
    </w:p>
    <w:p w14:paraId="1E1A3F69" w14:textId="6BEA59B2" w:rsidR="00574F2C" w:rsidRPr="00574F2C" w:rsidRDefault="00574F2C" w:rsidP="00C85EE0">
      <w:pPr>
        <w:tabs>
          <w:tab w:val="left" w:pos="709"/>
        </w:tabs>
        <w:ind w:left="709"/>
        <w:jc w:val="both"/>
        <w:rPr>
          <w:rFonts w:asciiTheme="majorHAnsi" w:hAnsiTheme="majorHAnsi" w:cs="Arial"/>
          <w:sz w:val="22"/>
          <w:szCs w:val="26"/>
          <w:lang w:val="es-MX"/>
        </w:rPr>
      </w:pPr>
      <w:r w:rsidRPr="000C3A57">
        <w:rPr>
          <w:rFonts w:asciiTheme="majorHAnsi" w:hAnsiTheme="majorHAnsi" w:cs="Arial"/>
          <w:sz w:val="22"/>
          <w:szCs w:val="26"/>
          <w:lang w:val="es-MX"/>
        </w:rPr>
        <w:t xml:space="preserve">Porcentaje de solicitudes de información </w:t>
      </w:r>
      <w:r w:rsidRPr="008D0F8F">
        <w:rPr>
          <w:rFonts w:asciiTheme="majorHAnsi" w:hAnsiTheme="majorHAnsi" w:cs="Arial"/>
          <w:sz w:val="22"/>
          <w:szCs w:val="26"/>
          <w:lang w:val="es-MX"/>
        </w:rPr>
        <w:t xml:space="preserve">jurisdiccional: </w:t>
      </w:r>
      <w:r w:rsidR="003266AC" w:rsidRPr="008D0F8F">
        <w:rPr>
          <w:rFonts w:asciiTheme="majorHAnsi" w:hAnsiTheme="majorHAnsi" w:cs="Arial"/>
          <w:b/>
          <w:sz w:val="22"/>
          <w:szCs w:val="26"/>
          <w:lang w:val="es-MX"/>
        </w:rPr>
        <w:t>7</w:t>
      </w:r>
      <w:r w:rsidR="00366439" w:rsidRPr="008D0F8F">
        <w:rPr>
          <w:rFonts w:asciiTheme="majorHAnsi" w:hAnsiTheme="majorHAnsi" w:cs="Arial"/>
          <w:b/>
          <w:sz w:val="22"/>
          <w:szCs w:val="26"/>
          <w:lang w:val="es-MX"/>
        </w:rPr>
        <w:t>2</w:t>
      </w:r>
      <w:r w:rsidR="00887DA0" w:rsidRPr="008D0F8F">
        <w:rPr>
          <w:rFonts w:asciiTheme="majorHAnsi" w:hAnsiTheme="majorHAnsi" w:cs="Arial"/>
          <w:b/>
          <w:sz w:val="22"/>
          <w:szCs w:val="26"/>
          <w:lang w:val="es-MX"/>
        </w:rPr>
        <w:t>.</w:t>
      </w:r>
      <w:r w:rsidR="00366439" w:rsidRPr="008D0F8F">
        <w:rPr>
          <w:rFonts w:asciiTheme="majorHAnsi" w:hAnsiTheme="majorHAnsi" w:cs="Arial"/>
          <w:b/>
          <w:sz w:val="22"/>
          <w:szCs w:val="26"/>
          <w:lang w:val="es-MX"/>
        </w:rPr>
        <w:t>98</w:t>
      </w:r>
      <w:r w:rsidR="00760761" w:rsidRPr="008D0F8F">
        <w:rPr>
          <w:rFonts w:asciiTheme="majorHAnsi" w:hAnsiTheme="majorHAnsi" w:cs="Arial"/>
          <w:b/>
          <w:sz w:val="22"/>
          <w:szCs w:val="26"/>
          <w:lang w:val="es-MX"/>
        </w:rPr>
        <w:t>%</w:t>
      </w:r>
    </w:p>
    <w:p w14:paraId="6FFF717D"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14:paraId="7EC5CAF1" w14:textId="77777777" w:rsidR="003266AC" w:rsidRPr="00574F2C" w:rsidRDefault="003266AC" w:rsidP="00C85EE0">
      <w:pPr>
        <w:tabs>
          <w:tab w:val="left" w:pos="709"/>
        </w:tabs>
        <w:ind w:left="709"/>
        <w:jc w:val="both"/>
        <w:rPr>
          <w:rFonts w:asciiTheme="majorHAnsi" w:hAnsiTheme="majorHAnsi" w:cs="Arial"/>
          <w:b/>
          <w:sz w:val="22"/>
          <w:szCs w:val="26"/>
        </w:rPr>
      </w:pPr>
    </w:p>
    <w:p w14:paraId="7E3F39D0" w14:textId="7475D82E" w:rsidR="00B019C0" w:rsidRDefault="002E1735" w:rsidP="00E7254D">
      <w:pPr>
        <w:pStyle w:val="Lugaryfecha"/>
        <w:rPr>
          <w:noProof/>
        </w:rPr>
      </w:pPr>
      <w:r>
        <w:rPr>
          <w:noProof/>
        </w:rPr>
        <w:drawing>
          <wp:inline distT="0" distB="0" distL="0" distR="0" wp14:anchorId="67F341F0" wp14:editId="7A357D4F">
            <wp:extent cx="4778409" cy="2766218"/>
            <wp:effectExtent l="0" t="0" r="0" b="0"/>
            <wp:docPr id="17" name="Gráfico 17">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2EB20BEE" w14:textId="77777777" w:rsidR="00574F2C" w:rsidRPr="00574F2C" w:rsidRDefault="00574F2C" w:rsidP="00574F2C">
      <w:pPr>
        <w:ind w:left="360"/>
        <w:jc w:val="both"/>
        <w:rPr>
          <w:rFonts w:asciiTheme="majorHAnsi" w:hAnsiTheme="majorHAnsi" w:cs="Arial"/>
          <w:b/>
          <w:sz w:val="22"/>
          <w:szCs w:val="26"/>
          <w:lang w:val="es-MX"/>
        </w:rPr>
      </w:pPr>
    </w:p>
    <w:p w14:paraId="7F8077F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7E87E62B" w14:textId="77777777" w:rsidR="00574F2C" w:rsidRPr="00574F2C" w:rsidRDefault="00574F2C" w:rsidP="00574F2C">
      <w:pPr>
        <w:ind w:left="709"/>
        <w:jc w:val="both"/>
        <w:rPr>
          <w:rFonts w:asciiTheme="majorHAnsi" w:hAnsiTheme="majorHAnsi" w:cs="Arial"/>
          <w:b/>
          <w:sz w:val="22"/>
          <w:szCs w:val="26"/>
          <w:lang w:val="es-MX"/>
        </w:rPr>
      </w:pPr>
    </w:p>
    <w:p w14:paraId="3E9607E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BA856F" w14:textId="77777777" w:rsidR="00574F2C" w:rsidRPr="00574F2C" w:rsidRDefault="00574F2C" w:rsidP="00574F2C">
      <w:pPr>
        <w:ind w:left="709" w:firstLine="360"/>
        <w:jc w:val="both"/>
        <w:rPr>
          <w:rFonts w:asciiTheme="majorHAnsi" w:hAnsiTheme="majorHAnsi" w:cs="Arial"/>
          <w:sz w:val="22"/>
          <w:szCs w:val="26"/>
          <w:lang w:val="es-MX"/>
        </w:rPr>
      </w:pPr>
    </w:p>
    <w:p w14:paraId="3A9DBC9B" w14:textId="08747BF9"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8D0F8F">
        <w:rPr>
          <w:rFonts w:asciiTheme="majorHAnsi" w:hAnsiTheme="majorHAnsi" w:cs="Arial"/>
          <w:sz w:val="22"/>
          <w:szCs w:val="26"/>
          <w:lang w:val="es-MX"/>
        </w:rPr>
        <w:t xml:space="preserve">ordinario: </w:t>
      </w:r>
      <w:r w:rsidR="00366439" w:rsidRPr="008D0F8F">
        <w:rPr>
          <w:rFonts w:asciiTheme="majorHAnsi" w:hAnsiTheme="majorHAnsi" w:cs="Arial"/>
          <w:b/>
          <w:sz w:val="22"/>
          <w:szCs w:val="26"/>
          <w:lang w:val="es-MX"/>
        </w:rPr>
        <w:t>7</w:t>
      </w:r>
      <w:r w:rsidR="00542D12" w:rsidRPr="008D0F8F">
        <w:rPr>
          <w:rFonts w:asciiTheme="majorHAnsi" w:hAnsiTheme="majorHAnsi" w:cs="Arial"/>
          <w:b/>
          <w:sz w:val="22"/>
          <w:szCs w:val="26"/>
          <w:lang w:val="es-MX"/>
        </w:rPr>
        <w:t>.</w:t>
      </w:r>
      <w:r w:rsidR="006531DB" w:rsidRPr="008D0F8F">
        <w:rPr>
          <w:rFonts w:asciiTheme="majorHAnsi" w:hAnsiTheme="majorHAnsi" w:cs="Arial"/>
          <w:b/>
          <w:sz w:val="22"/>
          <w:szCs w:val="26"/>
          <w:lang w:val="es-MX"/>
        </w:rPr>
        <w:t>1</w:t>
      </w:r>
      <w:r w:rsidR="00366439" w:rsidRPr="008D0F8F">
        <w:rPr>
          <w:rFonts w:asciiTheme="majorHAnsi" w:hAnsiTheme="majorHAnsi" w:cs="Arial"/>
          <w:b/>
          <w:sz w:val="22"/>
          <w:szCs w:val="26"/>
          <w:lang w:val="es-MX"/>
        </w:rPr>
        <w:t>4</w:t>
      </w:r>
      <w:r w:rsidR="003F64FF" w:rsidRPr="008D0F8F">
        <w:rPr>
          <w:rFonts w:asciiTheme="majorHAnsi" w:hAnsiTheme="majorHAnsi" w:cs="Arial"/>
          <w:b/>
          <w:sz w:val="22"/>
          <w:szCs w:val="26"/>
          <w:lang w:val="es-MX"/>
        </w:rPr>
        <w:t>%</w:t>
      </w:r>
    </w:p>
    <w:p w14:paraId="50595283" w14:textId="77777777" w:rsidR="00574F2C" w:rsidRPr="00574F2C" w:rsidRDefault="00574F2C" w:rsidP="00574F2C">
      <w:pPr>
        <w:ind w:left="709"/>
        <w:jc w:val="both"/>
        <w:rPr>
          <w:rFonts w:asciiTheme="majorHAnsi" w:hAnsiTheme="majorHAnsi" w:cs="Arial"/>
          <w:sz w:val="22"/>
          <w:szCs w:val="26"/>
          <w:lang w:val="es-MX"/>
        </w:rPr>
      </w:pPr>
    </w:p>
    <w:p w14:paraId="0DBF3B04" w14:textId="77777777"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14:paraId="7C47D09B" w14:textId="77777777" w:rsidR="00500076" w:rsidRDefault="00500076" w:rsidP="00574F2C">
      <w:pPr>
        <w:ind w:left="709"/>
        <w:jc w:val="both"/>
        <w:rPr>
          <w:rFonts w:asciiTheme="majorHAnsi" w:hAnsiTheme="majorHAnsi" w:cs="Arial"/>
          <w:b/>
          <w:sz w:val="22"/>
          <w:szCs w:val="26"/>
        </w:rPr>
      </w:pPr>
    </w:p>
    <w:p w14:paraId="6A1AC770" w14:textId="77777777" w:rsidR="00B019C0" w:rsidRDefault="00B019C0" w:rsidP="00574F2C">
      <w:pPr>
        <w:ind w:left="709"/>
        <w:jc w:val="both"/>
        <w:rPr>
          <w:rFonts w:asciiTheme="majorHAnsi" w:hAnsiTheme="majorHAnsi" w:cs="Arial"/>
          <w:b/>
          <w:sz w:val="22"/>
          <w:szCs w:val="26"/>
        </w:rPr>
      </w:pPr>
    </w:p>
    <w:p w14:paraId="2061FAB7" w14:textId="20A76F89" w:rsidR="00B019C0" w:rsidRPr="00574F2C" w:rsidRDefault="00366439" w:rsidP="00E7254D">
      <w:pPr>
        <w:pStyle w:val="Lugaryfecha"/>
        <w:rPr>
          <w:rFonts w:asciiTheme="majorHAnsi" w:hAnsiTheme="majorHAnsi" w:cs="Arial"/>
          <w:sz w:val="22"/>
          <w:szCs w:val="26"/>
        </w:rPr>
      </w:pPr>
      <w:r>
        <w:rPr>
          <w:noProof/>
        </w:rPr>
        <w:drawing>
          <wp:inline distT="0" distB="0" distL="0" distR="0" wp14:anchorId="526E9E6E" wp14:editId="78C0BC9F">
            <wp:extent cx="4279106" cy="2834154"/>
            <wp:effectExtent l="0" t="0" r="0" b="0"/>
            <wp:docPr id="18" name="Gráfico 18">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4C4F9A" w:rsidRDefault="003640DF" w:rsidP="00E7254D">
      <w:pPr>
        <w:pStyle w:val="Lugaryfecha"/>
      </w:pPr>
    </w:p>
    <w:p w14:paraId="3A3683A1"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58647AEC"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21CC9BDC" w14:textId="77777777" w:rsidR="00574F2C" w:rsidRDefault="00574F2C" w:rsidP="00574F2C">
      <w:pPr>
        <w:ind w:left="360"/>
        <w:jc w:val="both"/>
        <w:rPr>
          <w:rFonts w:asciiTheme="majorHAnsi" w:hAnsiTheme="majorHAnsi" w:cs="Arial"/>
          <w:b/>
          <w:sz w:val="22"/>
          <w:szCs w:val="22"/>
          <w:lang w:val="es-MX"/>
        </w:rPr>
      </w:pPr>
    </w:p>
    <w:p w14:paraId="4183FE85" w14:textId="77777777" w:rsidR="00574F2C" w:rsidRPr="00574F2C" w:rsidRDefault="00574F2C" w:rsidP="00574F2C">
      <w:pPr>
        <w:ind w:left="360"/>
        <w:jc w:val="both"/>
        <w:rPr>
          <w:rFonts w:asciiTheme="majorHAnsi" w:hAnsiTheme="majorHAnsi" w:cs="Arial"/>
          <w:b/>
          <w:sz w:val="22"/>
          <w:szCs w:val="22"/>
          <w:lang w:val="es-MX"/>
        </w:rPr>
      </w:pPr>
    </w:p>
    <w:p w14:paraId="7FC8059C"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18D80ABF"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33210B44" w14:textId="77777777" w:rsidR="00574F2C" w:rsidRPr="00574F2C" w:rsidRDefault="00574F2C" w:rsidP="00574F2C">
      <w:pPr>
        <w:ind w:left="709" w:firstLine="360"/>
        <w:jc w:val="both"/>
        <w:rPr>
          <w:rFonts w:asciiTheme="majorHAnsi" w:hAnsiTheme="majorHAnsi" w:cs="Arial"/>
          <w:sz w:val="22"/>
          <w:szCs w:val="22"/>
          <w:lang w:val="es-MX"/>
        </w:rPr>
      </w:pPr>
    </w:p>
    <w:p w14:paraId="15BA0D4B" w14:textId="3E02309A"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w:t>
      </w:r>
      <w:r w:rsidRPr="008D0F8F">
        <w:rPr>
          <w:rFonts w:asciiTheme="majorHAnsi" w:hAnsiTheme="majorHAnsi" w:cs="Arial"/>
          <w:sz w:val="22"/>
          <w:szCs w:val="22"/>
          <w:lang w:val="es-MX"/>
        </w:rPr>
        <w:t xml:space="preserve">recursos de revisión promovidos en contra de resoluciones del Comité de </w:t>
      </w:r>
      <w:r w:rsidR="00417C2B" w:rsidRPr="008D0F8F">
        <w:rPr>
          <w:rFonts w:asciiTheme="majorHAnsi" w:hAnsiTheme="majorHAnsi" w:cs="Arial"/>
          <w:sz w:val="22"/>
          <w:szCs w:val="22"/>
          <w:lang w:val="es-MX"/>
        </w:rPr>
        <w:t>Transparencia</w:t>
      </w:r>
      <w:r w:rsidRPr="008D0F8F">
        <w:rPr>
          <w:rFonts w:asciiTheme="majorHAnsi" w:hAnsiTheme="majorHAnsi" w:cs="Arial"/>
          <w:sz w:val="22"/>
          <w:szCs w:val="22"/>
          <w:lang w:val="es-MX"/>
        </w:rPr>
        <w:t xml:space="preserve">: </w:t>
      </w:r>
      <w:r w:rsidR="00366439" w:rsidRPr="008D0F8F">
        <w:rPr>
          <w:rFonts w:asciiTheme="majorHAnsi" w:hAnsiTheme="majorHAnsi" w:cs="Arial"/>
          <w:b/>
          <w:sz w:val="22"/>
          <w:szCs w:val="22"/>
          <w:lang w:val="es-MX"/>
        </w:rPr>
        <w:t>5</w:t>
      </w:r>
      <w:r w:rsidRPr="008D0F8F">
        <w:rPr>
          <w:rFonts w:asciiTheme="majorHAnsi" w:hAnsiTheme="majorHAnsi" w:cs="Arial"/>
          <w:b/>
          <w:sz w:val="22"/>
          <w:szCs w:val="22"/>
          <w:lang w:val="es-MX"/>
        </w:rPr>
        <w:t>.</w:t>
      </w:r>
    </w:p>
    <w:p w14:paraId="1D9CA4B4" w14:textId="77777777" w:rsidR="00574F2C" w:rsidRPr="00574F2C" w:rsidRDefault="00574F2C" w:rsidP="00574F2C">
      <w:pPr>
        <w:ind w:left="709"/>
        <w:jc w:val="both"/>
        <w:rPr>
          <w:rFonts w:asciiTheme="majorHAnsi" w:hAnsiTheme="majorHAnsi" w:cs="Arial"/>
          <w:sz w:val="22"/>
          <w:szCs w:val="22"/>
          <w:lang w:val="es-MX"/>
        </w:rPr>
      </w:pPr>
    </w:p>
    <w:p w14:paraId="1D67588C" w14:textId="77777777"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14:paraId="20BCAD75" w14:textId="77777777" w:rsidR="00D75B31" w:rsidRDefault="00D75B31" w:rsidP="00574F2C">
      <w:pPr>
        <w:ind w:left="360"/>
        <w:jc w:val="both"/>
        <w:rPr>
          <w:rFonts w:ascii="Arial" w:hAnsi="Arial" w:cs="Arial"/>
          <w:sz w:val="26"/>
          <w:szCs w:val="26"/>
        </w:rPr>
      </w:pPr>
    </w:p>
    <w:p w14:paraId="015716A2" w14:textId="1A3BE8FC" w:rsidR="00893C1E" w:rsidRPr="003B2A36" w:rsidRDefault="00B62C54" w:rsidP="00574F2C">
      <w:pPr>
        <w:ind w:left="360"/>
        <w:jc w:val="both"/>
        <w:rPr>
          <w:rFonts w:ascii="Arial" w:hAnsi="Arial" w:cs="Arial"/>
          <w:sz w:val="26"/>
          <w:szCs w:val="26"/>
        </w:rPr>
      </w:pPr>
      <w:r>
        <w:rPr>
          <w:noProof/>
        </w:rPr>
        <w:drawing>
          <wp:inline distT="0" distB="0" distL="0" distR="0" wp14:anchorId="0765D7E7" wp14:editId="69186FEA">
            <wp:extent cx="5476875" cy="2847975"/>
            <wp:effectExtent l="0" t="0" r="0" b="0"/>
            <wp:docPr id="10" name="Gráfico 10">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Pr>
          <w:rFonts w:ascii="Arial" w:hAnsi="Arial" w:cs="Arial"/>
          <w:sz w:val="26"/>
          <w:szCs w:val="26"/>
        </w:rPr>
        <w:tab/>
      </w:r>
    </w:p>
    <w:p w14:paraId="050BF004" w14:textId="1A1540D4" w:rsidR="003640DF" w:rsidRDefault="003640DF" w:rsidP="00E7254D">
      <w:pPr>
        <w:pStyle w:val="Lugaryfecha"/>
        <w:rPr>
          <w:lang w:val="es-MX"/>
        </w:rPr>
      </w:pPr>
    </w:p>
    <w:p w14:paraId="36036E8B"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3CB4AC76" w14:textId="710BB281" w:rsidR="008068C9" w:rsidRPr="00993C6D" w:rsidRDefault="008068C9" w:rsidP="008068C9">
      <w:pPr>
        <w:pStyle w:val="Prrafodelista"/>
        <w:numPr>
          <w:ilvl w:val="0"/>
          <w:numId w:val="2"/>
        </w:numPr>
        <w:jc w:val="both"/>
        <w:rPr>
          <w:rFonts w:ascii="Georgia" w:hAnsi="Georgia" w:cs="Arial"/>
          <w:b/>
          <w:sz w:val="22"/>
          <w:szCs w:val="22"/>
        </w:rPr>
      </w:pPr>
      <w:bookmarkStart w:id="0" w:name="_Hlk80895528"/>
      <w:r w:rsidRPr="008068C9">
        <w:rPr>
          <w:rFonts w:ascii="Georgia" w:hAnsi="Georgia" w:cs="Arial"/>
          <w:b/>
          <w:sz w:val="22"/>
          <w:szCs w:val="22"/>
        </w:rPr>
        <w:lastRenderedPageBreak/>
        <w:t xml:space="preserve">Numeralia relacionada con los indicadores de gestión correspondientes al </w:t>
      </w:r>
      <w:r w:rsidRPr="00993C6D">
        <w:rPr>
          <w:rFonts w:ascii="Georgia" w:hAnsi="Georgia" w:cs="Arial"/>
          <w:b/>
          <w:sz w:val="22"/>
          <w:szCs w:val="22"/>
        </w:rPr>
        <w:t xml:space="preserve">periodo de </w:t>
      </w:r>
      <w:r w:rsidR="00817F1F">
        <w:rPr>
          <w:rFonts w:ascii="Georgia" w:hAnsi="Georgia" w:cs="Arial"/>
          <w:b/>
          <w:sz w:val="22"/>
          <w:szCs w:val="22"/>
        </w:rPr>
        <w:t>Octubre</w:t>
      </w:r>
      <w:r w:rsidR="00DF376F" w:rsidRPr="00993C6D">
        <w:rPr>
          <w:rFonts w:ascii="Georgia" w:hAnsi="Georgia" w:cs="Arial"/>
          <w:b/>
          <w:sz w:val="22"/>
          <w:szCs w:val="22"/>
        </w:rPr>
        <w:t xml:space="preserve"> a </w:t>
      </w:r>
      <w:r w:rsidR="00817F1F">
        <w:rPr>
          <w:rFonts w:ascii="Georgia" w:hAnsi="Georgia" w:cs="Arial"/>
          <w:b/>
          <w:sz w:val="22"/>
          <w:szCs w:val="22"/>
        </w:rPr>
        <w:t>Dic</w:t>
      </w:r>
      <w:r w:rsidR="00301880">
        <w:rPr>
          <w:rFonts w:ascii="Georgia" w:hAnsi="Georgia" w:cs="Arial"/>
          <w:b/>
          <w:sz w:val="22"/>
          <w:szCs w:val="22"/>
        </w:rPr>
        <w:t>iembre</w:t>
      </w:r>
      <w:r w:rsidR="001F41D0" w:rsidRPr="00993C6D">
        <w:rPr>
          <w:rFonts w:ascii="Georgia" w:hAnsi="Georgia" w:cs="Arial"/>
          <w:b/>
          <w:sz w:val="22"/>
          <w:szCs w:val="22"/>
        </w:rPr>
        <w:t xml:space="preserve"> de 20</w:t>
      </w:r>
      <w:r w:rsidR="005761C7" w:rsidRPr="00993C6D">
        <w:rPr>
          <w:rFonts w:ascii="Georgia" w:hAnsi="Georgia" w:cs="Arial"/>
          <w:b/>
          <w:sz w:val="22"/>
          <w:szCs w:val="22"/>
        </w:rPr>
        <w:t>2</w:t>
      </w:r>
      <w:r w:rsidR="0010582E" w:rsidRPr="00993C6D">
        <w:rPr>
          <w:rFonts w:ascii="Georgia" w:hAnsi="Georgia" w:cs="Arial"/>
          <w:b/>
          <w:sz w:val="22"/>
          <w:szCs w:val="22"/>
        </w:rPr>
        <w:t>1</w:t>
      </w:r>
      <w:r w:rsidR="0077794B" w:rsidRPr="00993C6D">
        <w:rPr>
          <w:rFonts w:ascii="Georgia" w:hAnsi="Georgia" w:cs="Arial"/>
          <w:b/>
          <w:sz w:val="22"/>
          <w:szCs w:val="22"/>
        </w:rPr>
        <w:t>.</w:t>
      </w:r>
    </w:p>
    <w:p w14:paraId="7A48FCE9" w14:textId="77777777" w:rsidR="008068C9" w:rsidRPr="00993C6D" w:rsidRDefault="008068C9" w:rsidP="008068C9">
      <w:pPr>
        <w:ind w:left="720"/>
        <w:jc w:val="both"/>
        <w:rPr>
          <w:rFonts w:ascii="Georgia" w:hAnsi="Georgia" w:cs="Arial"/>
          <w:sz w:val="22"/>
          <w:szCs w:val="22"/>
          <w:lang w:val="es-MX"/>
        </w:rPr>
      </w:pPr>
    </w:p>
    <w:p w14:paraId="5D1B72E0" w14:textId="533CAB26" w:rsidR="00BA6373" w:rsidRPr="008D0F8F" w:rsidRDefault="00BA6373" w:rsidP="00767EC1">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 xml:space="preserve">Total de solicitudes de información </w:t>
      </w:r>
      <w:r w:rsidRPr="000C3A57">
        <w:rPr>
          <w:rFonts w:ascii="Georgia" w:hAnsi="Georgia" w:cs="Arial"/>
          <w:sz w:val="22"/>
          <w:szCs w:val="22"/>
        </w:rPr>
        <w:t xml:space="preserve">recibidas: </w:t>
      </w:r>
      <w:r w:rsidR="00C34509" w:rsidRPr="008D0F8F">
        <w:rPr>
          <w:rFonts w:ascii="Georgia" w:hAnsi="Georgia" w:cs="Arial"/>
          <w:sz w:val="22"/>
          <w:szCs w:val="22"/>
        </w:rPr>
        <w:t>1</w:t>
      </w:r>
      <w:r w:rsidR="00431D76" w:rsidRPr="008D0F8F">
        <w:rPr>
          <w:rFonts w:ascii="Georgia" w:hAnsi="Georgia" w:cs="Arial"/>
          <w:sz w:val="22"/>
          <w:szCs w:val="22"/>
        </w:rPr>
        <w:t>7</w:t>
      </w:r>
      <w:r w:rsidRPr="008D0F8F">
        <w:rPr>
          <w:rFonts w:ascii="Georgia" w:hAnsi="Georgia" w:cs="Arial"/>
          <w:sz w:val="22"/>
          <w:szCs w:val="22"/>
        </w:rPr>
        <w:t>,</w:t>
      </w:r>
      <w:r w:rsidR="00431D76" w:rsidRPr="008D0F8F">
        <w:rPr>
          <w:rFonts w:ascii="Georgia" w:hAnsi="Georgia" w:cs="Arial"/>
          <w:sz w:val="22"/>
          <w:szCs w:val="22"/>
        </w:rPr>
        <w:t>195</w:t>
      </w:r>
      <w:r w:rsidRPr="008D0F8F">
        <w:rPr>
          <w:rFonts w:ascii="Georgia" w:hAnsi="Georgia" w:cs="Arial"/>
          <w:sz w:val="22"/>
          <w:szCs w:val="22"/>
        </w:rPr>
        <w:t>.</w:t>
      </w:r>
    </w:p>
    <w:p w14:paraId="0112DB83" w14:textId="77777777" w:rsidR="00BA6373" w:rsidRPr="008D0F8F" w:rsidRDefault="00BA6373" w:rsidP="00BA6373">
      <w:pPr>
        <w:ind w:left="1134"/>
        <w:jc w:val="both"/>
        <w:rPr>
          <w:rFonts w:ascii="Georgia" w:hAnsi="Georgia" w:cs="Arial"/>
          <w:sz w:val="22"/>
          <w:szCs w:val="22"/>
          <w:lang w:val="es-MX"/>
        </w:rPr>
      </w:pPr>
    </w:p>
    <w:p w14:paraId="4B7BE5CA" w14:textId="6B5F97C1" w:rsidR="00BA6373" w:rsidRPr="008D0F8F" w:rsidRDefault="00BA6373" w:rsidP="00BA6373">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Tota</w:t>
      </w:r>
      <w:r w:rsidR="00C5521F" w:rsidRPr="008D0F8F">
        <w:rPr>
          <w:rFonts w:ascii="Georgia" w:hAnsi="Georgia" w:cs="Arial"/>
          <w:sz w:val="22"/>
          <w:szCs w:val="22"/>
        </w:rPr>
        <w:t>l de solicitudes en trámite</w:t>
      </w:r>
      <w:r w:rsidR="009E4996" w:rsidRPr="008D0F8F">
        <w:rPr>
          <w:rFonts w:ascii="Georgia" w:hAnsi="Georgia" w:cs="Arial"/>
          <w:sz w:val="22"/>
          <w:szCs w:val="22"/>
        </w:rPr>
        <w:t xml:space="preserve">: </w:t>
      </w:r>
      <w:r w:rsidR="00431D76" w:rsidRPr="008D0F8F">
        <w:rPr>
          <w:rFonts w:ascii="Georgia" w:hAnsi="Georgia" w:cs="Arial"/>
          <w:sz w:val="22"/>
          <w:szCs w:val="22"/>
        </w:rPr>
        <w:t>52</w:t>
      </w:r>
      <w:r w:rsidRPr="008D0F8F">
        <w:rPr>
          <w:rFonts w:ascii="Georgia" w:hAnsi="Georgia" w:cs="Arial"/>
          <w:sz w:val="22"/>
          <w:szCs w:val="22"/>
        </w:rPr>
        <w:t>.</w:t>
      </w:r>
    </w:p>
    <w:p w14:paraId="6B2B4EDF" w14:textId="77777777" w:rsidR="00BA6373" w:rsidRPr="008D0F8F" w:rsidRDefault="00BA6373" w:rsidP="00BA6373">
      <w:pPr>
        <w:pStyle w:val="Prrafodelista"/>
        <w:rPr>
          <w:rFonts w:ascii="Georgia" w:hAnsi="Georgia" w:cs="Arial"/>
          <w:sz w:val="22"/>
          <w:szCs w:val="22"/>
        </w:rPr>
      </w:pPr>
    </w:p>
    <w:p w14:paraId="777DBA2B" w14:textId="18A0A984" w:rsidR="00BA6373" w:rsidRPr="008D0F8F" w:rsidRDefault="00BA6373" w:rsidP="00BA6373">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Total de solicit</w:t>
      </w:r>
      <w:r w:rsidR="00C00B35" w:rsidRPr="008D0F8F">
        <w:rPr>
          <w:rFonts w:ascii="Georgia" w:hAnsi="Georgia" w:cs="Arial"/>
          <w:sz w:val="22"/>
          <w:szCs w:val="22"/>
        </w:rPr>
        <w:t>ud</w:t>
      </w:r>
      <w:r w:rsidR="00C5521F" w:rsidRPr="008D0F8F">
        <w:rPr>
          <w:rFonts w:ascii="Georgia" w:hAnsi="Georgia" w:cs="Arial"/>
          <w:sz w:val="22"/>
          <w:szCs w:val="22"/>
        </w:rPr>
        <w:t>es de información resueltas</w:t>
      </w:r>
      <w:r w:rsidR="009E4996" w:rsidRPr="008D0F8F">
        <w:rPr>
          <w:rFonts w:ascii="Georgia" w:hAnsi="Georgia" w:cs="Arial"/>
          <w:sz w:val="22"/>
          <w:szCs w:val="22"/>
        </w:rPr>
        <w:t xml:space="preserve">: </w:t>
      </w:r>
      <w:r w:rsidR="00CF4F66" w:rsidRPr="008D0F8F">
        <w:rPr>
          <w:rFonts w:ascii="Georgia" w:hAnsi="Georgia" w:cs="Arial"/>
          <w:sz w:val="22"/>
          <w:szCs w:val="22"/>
        </w:rPr>
        <w:t>1</w:t>
      </w:r>
      <w:r w:rsidR="00431D76" w:rsidRPr="008D0F8F">
        <w:rPr>
          <w:rFonts w:ascii="Georgia" w:hAnsi="Georgia" w:cs="Arial"/>
          <w:sz w:val="22"/>
          <w:szCs w:val="22"/>
        </w:rPr>
        <w:t>7</w:t>
      </w:r>
      <w:r w:rsidR="00B11EF1" w:rsidRPr="008D0F8F">
        <w:rPr>
          <w:rFonts w:ascii="Georgia" w:hAnsi="Georgia" w:cs="Arial"/>
          <w:sz w:val="22"/>
          <w:szCs w:val="22"/>
        </w:rPr>
        <w:t>,</w:t>
      </w:r>
      <w:r w:rsidR="006C464E" w:rsidRPr="008D0F8F">
        <w:rPr>
          <w:rFonts w:ascii="Georgia" w:hAnsi="Georgia" w:cs="Arial"/>
          <w:sz w:val="22"/>
          <w:szCs w:val="22"/>
        </w:rPr>
        <w:t>1</w:t>
      </w:r>
      <w:r w:rsidR="00431D76" w:rsidRPr="008D0F8F">
        <w:rPr>
          <w:rFonts w:ascii="Georgia" w:hAnsi="Georgia" w:cs="Arial"/>
          <w:sz w:val="22"/>
          <w:szCs w:val="22"/>
        </w:rPr>
        <w:t>43</w:t>
      </w:r>
      <w:r w:rsidRPr="008D0F8F">
        <w:rPr>
          <w:rFonts w:ascii="Georgia" w:hAnsi="Georgia" w:cs="Arial"/>
          <w:sz w:val="22"/>
          <w:szCs w:val="22"/>
        </w:rPr>
        <w:t>.</w:t>
      </w:r>
    </w:p>
    <w:p w14:paraId="2D5BF8E3" w14:textId="77777777" w:rsidR="00BA6373" w:rsidRPr="008D0F8F" w:rsidRDefault="00BA6373" w:rsidP="00BA6373">
      <w:pPr>
        <w:pStyle w:val="Prrafodelista"/>
        <w:ind w:left="1134"/>
        <w:jc w:val="both"/>
        <w:rPr>
          <w:rFonts w:ascii="Georgia" w:hAnsi="Georgia" w:cs="Arial"/>
          <w:sz w:val="22"/>
          <w:szCs w:val="22"/>
        </w:rPr>
      </w:pPr>
    </w:p>
    <w:p w14:paraId="3C67DA48" w14:textId="79BC11A8" w:rsidR="00BA6373" w:rsidRPr="008D0F8F" w:rsidRDefault="00BA6373" w:rsidP="00BA6373">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Número de solicitudes realizadas a tr</w:t>
      </w:r>
      <w:r w:rsidR="00216077" w:rsidRPr="008D0F8F">
        <w:rPr>
          <w:rFonts w:ascii="Georgia" w:hAnsi="Georgia" w:cs="Arial"/>
          <w:sz w:val="22"/>
          <w:szCs w:val="22"/>
        </w:rPr>
        <w:t>av</w:t>
      </w:r>
      <w:r w:rsidR="005B1966" w:rsidRPr="008D0F8F">
        <w:rPr>
          <w:rFonts w:ascii="Georgia" w:hAnsi="Georgia" w:cs="Arial"/>
          <w:sz w:val="22"/>
          <w:szCs w:val="22"/>
        </w:rPr>
        <w:t xml:space="preserve">és de medios electrónicos: </w:t>
      </w:r>
      <w:r w:rsidR="00C34509" w:rsidRPr="008D0F8F">
        <w:rPr>
          <w:rFonts w:ascii="Georgia" w:hAnsi="Georgia" w:cs="Arial"/>
          <w:sz w:val="22"/>
          <w:szCs w:val="22"/>
        </w:rPr>
        <w:t>1</w:t>
      </w:r>
      <w:r w:rsidR="00431D76" w:rsidRPr="008D0F8F">
        <w:rPr>
          <w:rFonts w:ascii="Georgia" w:hAnsi="Georgia" w:cs="Arial"/>
          <w:sz w:val="22"/>
          <w:szCs w:val="22"/>
        </w:rPr>
        <w:t>7</w:t>
      </w:r>
      <w:r w:rsidR="00F838F5" w:rsidRPr="008D0F8F">
        <w:rPr>
          <w:rFonts w:ascii="Georgia" w:hAnsi="Georgia" w:cs="Arial"/>
          <w:sz w:val="22"/>
          <w:szCs w:val="22"/>
        </w:rPr>
        <w:t>,</w:t>
      </w:r>
      <w:r w:rsidR="00431D76" w:rsidRPr="008D0F8F">
        <w:rPr>
          <w:rFonts w:ascii="Georgia" w:hAnsi="Georgia" w:cs="Arial"/>
          <w:sz w:val="22"/>
          <w:szCs w:val="22"/>
        </w:rPr>
        <w:t>195</w:t>
      </w:r>
      <w:r w:rsidR="00F563D6" w:rsidRPr="008D0F8F">
        <w:rPr>
          <w:rFonts w:ascii="Georgia" w:hAnsi="Georgia" w:cs="Arial"/>
          <w:sz w:val="22"/>
          <w:szCs w:val="22"/>
        </w:rPr>
        <w:t>.</w:t>
      </w:r>
      <w:r w:rsidR="005B1966" w:rsidRPr="008D0F8F">
        <w:rPr>
          <w:rFonts w:ascii="Georgia" w:hAnsi="Georgia" w:cs="Arial"/>
          <w:sz w:val="22"/>
          <w:szCs w:val="22"/>
        </w:rPr>
        <w:t xml:space="preserve"> </w:t>
      </w:r>
    </w:p>
    <w:p w14:paraId="772DD05F" w14:textId="77777777" w:rsidR="00BA6373" w:rsidRPr="008D0F8F" w:rsidRDefault="00BA6373" w:rsidP="00BA6373">
      <w:pPr>
        <w:pStyle w:val="Prrafodelista"/>
        <w:ind w:left="1134"/>
        <w:jc w:val="both"/>
        <w:rPr>
          <w:rFonts w:ascii="Georgia" w:hAnsi="Georgia" w:cs="Arial"/>
          <w:sz w:val="22"/>
          <w:szCs w:val="22"/>
        </w:rPr>
      </w:pPr>
    </w:p>
    <w:p w14:paraId="339FD302" w14:textId="77777777" w:rsidR="008068C9" w:rsidRPr="008D0F8F" w:rsidRDefault="00BA6373" w:rsidP="00BA6373">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Número solicitudes realiz</w:t>
      </w:r>
      <w:r w:rsidR="005B1966" w:rsidRPr="008D0F8F">
        <w:rPr>
          <w:rFonts w:ascii="Georgia" w:hAnsi="Georgia" w:cs="Arial"/>
          <w:sz w:val="22"/>
          <w:szCs w:val="22"/>
        </w:rPr>
        <w:t>adas de manera presencial</w:t>
      </w:r>
      <w:r w:rsidR="00BE13F2" w:rsidRPr="008D0F8F">
        <w:rPr>
          <w:rFonts w:ascii="Georgia" w:hAnsi="Georgia" w:cs="Arial"/>
          <w:sz w:val="22"/>
          <w:szCs w:val="22"/>
        </w:rPr>
        <w:t xml:space="preserve">: </w:t>
      </w:r>
      <w:r w:rsidR="00B11EF1" w:rsidRPr="008D0F8F">
        <w:rPr>
          <w:rFonts w:ascii="Georgia" w:hAnsi="Georgia" w:cs="Arial"/>
          <w:sz w:val="22"/>
          <w:szCs w:val="22"/>
        </w:rPr>
        <w:t>0</w:t>
      </w:r>
      <w:r w:rsidRPr="008D0F8F">
        <w:rPr>
          <w:rFonts w:ascii="Georgia" w:hAnsi="Georgia" w:cs="Arial"/>
          <w:sz w:val="22"/>
          <w:szCs w:val="22"/>
        </w:rPr>
        <w:t>.</w:t>
      </w:r>
    </w:p>
    <w:p w14:paraId="156ECF5E" w14:textId="77777777" w:rsidR="008068C9" w:rsidRPr="008D0F8F" w:rsidRDefault="008068C9" w:rsidP="008068C9">
      <w:pPr>
        <w:pStyle w:val="Prrafodelista"/>
        <w:jc w:val="both"/>
        <w:rPr>
          <w:rFonts w:ascii="Georgia" w:hAnsi="Georgia" w:cs="Arial"/>
          <w:sz w:val="22"/>
          <w:szCs w:val="22"/>
        </w:rPr>
      </w:pPr>
    </w:p>
    <w:p w14:paraId="5716023E" w14:textId="66B64832" w:rsidR="008068C9" w:rsidRPr="008D0F8F" w:rsidRDefault="008068C9" w:rsidP="008068C9">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 xml:space="preserve">Total de orientaciones realizadas para que el solicitante presente su solicitud ante otra Unidad de Enlace: </w:t>
      </w:r>
      <w:r w:rsidR="0064197F" w:rsidRPr="008D0F8F">
        <w:rPr>
          <w:rFonts w:ascii="Georgia" w:hAnsi="Georgia" w:cs="Arial"/>
          <w:sz w:val="22"/>
          <w:szCs w:val="22"/>
        </w:rPr>
        <w:t>1</w:t>
      </w:r>
      <w:r w:rsidR="00FD4E17" w:rsidRPr="008D0F8F">
        <w:rPr>
          <w:rFonts w:ascii="Georgia" w:hAnsi="Georgia" w:cs="Arial"/>
          <w:sz w:val="22"/>
          <w:szCs w:val="22"/>
        </w:rPr>
        <w:t>7</w:t>
      </w:r>
      <w:r w:rsidRPr="008D0F8F">
        <w:rPr>
          <w:rFonts w:ascii="Georgia" w:hAnsi="Georgia" w:cs="Arial"/>
          <w:sz w:val="22"/>
          <w:szCs w:val="22"/>
        </w:rPr>
        <w:t>.</w:t>
      </w:r>
    </w:p>
    <w:bookmarkEnd w:id="0"/>
    <w:p w14:paraId="0260EE1A" w14:textId="77777777" w:rsidR="008068C9" w:rsidRPr="000C3A57" w:rsidRDefault="008068C9" w:rsidP="008068C9">
      <w:pPr>
        <w:pStyle w:val="Prrafodelista"/>
        <w:tabs>
          <w:tab w:val="left" w:pos="3390"/>
        </w:tabs>
        <w:jc w:val="both"/>
        <w:rPr>
          <w:rFonts w:ascii="Georgia" w:hAnsi="Georgia" w:cs="Arial"/>
          <w:b/>
          <w:sz w:val="22"/>
          <w:szCs w:val="22"/>
        </w:rPr>
      </w:pPr>
      <w:r w:rsidRPr="000C3A57">
        <w:rPr>
          <w:rFonts w:ascii="Georgia" w:hAnsi="Georgia" w:cs="Arial"/>
          <w:b/>
          <w:sz w:val="22"/>
          <w:szCs w:val="22"/>
        </w:rPr>
        <w:tab/>
      </w:r>
    </w:p>
    <w:p w14:paraId="5B9B0C4C" w14:textId="77777777" w:rsidR="008068C9" w:rsidRPr="000C3A57" w:rsidRDefault="008068C9" w:rsidP="008068C9">
      <w:pPr>
        <w:pStyle w:val="Prrafodelista"/>
        <w:jc w:val="both"/>
        <w:rPr>
          <w:rFonts w:ascii="Georgia" w:hAnsi="Georgia" w:cs="Arial"/>
          <w:b/>
          <w:sz w:val="22"/>
          <w:szCs w:val="22"/>
        </w:rPr>
      </w:pPr>
    </w:p>
    <w:p w14:paraId="6633A9EF" w14:textId="77777777" w:rsidR="008068C9" w:rsidRPr="000C3A57" w:rsidRDefault="008068C9" w:rsidP="008068C9">
      <w:pPr>
        <w:pStyle w:val="Prrafodelista"/>
        <w:numPr>
          <w:ilvl w:val="0"/>
          <w:numId w:val="6"/>
        </w:numPr>
        <w:contextualSpacing w:val="0"/>
        <w:jc w:val="both"/>
        <w:rPr>
          <w:rFonts w:ascii="Georgia" w:hAnsi="Georgia" w:cs="Arial"/>
          <w:b/>
          <w:sz w:val="22"/>
          <w:szCs w:val="22"/>
        </w:rPr>
      </w:pPr>
      <w:r w:rsidRPr="000C3A57">
        <w:rPr>
          <w:rFonts w:ascii="Georgia" w:hAnsi="Georgia" w:cs="Arial"/>
          <w:b/>
          <w:sz w:val="22"/>
          <w:szCs w:val="22"/>
        </w:rPr>
        <w:t>Procedimiento Sumario.</w:t>
      </w:r>
    </w:p>
    <w:p w14:paraId="670B1D00" w14:textId="77777777" w:rsidR="008068C9" w:rsidRPr="000C3A57" w:rsidRDefault="008068C9" w:rsidP="008068C9">
      <w:pPr>
        <w:pStyle w:val="Prrafodelista"/>
        <w:ind w:left="1134"/>
        <w:jc w:val="both"/>
        <w:rPr>
          <w:rFonts w:ascii="Georgia" w:hAnsi="Georgia" w:cs="Arial"/>
          <w:sz w:val="22"/>
          <w:szCs w:val="22"/>
        </w:rPr>
      </w:pPr>
    </w:p>
    <w:p w14:paraId="30646769" w14:textId="55EFF382" w:rsidR="008068C9" w:rsidRPr="008D0F8F" w:rsidRDefault="008068C9" w:rsidP="008068C9">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Total de solicitudes tramitadas mediante procedimiento sumario</w:t>
      </w:r>
      <w:r w:rsidRPr="008D0F8F">
        <w:rPr>
          <w:rFonts w:ascii="Georgia" w:hAnsi="Georgia" w:cs="Arial"/>
          <w:sz w:val="22"/>
          <w:szCs w:val="22"/>
        </w:rPr>
        <w:t xml:space="preserve">: </w:t>
      </w:r>
      <w:r w:rsidR="008877FF" w:rsidRPr="008D0F8F">
        <w:rPr>
          <w:rFonts w:ascii="Georgia" w:hAnsi="Georgia" w:cs="Arial"/>
          <w:sz w:val="22"/>
          <w:szCs w:val="22"/>
        </w:rPr>
        <w:t>1</w:t>
      </w:r>
      <w:r w:rsidR="00FA456B" w:rsidRPr="008D0F8F">
        <w:rPr>
          <w:rFonts w:ascii="Georgia" w:hAnsi="Georgia" w:cs="Arial"/>
          <w:sz w:val="22"/>
          <w:szCs w:val="22"/>
        </w:rPr>
        <w:t>6</w:t>
      </w:r>
      <w:r w:rsidR="00FC6B8F" w:rsidRPr="008D0F8F">
        <w:rPr>
          <w:rFonts w:ascii="Georgia" w:hAnsi="Georgia" w:cs="Arial"/>
          <w:sz w:val="22"/>
          <w:szCs w:val="22"/>
        </w:rPr>
        <w:t>,</w:t>
      </w:r>
      <w:r w:rsidR="00F42BAE" w:rsidRPr="008D0F8F">
        <w:rPr>
          <w:rFonts w:ascii="Georgia" w:hAnsi="Georgia" w:cs="Arial"/>
          <w:sz w:val="22"/>
          <w:szCs w:val="22"/>
        </w:rPr>
        <w:t>6</w:t>
      </w:r>
      <w:r w:rsidR="00FA456B" w:rsidRPr="008D0F8F">
        <w:rPr>
          <w:rFonts w:ascii="Georgia" w:hAnsi="Georgia" w:cs="Arial"/>
          <w:sz w:val="22"/>
          <w:szCs w:val="22"/>
        </w:rPr>
        <w:t>97</w:t>
      </w:r>
      <w:r w:rsidRPr="008D0F8F">
        <w:rPr>
          <w:rFonts w:ascii="Georgia" w:hAnsi="Georgia" w:cs="Arial"/>
          <w:sz w:val="22"/>
          <w:szCs w:val="22"/>
        </w:rPr>
        <w:t>.</w:t>
      </w:r>
    </w:p>
    <w:p w14:paraId="16DFFBE4" w14:textId="77777777" w:rsidR="008068C9" w:rsidRPr="008D0F8F" w:rsidRDefault="008068C9" w:rsidP="008068C9">
      <w:pPr>
        <w:pStyle w:val="Prrafodelista"/>
        <w:ind w:left="1134"/>
        <w:jc w:val="both"/>
        <w:rPr>
          <w:rFonts w:ascii="Georgia" w:hAnsi="Georgia" w:cs="Arial"/>
          <w:sz w:val="22"/>
          <w:szCs w:val="22"/>
        </w:rPr>
      </w:pPr>
    </w:p>
    <w:p w14:paraId="29CF1E04" w14:textId="5946DBED" w:rsidR="008068C9" w:rsidRPr="008D0F8F" w:rsidRDefault="008068C9" w:rsidP="008068C9">
      <w:pPr>
        <w:pStyle w:val="Prrafodelista"/>
        <w:numPr>
          <w:ilvl w:val="0"/>
          <w:numId w:val="8"/>
        </w:numPr>
        <w:ind w:left="1560"/>
        <w:contextualSpacing w:val="0"/>
        <w:jc w:val="both"/>
        <w:rPr>
          <w:rFonts w:ascii="Georgia" w:hAnsi="Georgia" w:cs="Arial"/>
          <w:sz w:val="22"/>
          <w:szCs w:val="22"/>
        </w:rPr>
      </w:pPr>
      <w:r w:rsidRPr="008D0F8F">
        <w:rPr>
          <w:rFonts w:ascii="Georgia" w:hAnsi="Georgia" w:cs="Arial"/>
          <w:sz w:val="22"/>
          <w:szCs w:val="22"/>
        </w:rPr>
        <w:t xml:space="preserve">Total de solicitudes tramitadas mediante procedimiento sumario a través de los Módulos de Acceso a la Información: </w:t>
      </w:r>
      <w:r w:rsidR="008877FF" w:rsidRPr="008D0F8F">
        <w:rPr>
          <w:rFonts w:ascii="Georgia" w:hAnsi="Georgia" w:cs="Arial"/>
          <w:sz w:val="22"/>
          <w:szCs w:val="22"/>
        </w:rPr>
        <w:t>1</w:t>
      </w:r>
      <w:r w:rsidR="00FA456B" w:rsidRPr="008D0F8F">
        <w:rPr>
          <w:rFonts w:ascii="Georgia" w:hAnsi="Georgia" w:cs="Arial"/>
          <w:sz w:val="22"/>
          <w:szCs w:val="22"/>
        </w:rPr>
        <w:t>6</w:t>
      </w:r>
      <w:r w:rsidR="00581CEE" w:rsidRPr="008D0F8F">
        <w:rPr>
          <w:rFonts w:ascii="Georgia" w:hAnsi="Georgia" w:cs="Arial"/>
          <w:sz w:val="22"/>
          <w:szCs w:val="22"/>
        </w:rPr>
        <w:t>,</w:t>
      </w:r>
      <w:r w:rsidR="000667DE" w:rsidRPr="008D0F8F">
        <w:rPr>
          <w:rFonts w:ascii="Georgia" w:hAnsi="Georgia" w:cs="Arial"/>
          <w:sz w:val="22"/>
          <w:szCs w:val="22"/>
        </w:rPr>
        <w:t>6</w:t>
      </w:r>
      <w:r w:rsidR="00FA456B" w:rsidRPr="008D0F8F">
        <w:rPr>
          <w:rFonts w:ascii="Georgia" w:hAnsi="Georgia" w:cs="Arial"/>
          <w:sz w:val="22"/>
          <w:szCs w:val="22"/>
        </w:rPr>
        <w:t>59</w:t>
      </w:r>
      <w:r w:rsidRPr="008D0F8F">
        <w:rPr>
          <w:rFonts w:ascii="Georgia" w:hAnsi="Georgia" w:cs="Arial"/>
          <w:sz w:val="22"/>
          <w:szCs w:val="22"/>
        </w:rPr>
        <w:t>.</w:t>
      </w:r>
    </w:p>
    <w:p w14:paraId="09BF3E2C" w14:textId="77777777" w:rsidR="008068C9" w:rsidRPr="008D0F8F" w:rsidRDefault="008068C9" w:rsidP="008068C9">
      <w:pPr>
        <w:ind w:left="1560" w:hanging="425"/>
        <w:jc w:val="both"/>
        <w:rPr>
          <w:rFonts w:ascii="Georgia" w:hAnsi="Georgia" w:cs="Arial"/>
          <w:sz w:val="22"/>
          <w:szCs w:val="22"/>
          <w:lang w:val="es-MX"/>
        </w:rPr>
      </w:pPr>
    </w:p>
    <w:p w14:paraId="08C0D2BD" w14:textId="6096D102" w:rsidR="008068C9" w:rsidRPr="008D0F8F" w:rsidRDefault="008068C9" w:rsidP="008068C9">
      <w:pPr>
        <w:pStyle w:val="Prrafodelista"/>
        <w:numPr>
          <w:ilvl w:val="0"/>
          <w:numId w:val="8"/>
        </w:numPr>
        <w:ind w:left="1560"/>
        <w:contextualSpacing w:val="0"/>
        <w:jc w:val="both"/>
        <w:rPr>
          <w:rFonts w:ascii="Georgia" w:hAnsi="Georgia" w:cs="Arial"/>
          <w:sz w:val="22"/>
          <w:szCs w:val="22"/>
        </w:rPr>
      </w:pPr>
      <w:r w:rsidRPr="008D0F8F">
        <w:rPr>
          <w:rFonts w:ascii="Georgia" w:hAnsi="Georgia" w:cs="Arial"/>
          <w:sz w:val="22"/>
          <w:szCs w:val="22"/>
        </w:rPr>
        <w:t xml:space="preserve">Total de consultas de información legislativa y bibliohemerográfica en el Distrito Federal: </w:t>
      </w:r>
      <w:r w:rsidR="00FA456B" w:rsidRPr="008D0F8F">
        <w:rPr>
          <w:rFonts w:ascii="Georgia" w:hAnsi="Georgia" w:cs="Arial"/>
          <w:sz w:val="22"/>
          <w:szCs w:val="22"/>
        </w:rPr>
        <w:t>38</w:t>
      </w:r>
      <w:r w:rsidRPr="008D0F8F">
        <w:rPr>
          <w:rFonts w:ascii="Georgia" w:hAnsi="Georgia" w:cs="Arial"/>
          <w:sz w:val="22"/>
          <w:szCs w:val="22"/>
        </w:rPr>
        <w:t>.</w:t>
      </w:r>
    </w:p>
    <w:p w14:paraId="68614B57" w14:textId="77777777" w:rsidR="008068C9" w:rsidRPr="008D0F8F" w:rsidRDefault="008068C9" w:rsidP="008068C9">
      <w:pPr>
        <w:ind w:left="1080"/>
        <w:jc w:val="both"/>
        <w:rPr>
          <w:rFonts w:ascii="Georgia" w:hAnsi="Georgia" w:cs="Arial"/>
          <w:sz w:val="22"/>
          <w:szCs w:val="22"/>
          <w:lang w:val="es-MX"/>
        </w:rPr>
      </w:pPr>
    </w:p>
    <w:p w14:paraId="779428A9" w14:textId="77777777" w:rsidR="008068C9" w:rsidRPr="008D0F8F" w:rsidRDefault="008068C9" w:rsidP="008068C9">
      <w:pPr>
        <w:ind w:left="1080"/>
        <w:jc w:val="both"/>
        <w:rPr>
          <w:rFonts w:ascii="Georgia" w:hAnsi="Georgia" w:cs="Arial"/>
          <w:sz w:val="22"/>
          <w:szCs w:val="22"/>
          <w:lang w:val="es-MX"/>
        </w:rPr>
      </w:pPr>
    </w:p>
    <w:p w14:paraId="09E8D65B" w14:textId="77777777" w:rsidR="008068C9" w:rsidRPr="008D0F8F"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8D0F8F">
        <w:rPr>
          <w:rFonts w:ascii="Georgia" w:hAnsi="Georgia" w:cs="Arial"/>
          <w:b/>
          <w:sz w:val="22"/>
          <w:szCs w:val="22"/>
        </w:rPr>
        <w:t>Procedimiento Ordinario.</w:t>
      </w:r>
    </w:p>
    <w:p w14:paraId="44741762" w14:textId="77777777" w:rsidR="008068C9" w:rsidRPr="008D0F8F" w:rsidRDefault="008068C9" w:rsidP="008068C9">
      <w:pPr>
        <w:pStyle w:val="Prrafodelista"/>
        <w:ind w:left="1080"/>
        <w:jc w:val="both"/>
        <w:rPr>
          <w:rFonts w:ascii="Georgia" w:hAnsi="Georgia" w:cs="Arial"/>
          <w:sz w:val="22"/>
          <w:szCs w:val="22"/>
        </w:rPr>
      </w:pPr>
    </w:p>
    <w:p w14:paraId="34B1D887" w14:textId="166F34D4" w:rsidR="008F7502" w:rsidRPr="008D0F8F" w:rsidRDefault="008F7502" w:rsidP="008F7502">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Total de solicitudes tramitad</w:t>
      </w:r>
      <w:r w:rsidR="008F7756" w:rsidRPr="008D0F8F">
        <w:rPr>
          <w:rFonts w:ascii="Georgia" w:hAnsi="Georgia" w:cs="Arial"/>
          <w:sz w:val="22"/>
          <w:szCs w:val="22"/>
        </w:rPr>
        <w:t>as ante la Unidad de Enlace</w:t>
      </w:r>
      <w:r w:rsidR="00C85C3E" w:rsidRPr="008D0F8F">
        <w:rPr>
          <w:rFonts w:ascii="Georgia" w:hAnsi="Georgia" w:cs="Arial"/>
          <w:sz w:val="22"/>
          <w:szCs w:val="22"/>
        </w:rPr>
        <w:t xml:space="preserve">: </w:t>
      </w:r>
      <w:r w:rsidR="00C34509" w:rsidRPr="008D0F8F">
        <w:rPr>
          <w:rFonts w:ascii="Georgia" w:hAnsi="Georgia" w:cs="Arial"/>
          <w:sz w:val="22"/>
          <w:szCs w:val="22"/>
        </w:rPr>
        <w:t>4</w:t>
      </w:r>
      <w:r w:rsidR="00385B52" w:rsidRPr="008D0F8F">
        <w:rPr>
          <w:rFonts w:ascii="Georgia" w:hAnsi="Georgia" w:cs="Arial"/>
          <w:sz w:val="22"/>
          <w:szCs w:val="22"/>
        </w:rPr>
        <w:t>98</w:t>
      </w:r>
      <w:r w:rsidRPr="008D0F8F">
        <w:rPr>
          <w:rFonts w:ascii="Georgia" w:hAnsi="Georgia" w:cs="Arial"/>
          <w:sz w:val="22"/>
          <w:szCs w:val="22"/>
        </w:rPr>
        <w:t>.</w:t>
      </w:r>
    </w:p>
    <w:p w14:paraId="25CC894A" w14:textId="77777777" w:rsidR="008F7502" w:rsidRPr="008D0F8F" w:rsidRDefault="008F7502" w:rsidP="008F7502">
      <w:pPr>
        <w:pStyle w:val="Prrafodelista"/>
        <w:ind w:left="1134"/>
        <w:jc w:val="both"/>
        <w:rPr>
          <w:rFonts w:ascii="Georgia" w:hAnsi="Georgia" w:cs="Arial"/>
          <w:sz w:val="22"/>
          <w:szCs w:val="22"/>
        </w:rPr>
      </w:pPr>
    </w:p>
    <w:p w14:paraId="32BB91FB" w14:textId="41E984CD" w:rsidR="008F7502" w:rsidRPr="008D0F8F" w:rsidRDefault="008F7502" w:rsidP="008F7502">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Total de solicitudes canalizadas al Consejo de la Judicatura Federal o algu</w:t>
      </w:r>
      <w:r w:rsidR="00473957" w:rsidRPr="008D0F8F">
        <w:rPr>
          <w:rFonts w:ascii="Georgia" w:hAnsi="Georgia" w:cs="Arial"/>
          <w:sz w:val="22"/>
          <w:szCs w:val="22"/>
        </w:rPr>
        <w:t xml:space="preserve">na otra institución pública: </w:t>
      </w:r>
      <w:r w:rsidR="00385B52" w:rsidRPr="008D0F8F">
        <w:rPr>
          <w:rFonts w:ascii="Georgia" w:hAnsi="Georgia" w:cs="Arial"/>
          <w:sz w:val="22"/>
          <w:szCs w:val="22"/>
        </w:rPr>
        <w:t>91</w:t>
      </w:r>
      <w:r w:rsidRPr="008D0F8F">
        <w:rPr>
          <w:rFonts w:ascii="Georgia" w:hAnsi="Georgia" w:cs="Arial"/>
          <w:sz w:val="22"/>
          <w:szCs w:val="22"/>
        </w:rPr>
        <w:t>.</w:t>
      </w:r>
    </w:p>
    <w:p w14:paraId="60DC2991" w14:textId="77777777" w:rsidR="008F7502" w:rsidRPr="008D0F8F" w:rsidRDefault="008F7502" w:rsidP="008F7502">
      <w:pPr>
        <w:pStyle w:val="Prrafodelista"/>
        <w:ind w:left="1134"/>
        <w:jc w:val="both"/>
        <w:rPr>
          <w:rFonts w:ascii="Georgia" w:hAnsi="Georgia" w:cs="Arial"/>
          <w:sz w:val="22"/>
          <w:szCs w:val="22"/>
        </w:rPr>
      </w:pPr>
    </w:p>
    <w:p w14:paraId="79338247" w14:textId="688EA263" w:rsidR="008F7502" w:rsidRPr="008D0F8F" w:rsidRDefault="008F7502" w:rsidP="008F7502">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 xml:space="preserve">Número de solicitudes que se ordenó su archivo por </w:t>
      </w:r>
      <w:r w:rsidR="0077753B" w:rsidRPr="008D0F8F">
        <w:rPr>
          <w:rFonts w:ascii="Georgia" w:hAnsi="Georgia" w:cs="Arial"/>
          <w:sz w:val="22"/>
          <w:szCs w:val="22"/>
        </w:rPr>
        <w:t xml:space="preserve">no desahogarse la prevención: </w:t>
      </w:r>
      <w:r w:rsidR="00385B52" w:rsidRPr="008D0F8F">
        <w:rPr>
          <w:rFonts w:ascii="Georgia" w:hAnsi="Georgia" w:cs="Arial"/>
          <w:sz w:val="22"/>
          <w:szCs w:val="22"/>
        </w:rPr>
        <w:t>82</w:t>
      </w:r>
      <w:r w:rsidRPr="008D0F8F">
        <w:rPr>
          <w:rFonts w:ascii="Georgia" w:hAnsi="Georgia" w:cs="Arial"/>
          <w:sz w:val="22"/>
          <w:szCs w:val="22"/>
        </w:rPr>
        <w:t>.</w:t>
      </w:r>
    </w:p>
    <w:p w14:paraId="4819DF7E" w14:textId="77777777" w:rsidR="008F7502" w:rsidRPr="008D0F8F" w:rsidRDefault="008F7502" w:rsidP="008F7502">
      <w:pPr>
        <w:pStyle w:val="Prrafodelista"/>
        <w:ind w:left="1134"/>
        <w:jc w:val="both"/>
        <w:rPr>
          <w:rFonts w:ascii="Georgia" w:hAnsi="Georgia" w:cs="Arial"/>
          <w:sz w:val="22"/>
          <w:szCs w:val="22"/>
        </w:rPr>
      </w:pPr>
    </w:p>
    <w:p w14:paraId="239FCECD" w14:textId="7F5FC49F" w:rsidR="008F7502" w:rsidRPr="008D0F8F" w:rsidRDefault="008F7502" w:rsidP="008F7502">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Total de solicitudes tramitadas media</w:t>
      </w:r>
      <w:r w:rsidR="00F535C7" w:rsidRPr="008D0F8F">
        <w:rPr>
          <w:rFonts w:ascii="Georgia" w:hAnsi="Georgia" w:cs="Arial"/>
          <w:sz w:val="22"/>
          <w:szCs w:val="22"/>
        </w:rPr>
        <w:t>nte procedimiento ordinari</w:t>
      </w:r>
      <w:r w:rsidR="00C26301" w:rsidRPr="008D0F8F">
        <w:rPr>
          <w:rFonts w:ascii="Georgia" w:hAnsi="Georgia" w:cs="Arial"/>
          <w:sz w:val="22"/>
          <w:szCs w:val="22"/>
        </w:rPr>
        <w:t xml:space="preserve">o: </w:t>
      </w:r>
      <w:r w:rsidR="00385B52" w:rsidRPr="008D0F8F">
        <w:rPr>
          <w:rFonts w:ascii="Georgia" w:hAnsi="Georgia" w:cs="Arial"/>
          <w:sz w:val="22"/>
          <w:szCs w:val="22"/>
        </w:rPr>
        <w:t>322</w:t>
      </w:r>
      <w:r w:rsidRPr="008D0F8F">
        <w:rPr>
          <w:rFonts w:ascii="Georgia" w:hAnsi="Georgia" w:cs="Arial"/>
          <w:sz w:val="22"/>
          <w:szCs w:val="22"/>
        </w:rPr>
        <w:t>.</w:t>
      </w:r>
    </w:p>
    <w:p w14:paraId="44CD42C6" w14:textId="77777777" w:rsidR="008F7502" w:rsidRPr="008D0F8F" w:rsidRDefault="008F7502" w:rsidP="008F7502">
      <w:pPr>
        <w:ind w:left="1080"/>
        <w:jc w:val="both"/>
        <w:rPr>
          <w:rFonts w:ascii="Georgia" w:hAnsi="Georgia" w:cs="Arial"/>
          <w:sz w:val="22"/>
          <w:szCs w:val="22"/>
          <w:lang w:val="es-MX"/>
        </w:rPr>
      </w:pPr>
    </w:p>
    <w:p w14:paraId="11877788" w14:textId="2D7E77AA" w:rsidR="008F7502" w:rsidRPr="008D0F8F" w:rsidRDefault="008F7502" w:rsidP="008F7502">
      <w:pPr>
        <w:pStyle w:val="Prrafodelista"/>
        <w:numPr>
          <w:ilvl w:val="0"/>
          <w:numId w:val="8"/>
        </w:numPr>
        <w:ind w:left="1560"/>
        <w:contextualSpacing w:val="0"/>
        <w:jc w:val="both"/>
        <w:rPr>
          <w:rFonts w:ascii="Georgia" w:hAnsi="Georgia" w:cs="Arial"/>
          <w:sz w:val="22"/>
          <w:szCs w:val="22"/>
        </w:rPr>
      </w:pPr>
      <w:r w:rsidRPr="008D0F8F">
        <w:rPr>
          <w:rFonts w:ascii="Georgia" w:hAnsi="Georgia" w:cs="Arial"/>
          <w:sz w:val="22"/>
          <w:szCs w:val="22"/>
        </w:rPr>
        <w:t>Solicitudes de información tramitadas mediante el procedimiento ordinario cuya naturaleza es de carácte</w:t>
      </w:r>
      <w:r w:rsidR="00214077" w:rsidRPr="008D0F8F">
        <w:rPr>
          <w:rFonts w:ascii="Georgia" w:hAnsi="Georgia" w:cs="Arial"/>
          <w:sz w:val="22"/>
          <w:szCs w:val="22"/>
        </w:rPr>
        <w:t>r administrativo</w:t>
      </w:r>
      <w:r w:rsidR="00D105FB" w:rsidRPr="008D0F8F">
        <w:rPr>
          <w:rFonts w:ascii="Georgia" w:hAnsi="Georgia" w:cs="Arial"/>
          <w:sz w:val="22"/>
          <w:szCs w:val="22"/>
        </w:rPr>
        <w:t xml:space="preserve">: </w:t>
      </w:r>
      <w:r w:rsidR="00385B52" w:rsidRPr="008D0F8F">
        <w:rPr>
          <w:rFonts w:ascii="Georgia" w:hAnsi="Georgia" w:cs="Arial"/>
          <w:sz w:val="22"/>
          <w:szCs w:val="22"/>
        </w:rPr>
        <w:t>87</w:t>
      </w:r>
      <w:r w:rsidRPr="008D0F8F">
        <w:rPr>
          <w:rFonts w:ascii="Georgia" w:hAnsi="Georgia" w:cs="Arial"/>
          <w:sz w:val="22"/>
          <w:szCs w:val="22"/>
        </w:rPr>
        <w:t>.</w:t>
      </w:r>
    </w:p>
    <w:p w14:paraId="15014878" w14:textId="77777777" w:rsidR="008F7502" w:rsidRPr="008D0F8F" w:rsidRDefault="008F7502" w:rsidP="008F7502">
      <w:pPr>
        <w:pStyle w:val="Prrafodelista"/>
        <w:ind w:left="1560"/>
        <w:jc w:val="both"/>
        <w:rPr>
          <w:rFonts w:ascii="Georgia" w:hAnsi="Georgia" w:cs="Arial"/>
          <w:sz w:val="22"/>
          <w:szCs w:val="22"/>
        </w:rPr>
      </w:pPr>
    </w:p>
    <w:p w14:paraId="6D45CF93" w14:textId="09C12977" w:rsidR="008F7502" w:rsidRPr="008D0F8F" w:rsidRDefault="008F7502" w:rsidP="008F7502">
      <w:pPr>
        <w:pStyle w:val="Prrafodelista"/>
        <w:numPr>
          <w:ilvl w:val="0"/>
          <w:numId w:val="8"/>
        </w:numPr>
        <w:ind w:left="1560"/>
        <w:contextualSpacing w:val="0"/>
        <w:jc w:val="both"/>
        <w:rPr>
          <w:rFonts w:ascii="Georgia" w:hAnsi="Georgia" w:cs="Arial"/>
          <w:sz w:val="22"/>
          <w:szCs w:val="22"/>
        </w:rPr>
      </w:pPr>
      <w:r w:rsidRPr="008D0F8F">
        <w:rPr>
          <w:rFonts w:ascii="Georgia" w:hAnsi="Georgia" w:cs="Arial"/>
          <w:sz w:val="22"/>
          <w:szCs w:val="22"/>
        </w:rPr>
        <w:t>Solicitudes de información tramitadas mediante el procedimiento ordinario cuya naturaleza e</w:t>
      </w:r>
      <w:r w:rsidR="00214077" w:rsidRPr="008D0F8F">
        <w:rPr>
          <w:rFonts w:ascii="Georgia" w:hAnsi="Georgia" w:cs="Arial"/>
          <w:sz w:val="22"/>
          <w:szCs w:val="22"/>
        </w:rPr>
        <w:t>s de carácter jurisdiccional</w:t>
      </w:r>
      <w:r w:rsidR="008B0BA3" w:rsidRPr="008D0F8F">
        <w:rPr>
          <w:rFonts w:ascii="Georgia" w:hAnsi="Georgia" w:cs="Arial"/>
          <w:sz w:val="22"/>
          <w:szCs w:val="22"/>
        </w:rPr>
        <w:t xml:space="preserve">: </w:t>
      </w:r>
      <w:r w:rsidR="00385B52" w:rsidRPr="008D0F8F">
        <w:rPr>
          <w:rFonts w:ascii="Georgia" w:hAnsi="Georgia" w:cs="Arial"/>
          <w:sz w:val="22"/>
          <w:szCs w:val="22"/>
        </w:rPr>
        <w:t>235</w:t>
      </w:r>
      <w:r w:rsidRPr="008D0F8F">
        <w:rPr>
          <w:rFonts w:ascii="Georgia" w:hAnsi="Georgia" w:cs="Arial"/>
          <w:sz w:val="22"/>
          <w:szCs w:val="22"/>
        </w:rPr>
        <w:t>.</w:t>
      </w:r>
    </w:p>
    <w:p w14:paraId="2A392C25" w14:textId="77777777" w:rsidR="008F7502" w:rsidRPr="000C3A57" w:rsidRDefault="008F7502" w:rsidP="00C108E5">
      <w:pPr>
        <w:jc w:val="both"/>
        <w:rPr>
          <w:rFonts w:ascii="Georgia" w:hAnsi="Georgia" w:cs="Arial"/>
          <w:sz w:val="22"/>
          <w:szCs w:val="22"/>
          <w:lang w:val="es-MX"/>
        </w:rPr>
      </w:pPr>
    </w:p>
    <w:p w14:paraId="6E5F5716" w14:textId="086E9FC0" w:rsidR="008F7502" w:rsidRPr="008D0F8F"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0C3A57">
        <w:rPr>
          <w:rFonts w:ascii="Georgia" w:hAnsi="Georgia" w:cs="Arial"/>
          <w:sz w:val="22"/>
          <w:szCs w:val="22"/>
        </w:rPr>
        <w:t xml:space="preserve"> Salas de este Alto Tribunal</w:t>
      </w:r>
      <w:r w:rsidR="00845589" w:rsidRPr="008D0F8F">
        <w:rPr>
          <w:rFonts w:ascii="Georgia" w:hAnsi="Georgia" w:cs="Arial"/>
          <w:sz w:val="22"/>
          <w:szCs w:val="22"/>
        </w:rPr>
        <w:t xml:space="preserve">: </w:t>
      </w:r>
      <w:r w:rsidR="00E4350F" w:rsidRPr="008D0F8F">
        <w:rPr>
          <w:rFonts w:ascii="Georgia" w:hAnsi="Georgia" w:cs="Arial"/>
          <w:sz w:val="22"/>
          <w:szCs w:val="22"/>
        </w:rPr>
        <w:t xml:space="preserve"> </w:t>
      </w:r>
      <w:r w:rsidR="009E6258" w:rsidRPr="008D0F8F">
        <w:rPr>
          <w:rFonts w:ascii="Georgia" w:hAnsi="Georgia" w:cs="Arial"/>
          <w:sz w:val="22"/>
          <w:szCs w:val="22"/>
        </w:rPr>
        <w:t>48</w:t>
      </w:r>
      <w:r w:rsidRPr="008D0F8F">
        <w:rPr>
          <w:rFonts w:ascii="Georgia" w:hAnsi="Georgia" w:cs="Arial"/>
          <w:sz w:val="22"/>
          <w:szCs w:val="22"/>
        </w:rPr>
        <w:t>.</w:t>
      </w:r>
    </w:p>
    <w:p w14:paraId="5A9CEA6A" w14:textId="77777777" w:rsidR="008F7502" w:rsidRPr="008D0F8F" w:rsidRDefault="008F7502" w:rsidP="008F7502">
      <w:pPr>
        <w:ind w:left="1080"/>
        <w:jc w:val="both"/>
        <w:rPr>
          <w:rFonts w:ascii="Georgia" w:hAnsi="Georgia" w:cs="Arial"/>
          <w:sz w:val="22"/>
          <w:szCs w:val="22"/>
          <w:lang w:val="es-MX"/>
        </w:rPr>
      </w:pPr>
    </w:p>
    <w:p w14:paraId="50D9D56D" w14:textId="0DA4DFE0" w:rsidR="009940CE" w:rsidRPr="008D0F8F" w:rsidRDefault="008F7502" w:rsidP="008F7502">
      <w:pPr>
        <w:pStyle w:val="Prrafodelista"/>
        <w:numPr>
          <w:ilvl w:val="0"/>
          <w:numId w:val="7"/>
        </w:numPr>
        <w:ind w:left="1134"/>
        <w:contextualSpacing w:val="0"/>
        <w:jc w:val="both"/>
        <w:rPr>
          <w:rFonts w:ascii="Georgia" w:hAnsi="Georgia" w:cs="Arial"/>
          <w:sz w:val="22"/>
          <w:szCs w:val="22"/>
        </w:rPr>
      </w:pPr>
      <w:r w:rsidRPr="008D0F8F">
        <w:rPr>
          <w:rFonts w:ascii="Georgia" w:hAnsi="Georgia" w:cs="Arial"/>
          <w:sz w:val="22"/>
          <w:szCs w:val="22"/>
        </w:rPr>
        <w:t>Solicitudes de acceso, rectificación, cancelación u oposición a la pu</w:t>
      </w:r>
      <w:r w:rsidR="007D3306" w:rsidRPr="008D0F8F">
        <w:rPr>
          <w:rFonts w:ascii="Georgia" w:hAnsi="Georgia" w:cs="Arial"/>
          <w:sz w:val="22"/>
          <w:szCs w:val="22"/>
        </w:rPr>
        <w:t>blicación de datos personales</w:t>
      </w:r>
      <w:r w:rsidR="00A816B8" w:rsidRPr="008D0F8F">
        <w:rPr>
          <w:rFonts w:ascii="Georgia" w:hAnsi="Georgia" w:cs="Arial"/>
          <w:sz w:val="22"/>
          <w:szCs w:val="22"/>
        </w:rPr>
        <w:t xml:space="preserve">: </w:t>
      </w:r>
      <w:r w:rsidR="009E6258" w:rsidRPr="008D0F8F">
        <w:rPr>
          <w:rFonts w:ascii="Georgia" w:hAnsi="Georgia" w:cs="Arial"/>
          <w:sz w:val="22"/>
          <w:szCs w:val="22"/>
        </w:rPr>
        <w:t>3</w:t>
      </w:r>
      <w:r w:rsidRPr="008D0F8F">
        <w:rPr>
          <w:rFonts w:ascii="Georgia" w:hAnsi="Georgia" w:cs="Arial"/>
          <w:sz w:val="22"/>
          <w:szCs w:val="22"/>
        </w:rPr>
        <w:t>.</w:t>
      </w:r>
    </w:p>
    <w:p w14:paraId="4FDD862C" w14:textId="77777777" w:rsidR="009940CE" w:rsidRPr="008D0F8F" w:rsidRDefault="009940CE" w:rsidP="008068C9">
      <w:pPr>
        <w:ind w:left="1080"/>
        <w:jc w:val="both"/>
        <w:rPr>
          <w:rFonts w:ascii="Georgia" w:hAnsi="Georgia" w:cs="Arial"/>
          <w:sz w:val="22"/>
          <w:szCs w:val="22"/>
          <w:lang w:val="es-MX"/>
        </w:rPr>
      </w:pPr>
    </w:p>
    <w:bookmarkEnd w:id="1"/>
    <w:p w14:paraId="00711C15" w14:textId="77777777" w:rsidR="009940CE" w:rsidRPr="008D0F8F" w:rsidRDefault="009940CE" w:rsidP="008068C9">
      <w:pPr>
        <w:ind w:left="1080"/>
        <w:jc w:val="both"/>
        <w:rPr>
          <w:rFonts w:ascii="Georgia" w:hAnsi="Georgia" w:cs="Arial"/>
          <w:sz w:val="22"/>
          <w:szCs w:val="22"/>
          <w:lang w:val="es-MX"/>
        </w:rPr>
      </w:pPr>
    </w:p>
    <w:p w14:paraId="0E4EF9CB" w14:textId="77777777" w:rsidR="008068C9" w:rsidRPr="008D0F8F"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8D0F8F">
        <w:rPr>
          <w:rFonts w:ascii="Georgia" w:hAnsi="Georgia" w:cs="Arial"/>
          <w:b/>
          <w:sz w:val="22"/>
          <w:szCs w:val="22"/>
        </w:rPr>
        <w:t xml:space="preserve">Comité de </w:t>
      </w:r>
      <w:r w:rsidR="00417C2B" w:rsidRPr="008D0F8F">
        <w:rPr>
          <w:rFonts w:ascii="Georgia" w:hAnsi="Georgia" w:cs="Arial"/>
          <w:b/>
          <w:sz w:val="22"/>
          <w:szCs w:val="22"/>
        </w:rPr>
        <w:t>Transparencia</w:t>
      </w:r>
      <w:r w:rsidRPr="008D0F8F">
        <w:rPr>
          <w:rFonts w:ascii="Georgia" w:hAnsi="Georgia" w:cs="Arial"/>
          <w:b/>
          <w:sz w:val="22"/>
          <w:szCs w:val="22"/>
        </w:rPr>
        <w:t>.</w:t>
      </w:r>
    </w:p>
    <w:p w14:paraId="06D1A203" w14:textId="77777777" w:rsidR="008068C9" w:rsidRPr="008D0F8F" w:rsidRDefault="008068C9" w:rsidP="008068C9">
      <w:pPr>
        <w:ind w:left="1080"/>
        <w:jc w:val="both"/>
        <w:rPr>
          <w:rFonts w:ascii="Georgia" w:hAnsi="Georgia" w:cs="Arial"/>
          <w:b/>
          <w:sz w:val="22"/>
          <w:szCs w:val="22"/>
          <w:lang w:val="es-MX"/>
        </w:rPr>
      </w:pPr>
    </w:p>
    <w:p w14:paraId="33411416" w14:textId="4323BDC0" w:rsidR="008068C9" w:rsidRPr="008D0F8F" w:rsidRDefault="008068C9" w:rsidP="008068C9">
      <w:pPr>
        <w:numPr>
          <w:ilvl w:val="1"/>
          <w:numId w:val="5"/>
        </w:numPr>
        <w:jc w:val="both"/>
        <w:rPr>
          <w:rFonts w:ascii="Georgia" w:hAnsi="Georgia" w:cs="Arial"/>
          <w:b/>
          <w:sz w:val="22"/>
          <w:szCs w:val="22"/>
          <w:lang w:val="es-MX"/>
        </w:rPr>
      </w:pPr>
      <w:r w:rsidRPr="008D0F8F">
        <w:rPr>
          <w:rFonts w:ascii="Georgia" w:hAnsi="Georgia" w:cs="Arial"/>
          <w:sz w:val="22"/>
          <w:szCs w:val="22"/>
          <w:lang w:val="es-MX"/>
        </w:rPr>
        <w:t>Expedientes turnados</w:t>
      </w:r>
      <w:r w:rsidR="00727BA0" w:rsidRPr="008D0F8F">
        <w:rPr>
          <w:rFonts w:ascii="Georgia" w:hAnsi="Georgia" w:cs="Arial"/>
          <w:sz w:val="22"/>
          <w:szCs w:val="22"/>
          <w:lang w:val="es-MX"/>
        </w:rPr>
        <w:t xml:space="preserve"> </w:t>
      </w:r>
      <w:r w:rsidR="006B2765" w:rsidRPr="008D0F8F">
        <w:rPr>
          <w:rFonts w:ascii="Georgia" w:hAnsi="Georgia" w:cs="Arial"/>
          <w:sz w:val="22"/>
          <w:szCs w:val="22"/>
          <w:lang w:val="es-MX"/>
        </w:rPr>
        <w:t xml:space="preserve">al </w:t>
      </w:r>
      <w:r w:rsidR="00727BA0" w:rsidRPr="008D0F8F">
        <w:rPr>
          <w:rFonts w:ascii="Georgia" w:hAnsi="Georgia" w:cs="Arial"/>
          <w:sz w:val="22"/>
          <w:szCs w:val="22"/>
          <w:lang w:val="es-MX"/>
        </w:rPr>
        <w:t>Comité</w:t>
      </w:r>
      <w:r w:rsidRPr="008D0F8F">
        <w:rPr>
          <w:rFonts w:ascii="Georgia" w:hAnsi="Georgia" w:cs="Arial"/>
          <w:sz w:val="22"/>
          <w:szCs w:val="22"/>
          <w:lang w:val="es-MX"/>
        </w:rPr>
        <w:t xml:space="preserve">: </w:t>
      </w:r>
      <w:r w:rsidR="009D2422" w:rsidRPr="008D0F8F">
        <w:rPr>
          <w:rFonts w:ascii="Georgia" w:hAnsi="Georgia" w:cs="Arial"/>
          <w:sz w:val="22"/>
          <w:szCs w:val="22"/>
          <w:lang w:val="es-MX"/>
        </w:rPr>
        <w:t>23</w:t>
      </w:r>
      <w:r w:rsidRPr="008D0F8F">
        <w:rPr>
          <w:rFonts w:ascii="Georgia" w:hAnsi="Georgia" w:cs="Arial"/>
          <w:sz w:val="22"/>
          <w:szCs w:val="22"/>
          <w:lang w:val="es-MX"/>
        </w:rPr>
        <w:t>.</w:t>
      </w:r>
    </w:p>
    <w:p w14:paraId="62AC5AA8" w14:textId="77777777" w:rsidR="006B2765" w:rsidRPr="008D0F8F" w:rsidRDefault="006B2765" w:rsidP="006B2765">
      <w:pPr>
        <w:ind w:left="1440"/>
        <w:jc w:val="both"/>
        <w:rPr>
          <w:rFonts w:ascii="Georgia" w:hAnsi="Georgia" w:cs="Arial"/>
          <w:b/>
          <w:sz w:val="22"/>
          <w:szCs w:val="22"/>
          <w:lang w:val="es-MX"/>
        </w:rPr>
      </w:pPr>
    </w:p>
    <w:p w14:paraId="091ECC3E" w14:textId="5CDA0AB0" w:rsidR="008068C9" w:rsidRPr="008D0F8F" w:rsidRDefault="008068C9" w:rsidP="008068C9">
      <w:pPr>
        <w:numPr>
          <w:ilvl w:val="1"/>
          <w:numId w:val="5"/>
        </w:numPr>
        <w:jc w:val="both"/>
        <w:rPr>
          <w:rFonts w:ascii="Georgia" w:hAnsi="Georgia" w:cs="Arial"/>
          <w:sz w:val="22"/>
          <w:szCs w:val="22"/>
          <w:lang w:val="es-MX"/>
        </w:rPr>
      </w:pPr>
      <w:r w:rsidRPr="008D0F8F">
        <w:rPr>
          <w:rFonts w:ascii="Georgia" w:hAnsi="Georgia" w:cs="Arial"/>
          <w:sz w:val="22"/>
          <w:szCs w:val="22"/>
          <w:lang w:val="es-MX"/>
        </w:rPr>
        <w:t>Clasificaciones de información</w:t>
      </w:r>
      <w:r w:rsidR="00640E48" w:rsidRPr="008D0F8F">
        <w:rPr>
          <w:rFonts w:ascii="Georgia" w:hAnsi="Georgia" w:cs="Arial"/>
          <w:sz w:val="22"/>
          <w:szCs w:val="22"/>
          <w:lang w:val="es-MX"/>
        </w:rPr>
        <w:t xml:space="preserve"> resueltas</w:t>
      </w:r>
      <w:r w:rsidRPr="008D0F8F">
        <w:rPr>
          <w:rFonts w:ascii="Georgia" w:hAnsi="Georgia" w:cs="Arial"/>
          <w:sz w:val="22"/>
          <w:szCs w:val="22"/>
          <w:lang w:val="es-MX"/>
        </w:rPr>
        <w:t>:</w:t>
      </w:r>
      <w:r w:rsidR="00350507" w:rsidRPr="008D0F8F">
        <w:rPr>
          <w:rFonts w:ascii="Georgia" w:hAnsi="Georgia" w:cs="Arial"/>
          <w:sz w:val="22"/>
          <w:szCs w:val="22"/>
          <w:lang w:val="es-MX"/>
        </w:rPr>
        <w:t xml:space="preserve"> </w:t>
      </w:r>
      <w:r w:rsidR="009D2422" w:rsidRPr="008D0F8F">
        <w:rPr>
          <w:rFonts w:ascii="Georgia" w:hAnsi="Georgia" w:cs="Arial"/>
          <w:sz w:val="22"/>
          <w:szCs w:val="22"/>
          <w:lang w:val="es-MX"/>
        </w:rPr>
        <w:t>20</w:t>
      </w:r>
      <w:r w:rsidRPr="008D0F8F">
        <w:rPr>
          <w:rFonts w:ascii="Georgia" w:hAnsi="Georgia" w:cs="Arial"/>
          <w:sz w:val="22"/>
          <w:szCs w:val="22"/>
          <w:lang w:val="es-MX"/>
        </w:rPr>
        <w:t>.</w:t>
      </w:r>
    </w:p>
    <w:bookmarkEnd w:id="2"/>
    <w:p w14:paraId="7D8E2336" w14:textId="77777777" w:rsidR="008068C9" w:rsidRPr="008D0F8F" w:rsidRDefault="008068C9" w:rsidP="008068C9">
      <w:pPr>
        <w:pStyle w:val="Prrafodelista"/>
        <w:jc w:val="both"/>
        <w:rPr>
          <w:rFonts w:ascii="Georgia" w:hAnsi="Georgia" w:cs="Arial"/>
          <w:b/>
          <w:sz w:val="22"/>
          <w:szCs w:val="22"/>
        </w:rPr>
      </w:pPr>
    </w:p>
    <w:p w14:paraId="50E9D3C4" w14:textId="77777777" w:rsidR="008068C9" w:rsidRPr="008D0F8F" w:rsidRDefault="008068C9" w:rsidP="008068C9">
      <w:pPr>
        <w:pStyle w:val="Prrafodelista"/>
        <w:jc w:val="both"/>
        <w:rPr>
          <w:rFonts w:ascii="Georgia" w:hAnsi="Georgia" w:cs="Arial"/>
          <w:b/>
          <w:sz w:val="22"/>
          <w:szCs w:val="22"/>
        </w:rPr>
      </w:pPr>
    </w:p>
    <w:p w14:paraId="356DD780" w14:textId="77777777" w:rsidR="008068C9" w:rsidRPr="008D0F8F" w:rsidRDefault="00417C2B" w:rsidP="008068C9">
      <w:pPr>
        <w:pStyle w:val="Prrafodelista"/>
        <w:numPr>
          <w:ilvl w:val="0"/>
          <w:numId w:val="6"/>
        </w:numPr>
        <w:contextualSpacing w:val="0"/>
        <w:jc w:val="both"/>
        <w:rPr>
          <w:rFonts w:ascii="Georgia" w:hAnsi="Georgia" w:cs="Arial"/>
          <w:b/>
          <w:sz w:val="22"/>
          <w:szCs w:val="22"/>
        </w:rPr>
      </w:pPr>
      <w:r w:rsidRPr="008D0F8F">
        <w:rPr>
          <w:rFonts w:ascii="Georgia" w:hAnsi="Georgia" w:cs="Arial"/>
          <w:b/>
          <w:sz w:val="22"/>
          <w:szCs w:val="22"/>
        </w:rPr>
        <w:t>Comité Especializado</w:t>
      </w:r>
      <w:r w:rsidR="008068C9" w:rsidRPr="008D0F8F">
        <w:rPr>
          <w:rFonts w:ascii="Georgia" w:hAnsi="Georgia" w:cs="Arial"/>
          <w:b/>
          <w:sz w:val="22"/>
          <w:szCs w:val="22"/>
        </w:rPr>
        <w:t>.</w:t>
      </w:r>
    </w:p>
    <w:p w14:paraId="51F12669" w14:textId="77777777" w:rsidR="008068C9" w:rsidRPr="008D0F8F" w:rsidRDefault="008068C9" w:rsidP="008068C9">
      <w:pPr>
        <w:pStyle w:val="Prrafodelista"/>
        <w:rPr>
          <w:rFonts w:ascii="Georgia" w:hAnsi="Georgia" w:cs="Arial"/>
          <w:sz w:val="22"/>
          <w:szCs w:val="22"/>
        </w:rPr>
      </w:pPr>
    </w:p>
    <w:p w14:paraId="2B5B6CFA" w14:textId="0E7C8D33" w:rsidR="008068C9" w:rsidRPr="008D0F8F" w:rsidRDefault="008068C9" w:rsidP="008068C9">
      <w:pPr>
        <w:numPr>
          <w:ilvl w:val="1"/>
          <w:numId w:val="5"/>
        </w:numPr>
        <w:jc w:val="both"/>
        <w:rPr>
          <w:rFonts w:ascii="Georgia" w:hAnsi="Georgia" w:cs="Arial"/>
          <w:sz w:val="22"/>
          <w:szCs w:val="22"/>
        </w:rPr>
      </w:pPr>
      <w:r w:rsidRPr="008D0F8F">
        <w:rPr>
          <w:rFonts w:ascii="Georgia" w:hAnsi="Georgia" w:cs="Arial"/>
          <w:sz w:val="22"/>
          <w:szCs w:val="22"/>
        </w:rPr>
        <w:t xml:space="preserve">Recursos de </w:t>
      </w:r>
      <w:r w:rsidR="008956EE" w:rsidRPr="008D0F8F">
        <w:rPr>
          <w:rFonts w:ascii="Georgia" w:hAnsi="Georgia" w:cs="Arial"/>
          <w:sz w:val="22"/>
          <w:szCs w:val="22"/>
        </w:rPr>
        <w:t>r</w:t>
      </w:r>
      <w:r w:rsidRPr="008D0F8F">
        <w:rPr>
          <w:rFonts w:ascii="Georgia" w:hAnsi="Georgia" w:cs="Arial"/>
          <w:sz w:val="22"/>
          <w:szCs w:val="22"/>
        </w:rPr>
        <w:t xml:space="preserve">evisión interpuestos: </w:t>
      </w:r>
      <w:r w:rsidR="00293F50" w:rsidRPr="008D0F8F">
        <w:rPr>
          <w:rFonts w:ascii="Georgia" w:hAnsi="Georgia" w:cs="Arial"/>
          <w:sz w:val="22"/>
          <w:szCs w:val="22"/>
        </w:rPr>
        <w:t>22</w:t>
      </w:r>
      <w:r w:rsidRPr="008D0F8F">
        <w:rPr>
          <w:rFonts w:ascii="Georgia" w:hAnsi="Georgia" w:cs="Arial"/>
          <w:sz w:val="22"/>
          <w:szCs w:val="22"/>
        </w:rPr>
        <w:t>.</w:t>
      </w:r>
    </w:p>
    <w:p w14:paraId="6D707CB2" w14:textId="77777777" w:rsidR="00693E25" w:rsidRPr="008D0F8F" w:rsidRDefault="00693E25" w:rsidP="00693E25">
      <w:pPr>
        <w:ind w:left="1440"/>
        <w:jc w:val="both"/>
        <w:rPr>
          <w:rFonts w:asciiTheme="majorHAnsi" w:hAnsiTheme="majorHAnsi" w:cs="Arial"/>
          <w:sz w:val="22"/>
          <w:szCs w:val="22"/>
          <w:lang w:val="es-MX"/>
        </w:rPr>
      </w:pPr>
    </w:p>
    <w:p w14:paraId="0F6CBC9E" w14:textId="7E087DA9" w:rsidR="00693E25" w:rsidRPr="008D0F8F" w:rsidRDefault="00693E25" w:rsidP="00693E25">
      <w:pPr>
        <w:numPr>
          <w:ilvl w:val="1"/>
          <w:numId w:val="5"/>
        </w:numPr>
        <w:jc w:val="both"/>
        <w:rPr>
          <w:rFonts w:asciiTheme="majorHAnsi" w:hAnsiTheme="majorHAnsi" w:cs="Arial"/>
          <w:sz w:val="22"/>
          <w:szCs w:val="22"/>
          <w:lang w:val="es-MX"/>
        </w:rPr>
      </w:pPr>
      <w:r w:rsidRPr="008D0F8F">
        <w:rPr>
          <w:rFonts w:asciiTheme="majorHAnsi" w:hAnsiTheme="majorHAnsi" w:cs="Arial"/>
          <w:sz w:val="22"/>
          <w:szCs w:val="22"/>
          <w:lang w:val="es-MX"/>
        </w:rPr>
        <w:t xml:space="preserve">Recursos de </w:t>
      </w:r>
      <w:r w:rsidR="008956EE" w:rsidRPr="008D0F8F">
        <w:rPr>
          <w:rFonts w:asciiTheme="majorHAnsi" w:hAnsiTheme="majorHAnsi" w:cs="Arial"/>
          <w:sz w:val="22"/>
          <w:szCs w:val="22"/>
          <w:lang w:val="es-MX"/>
        </w:rPr>
        <w:t>r</w:t>
      </w:r>
      <w:r w:rsidRPr="008D0F8F">
        <w:rPr>
          <w:rFonts w:asciiTheme="majorHAnsi" w:hAnsiTheme="majorHAnsi" w:cs="Arial"/>
          <w:sz w:val="22"/>
          <w:szCs w:val="22"/>
          <w:lang w:val="es-MX"/>
        </w:rPr>
        <w:t xml:space="preserve">evisión promovidos en contra de resoluciones del Comité de </w:t>
      </w:r>
      <w:r w:rsidR="00417C2B" w:rsidRPr="008D0F8F">
        <w:rPr>
          <w:rFonts w:asciiTheme="majorHAnsi" w:hAnsiTheme="majorHAnsi" w:cs="Arial"/>
          <w:sz w:val="22"/>
          <w:szCs w:val="22"/>
          <w:lang w:val="es-MX"/>
        </w:rPr>
        <w:t>Transparencia</w:t>
      </w:r>
      <w:r w:rsidRPr="008D0F8F">
        <w:rPr>
          <w:rFonts w:asciiTheme="majorHAnsi" w:hAnsiTheme="majorHAnsi" w:cs="Arial"/>
          <w:sz w:val="22"/>
          <w:szCs w:val="22"/>
          <w:lang w:val="es-MX"/>
        </w:rPr>
        <w:t xml:space="preserve">: </w:t>
      </w:r>
      <w:r w:rsidR="00293F50" w:rsidRPr="008D0F8F">
        <w:rPr>
          <w:rFonts w:asciiTheme="majorHAnsi" w:hAnsiTheme="majorHAnsi" w:cs="Arial"/>
          <w:sz w:val="22"/>
          <w:szCs w:val="22"/>
          <w:lang w:val="es-MX"/>
        </w:rPr>
        <w:t>5</w:t>
      </w:r>
      <w:r w:rsidRPr="008D0F8F">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2397" w14:textId="77777777" w:rsidR="00A656DF" w:rsidRDefault="00A656DF" w:rsidP="000B572B">
      <w:r>
        <w:separator/>
      </w:r>
    </w:p>
  </w:endnote>
  <w:endnote w:type="continuationSeparator" w:id="0">
    <w:p w14:paraId="4E1D4944" w14:textId="77777777" w:rsidR="00A656DF" w:rsidRDefault="00A656DF"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A656DF">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33D4" w14:textId="77777777" w:rsidR="00A656DF" w:rsidRDefault="00A656DF" w:rsidP="000B572B">
      <w:r>
        <w:separator/>
      </w:r>
    </w:p>
  </w:footnote>
  <w:footnote w:type="continuationSeparator" w:id="0">
    <w:p w14:paraId="0233C9B0" w14:textId="77777777" w:rsidR="00A656DF" w:rsidRDefault="00A656DF" w:rsidP="000B572B">
      <w:r>
        <w:continuationSeparator/>
      </w:r>
    </w:p>
  </w:footnote>
  <w:footnote w:id="1">
    <w:p w14:paraId="4BBBA421" w14:textId="175FC010"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2C2B89">
        <w:rPr>
          <w:rFonts w:ascii="Arial" w:hAnsi="Arial" w:cs="Arial"/>
          <w:sz w:val="16"/>
          <w:szCs w:val="16"/>
          <w:lang w:val="es-MX"/>
        </w:rPr>
        <w:t xml:space="preserve">procedimiento </w:t>
      </w:r>
      <w:r w:rsidRPr="008D0F8F">
        <w:rPr>
          <w:rFonts w:ascii="Arial" w:hAnsi="Arial" w:cs="Arial"/>
          <w:sz w:val="16"/>
          <w:szCs w:val="16"/>
          <w:lang w:val="es-MX"/>
        </w:rPr>
        <w:t xml:space="preserve">sumario </w:t>
      </w:r>
      <w:r w:rsidR="004B3F0A" w:rsidRPr="008D0F8F">
        <w:rPr>
          <w:rFonts w:ascii="Arial" w:hAnsi="Arial" w:cs="Arial"/>
          <w:sz w:val="16"/>
          <w:szCs w:val="16"/>
          <w:lang w:val="es-MX"/>
        </w:rPr>
        <w:t>(</w:t>
      </w:r>
      <w:r w:rsidR="008166B2" w:rsidRPr="008D0F8F">
        <w:rPr>
          <w:rFonts w:ascii="Arial" w:hAnsi="Arial" w:cs="Arial"/>
          <w:sz w:val="16"/>
          <w:szCs w:val="16"/>
          <w:lang w:val="es-MX"/>
        </w:rPr>
        <w:t>1</w:t>
      </w:r>
      <w:r w:rsidR="00FE3DFC" w:rsidRPr="008D0F8F">
        <w:rPr>
          <w:rFonts w:ascii="Arial" w:hAnsi="Arial" w:cs="Arial"/>
          <w:sz w:val="16"/>
          <w:szCs w:val="16"/>
          <w:lang w:val="es-MX"/>
        </w:rPr>
        <w:t>6</w:t>
      </w:r>
      <w:r w:rsidR="00966A4C" w:rsidRPr="008D0F8F">
        <w:rPr>
          <w:rFonts w:ascii="Arial" w:hAnsi="Arial" w:cs="Arial"/>
          <w:sz w:val="16"/>
          <w:szCs w:val="16"/>
          <w:lang w:val="es-MX"/>
        </w:rPr>
        <w:t>,</w:t>
      </w:r>
      <w:r w:rsidR="00E2428A" w:rsidRPr="008D0F8F">
        <w:rPr>
          <w:rFonts w:ascii="Arial" w:hAnsi="Arial" w:cs="Arial"/>
          <w:sz w:val="16"/>
          <w:szCs w:val="16"/>
          <w:lang w:val="es-MX"/>
        </w:rPr>
        <w:t>6</w:t>
      </w:r>
      <w:r w:rsidR="00FE3DFC" w:rsidRPr="008D0F8F">
        <w:rPr>
          <w:rFonts w:ascii="Arial" w:hAnsi="Arial" w:cs="Arial"/>
          <w:sz w:val="16"/>
          <w:szCs w:val="16"/>
          <w:lang w:val="es-MX"/>
        </w:rPr>
        <w:t>97</w:t>
      </w:r>
      <w:r w:rsidR="001D3A45" w:rsidRPr="008D0F8F">
        <w:rPr>
          <w:rFonts w:ascii="Arial" w:hAnsi="Arial" w:cs="Arial"/>
          <w:sz w:val="16"/>
          <w:szCs w:val="16"/>
          <w:lang w:val="es-MX"/>
        </w:rPr>
        <w:t>) de</w:t>
      </w:r>
      <w:r w:rsidR="001D3A45" w:rsidRPr="000C3A57">
        <w:rPr>
          <w:rFonts w:ascii="Arial" w:hAnsi="Arial" w:cs="Arial"/>
          <w:sz w:val="16"/>
          <w:szCs w:val="16"/>
          <w:lang w:val="es-MX"/>
        </w:rPr>
        <w:t xml:space="preserve"> </w:t>
      </w:r>
      <w:r w:rsidR="00FE3DFC">
        <w:rPr>
          <w:rFonts w:ascii="Arial" w:hAnsi="Arial" w:cs="Arial"/>
          <w:sz w:val="16"/>
          <w:szCs w:val="16"/>
          <w:lang w:val="es-MX"/>
        </w:rPr>
        <w:t>Octubre</w:t>
      </w:r>
      <w:r w:rsidR="00551928" w:rsidRPr="000C3A57">
        <w:rPr>
          <w:rFonts w:ascii="Arial" w:hAnsi="Arial" w:cs="Arial"/>
          <w:sz w:val="16"/>
          <w:szCs w:val="16"/>
          <w:lang w:val="es-MX"/>
        </w:rPr>
        <w:t xml:space="preserve"> a </w:t>
      </w:r>
      <w:r w:rsidR="00FE3DFC">
        <w:rPr>
          <w:rFonts w:ascii="Arial" w:hAnsi="Arial" w:cs="Arial"/>
          <w:sz w:val="16"/>
          <w:szCs w:val="16"/>
          <w:lang w:val="es-MX"/>
        </w:rPr>
        <w:t>Dici</w:t>
      </w:r>
      <w:r w:rsidR="008168EF">
        <w:rPr>
          <w:rFonts w:ascii="Arial" w:hAnsi="Arial" w:cs="Arial"/>
          <w:sz w:val="16"/>
          <w:szCs w:val="16"/>
          <w:lang w:val="es-MX"/>
        </w:rPr>
        <w:t>embre</w:t>
      </w:r>
      <w:r w:rsidR="009E3D84" w:rsidRPr="000C3A57">
        <w:rPr>
          <w:rFonts w:ascii="Arial" w:hAnsi="Arial" w:cs="Arial"/>
          <w:sz w:val="16"/>
          <w:szCs w:val="16"/>
          <w:lang w:val="es-MX"/>
        </w:rPr>
        <w:t xml:space="preserve"> de 20</w:t>
      </w:r>
      <w:r w:rsidR="00BD7D0D" w:rsidRPr="000C3A57">
        <w:rPr>
          <w:rFonts w:ascii="Arial" w:hAnsi="Arial" w:cs="Arial"/>
          <w:sz w:val="16"/>
          <w:szCs w:val="16"/>
          <w:lang w:val="es-MX"/>
        </w:rPr>
        <w:t>2</w:t>
      </w:r>
      <w:r w:rsidR="008C78F2" w:rsidRPr="000C3A57">
        <w:rPr>
          <w:rFonts w:ascii="Arial" w:hAnsi="Arial" w:cs="Arial"/>
          <w:sz w:val="16"/>
          <w:szCs w:val="16"/>
          <w:lang w:val="es-MX"/>
        </w:rPr>
        <w:t>1</w:t>
      </w:r>
      <w:r w:rsidRPr="000C3A57">
        <w:rPr>
          <w:rFonts w:ascii="Arial" w:hAnsi="Arial" w:cs="Arial"/>
          <w:sz w:val="16"/>
          <w:szCs w:val="16"/>
          <w:lang w:val="es-MX"/>
        </w:rPr>
        <w:t>,</w:t>
      </w:r>
      <w:r w:rsidRPr="000C3A57">
        <w:rPr>
          <w:rFonts w:ascii="Arial" w:hAnsi="Arial" w:cs="Arial"/>
          <w:b/>
          <w:sz w:val="16"/>
          <w:szCs w:val="16"/>
          <w:lang w:val="es-MX"/>
        </w:rPr>
        <w:t xml:space="preserve"> </w:t>
      </w:r>
      <w:r w:rsidRPr="000C3A57">
        <w:rPr>
          <w:rFonts w:ascii="Arial" w:hAnsi="Arial" w:cs="Arial"/>
          <w:sz w:val="16"/>
          <w:szCs w:val="16"/>
          <w:lang w:val="es-MX"/>
        </w:rPr>
        <w:t xml:space="preserve">número solicitudes tramitadas mediante procedimiento </w:t>
      </w:r>
      <w:r w:rsidRPr="008D0F8F">
        <w:rPr>
          <w:rFonts w:ascii="Arial" w:hAnsi="Arial" w:cs="Arial"/>
          <w:sz w:val="16"/>
          <w:szCs w:val="16"/>
          <w:lang w:val="es-MX"/>
        </w:rPr>
        <w:t xml:space="preserve">ordinario </w:t>
      </w:r>
      <w:r w:rsidR="004B3F0A" w:rsidRPr="008D0F8F">
        <w:rPr>
          <w:rFonts w:ascii="Arial" w:hAnsi="Arial" w:cs="Arial"/>
          <w:sz w:val="16"/>
          <w:szCs w:val="16"/>
          <w:lang w:val="es-MX"/>
        </w:rPr>
        <w:t>(</w:t>
      </w:r>
      <w:r w:rsidR="00FE3DFC" w:rsidRPr="008D0F8F">
        <w:rPr>
          <w:rFonts w:ascii="Arial" w:hAnsi="Arial" w:cs="Arial"/>
          <w:sz w:val="16"/>
          <w:szCs w:val="16"/>
          <w:lang w:val="es-MX"/>
        </w:rPr>
        <w:t>322</w:t>
      </w:r>
      <w:r w:rsidR="004B3F0A" w:rsidRPr="008D0F8F">
        <w:rPr>
          <w:rFonts w:ascii="Arial" w:hAnsi="Arial" w:cs="Arial"/>
          <w:sz w:val="16"/>
          <w:szCs w:val="16"/>
          <w:lang w:val="es-MX"/>
        </w:rPr>
        <w:t xml:space="preserve">) </w:t>
      </w:r>
      <w:r w:rsidRPr="008D0F8F">
        <w:rPr>
          <w:rFonts w:ascii="Arial" w:hAnsi="Arial" w:cs="Arial"/>
          <w:sz w:val="16"/>
          <w:szCs w:val="16"/>
          <w:lang w:val="es-MX"/>
        </w:rPr>
        <w:t>durante</w:t>
      </w:r>
      <w:r w:rsidRPr="000C3A57">
        <w:rPr>
          <w:rFonts w:ascii="Arial" w:hAnsi="Arial" w:cs="Arial"/>
          <w:sz w:val="16"/>
          <w:szCs w:val="16"/>
          <w:lang w:val="es-MX"/>
        </w:rPr>
        <w:t xml:space="preserv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1A10363B" w:rsidR="00966A4C" w:rsidRPr="00CB2463"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0C3A57">
        <w:rPr>
          <w:rFonts w:asciiTheme="minorHAnsi" w:hAnsiTheme="minorHAnsi" w:cstheme="minorHAnsi"/>
          <w:sz w:val="16"/>
        </w:rPr>
        <w:t xml:space="preserve">a </w:t>
      </w:r>
      <w:r w:rsidR="00D02137" w:rsidRPr="008D0F8F">
        <w:rPr>
          <w:rFonts w:asciiTheme="minorHAnsi" w:hAnsiTheme="minorHAnsi" w:cstheme="minorHAnsi"/>
          <w:sz w:val="16"/>
        </w:rPr>
        <w:t xml:space="preserve">las </w:t>
      </w:r>
      <w:r w:rsidR="00FE3DFC" w:rsidRPr="008D0F8F">
        <w:rPr>
          <w:rFonts w:asciiTheme="minorHAnsi" w:hAnsiTheme="minorHAnsi" w:cstheme="minorHAnsi"/>
          <w:sz w:val="16"/>
        </w:rPr>
        <w:t>38</w:t>
      </w:r>
      <w:r w:rsidR="00D02137" w:rsidRPr="008D0F8F">
        <w:rPr>
          <w:rFonts w:asciiTheme="minorHAnsi" w:hAnsiTheme="minorHAnsi" w:cstheme="minorHAnsi"/>
          <w:sz w:val="16"/>
        </w:rPr>
        <w:t xml:space="preserve"> consultas</w:t>
      </w:r>
      <w:r w:rsidR="00D02137" w:rsidRPr="000C3A57">
        <w:rPr>
          <w:rFonts w:asciiTheme="minorHAnsi" w:hAnsiTheme="minorHAnsi" w:cstheme="minorHAnsi"/>
          <w:sz w:val="16"/>
        </w:rPr>
        <w:t xml:space="preserve"> de información legislativa y bibliohemer</w:t>
      </w:r>
      <w:r w:rsidR="00894002" w:rsidRPr="000C3A57">
        <w:rPr>
          <w:rFonts w:asciiTheme="minorHAnsi" w:hAnsiTheme="minorHAnsi" w:cstheme="minorHAnsi"/>
          <w:sz w:val="16"/>
        </w:rPr>
        <w:t>ográfica en la Ciudad de México</w:t>
      </w:r>
      <w:r w:rsidR="004101B4" w:rsidRPr="000C3A57">
        <w:rPr>
          <w:rFonts w:asciiTheme="minorHAnsi" w:hAnsiTheme="minorHAnsi" w:cstheme="minorHAnsi"/>
          <w:sz w:val="16"/>
        </w:rPr>
        <w:t xml:space="preserve">, </w:t>
      </w:r>
      <w:r w:rsidR="00D02137" w:rsidRPr="000C3A57">
        <w:rPr>
          <w:rFonts w:asciiTheme="minorHAnsi" w:hAnsiTheme="minorHAnsi" w:cstheme="minorHAnsi"/>
          <w:sz w:val="16"/>
        </w:rPr>
        <w:t xml:space="preserve">representan los </w:t>
      </w:r>
      <w:r w:rsidR="008166B2" w:rsidRPr="008D0F8F">
        <w:rPr>
          <w:rFonts w:asciiTheme="minorHAnsi" w:hAnsiTheme="minorHAnsi" w:cstheme="minorHAnsi"/>
          <w:sz w:val="16"/>
        </w:rPr>
        <w:t>1</w:t>
      </w:r>
      <w:r w:rsidR="00FE3DFC" w:rsidRPr="008D0F8F">
        <w:rPr>
          <w:rFonts w:asciiTheme="minorHAnsi" w:hAnsiTheme="minorHAnsi" w:cstheme="minorHAnsi"/>
          <w:sz w:val="16"/>
        </w:rPr>
        <w:t>6</w:t>
      </w:r>
      <w:r w:rsidR="00066153" w:rsidRPr="008D0F8F">
        <w:rPr>
          <w:rFonts w:asciiTheme="minorHAnsi" w:hAnsiTheme="minorHAnsi" w:cstheme="minorHAnsi"/>
          <w:sz w:val="16"/>
        </w:rPr>
        <w:t>,</w:t>
      </w:r>
      <w:r w:rsidR="003C3DD5" w:rsidRPr="008D0F8F">
        <w:rPr>
          <w:rFonts w:asciiTheme="minorHAnsi" w:hAnsiTheme="minorHAnsi" w:cstheme="minorHAnsi"/>
          <w:sz w:val="16"/>
        </w:rPr>
        <w:t>6</w:t>
      </w:r>
      <w:r w:rsidR="00FE3DFC" w:rsidRPr="008D0F8F">
        <w:rPr>
          <w:rFonts w:asciiTheme="minorHAnsi" w:hAnsiTheme="minorHAnsi" w:cstheme="minorHAnsi"/>
          <w:sz w:val="16"/>
        </w:rPr>
        <w:t>97</w:t>
      </w:r>
      <w:r w:rsidR="00D02137" w:rsidRPr="000C3A57">
        <w:rPr>
          <w:rFonts w:asciiTheme="minorHAnsi" w:hAnsiTheme="minorHAnsi" w:cstheme="minorHAnsi"/>
          <w:sz w:val="16"/>
        </w:rPr>
        <w:t xml:space="preserve"> procedimientos sumarios</w:t>
      </w:r>
      <w:r w:rsidR="00D02137" w:rsidRPr="004D40C0">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42CB4C1C"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8D0F8F">
        <w:rPr>
          <w:rFonts w:ascii="Arial" w:hAnsi="Arial" w:cs="Arial"/>
          <w:sz w:val="16"/>
          <w:szCs w:val="16"/>
          <w:lang w:val="es-MX"/>
        </w:rPr>
        <w:t>presentadas</w:t>
      </w:r>
      <w:r w:rsidR="00B6709D" w:rsidRPr="008D0F8F">
        <w:rPr>
          <w:rFonts w:ascii="Arial" w:hAnsi="Arial" w:cs="Arial"/>
          <w:sz w:val="16"/>
          <w:szCs w:val="16"/>
          <w:lang w:val="es-MX"/>
        </w:rPr>
        <w:t xml:space="preserve"> (</w:t>
      </w:r>
      <w:r w:rsidR="007F425D" w:rsidRPr="008D0F8F">
        <w:rPr>
          <w:rFonts w:ascii="Arial" w:hAnsi="Arial" w:cs="Arial"/>
          <w:sz w:val="16"/>
          <w:szCs w:val="16"/>
          <w:lang w:val="es-MX"/>
        </w:rPr>
        <w:t>1</w:t>
      </w:r>
      <w:r w:rsidR="00CA23FD" w:rsidRPr="008D0F8F">
        <w:rPr>
          <w:rFonts w:ascii="Arial" w:hAnsi="Arial" w:cs="Arial"/>
          <w:sz w:val="16"/>
          <w:szCs w:val="16"/>
          <w:lang w:val="es-MX"/>
        </w:rPr>
        <w:t>7</w:t>
      </w:r>
      <w:r w:rsidR="007B1478" w:rsidRPr="008D0F8F">
        <w:rPr>
          <w:rFonts w:ascii="Arial" w:hAnsi="Arial" w:cs="Arial"/>
          <w:sz w:val="16"/>
          <w:szCs w:val="16"/>
          <w:lang w:val="es-MX"/>
        </w:rPr>
        <w:t>,</w:t>
      </w:r>
      <w:r w:rsidR="00CA23FD" w:rsidRPr="008D0F8F">
        <w:rPr>
          <w:rFonts w:ascii="Arial" w:hAnsi="Arial" w:cs="Arial"/>
          <w:sz w:val="16"/>
          <w:szCs w:val="16"/>
          <w:lang w:val="es-MX"/>
        </w:rPr>
        <w:t>195</w:t>
      </w:r>
      <w:r w:rsidR="00B6709D" w:rsidRPr="008D0F8F">
        <w:rPr>
          <w:rFonts w:ascii="Arial" w:hAnsi="Arial" w:cs="Arial"/>
          <w:sz w:val="16"/>
          <w:szCs w:val="16"/>
          <w:lang w:val="es-MX"/>
        </w:rPr>
        <w:t>)</w:t>
      </w:r>
      <w:r w:rsidRPr="008D0F8F">
        <w:rPr>
          <w:rFonts w:ascii="Arial" w:hAnsi="Arial" w:cs="Arial"/>
          <w:sz w:val="16"/>
          <w:szCs w:val="16"/>
          <w:lang w:val="es-MX"/>
        </w:rPr>
        <w:t>.</w:t>
      </w:r>
      <w:r w:rsidRPr="000C3A57">
        <w:rPr>
          <w:rFonts w:ascii="Arial" w:hAnsi="Arial" w:cs="Arial"/>
          <w:sz w:val="16"/>
          <w:szCs w:val="16"/>
          <w:lang w:val="es-MX"/>
        </w:rPr>
        <w:t xml:space="preserve"> Canalizaciones de solicitudes al Consejo de la Judicatura Federal</w:t>
      </w:r>
      <w:r w:rsidR="003C5D50" w:rsidRPr="000C3A57">
        <w:rPr>
          <w:rFonts w:ascii="Arial" w:hAnsi="Arial" w:cs="Arial"/>
          <w:sz w:val="16"/>
          <w:szCs w:val="16"/>
          <w:lang w:val="es-MX"/>
        </w:rPr>
        <w:t xml:space="preserve"> o alguna otra institución </w:t>
      </w:r>
      <w:r w:rsidR="003C5D50" w:rsidRPr="008D0F8F">
        <w:rPr>
          <w:rFonts w:ascii="Arial" w:hAnsi="Arial" w:cs="Arial"/>
          <w:sz w:val="16"/>
          <w:szCs w:val="16"/>
          <w:lang w:val="es-MX"/>
        </w:rPr>
        <w:t>pública</w:t>
      </w:r>
      <w:r w:rsidR="00B6709D" w:rsidRPr="008D0F8F">
        <w:rPr>
          <w:rFonts w:ascii="Arial" w:hAnsi="Arial" w:cs="Arial"/>
          <w:sz w:val="16"/>
          <w:szCs w:val="16"/>
          <w:lang w:val="es-MX"/>
        </w:rPr>
        <w:t xml:space="preserve"> (</w:t>
      </w:r>
      <w:r w:rsidR="00CA23FD" w:rsidRPr="008D0F8F">
        <w:rPr>
          <w:rFonts w:ascii="Arial" w:hAnsi="Arial" w:cs="Arial"/>
          <w:sz w:val="16"/>
          <w:szCs w:val="16"/>
          <w:lang w:val="es-MX"/>
        </w:rPr>
        <w:t>9</w:t>
      </w:r>
      <w:r w:rsidR="00B16D14" w:rsidRPr="008D0F8F">
        <w:rPr>
          <w:rFonts w:ascii="Arial" w:hAnsi="Arial" w:cs="Arial"/>
          <w:sz w:val="16"/>
          <w:szCs w:val="16"/>
          <w:lang w:val="es-MX"/>
        </w:rPr>
        <w:t>1</w:t>
      </w:r>
      <w:r w:rsidR="00B6709D" w:rsidRPr="008D0F8F">
        <w:rPr>
          <w:rFonts w:ascii="Arial" w:hAnsi="Arial" w:cs="Arial"/>
          <w:sz w:val="16"/>
          <w:szCs w:val="16"/>
          <w:lang w:val="es-MX"/>
        </w:rPr>
        <w:t>)</w:t>
      </w:r>
      <w:r w:rsidRPr="008D0F8F">
        <w:rPr>
          <w:rFonts w:ascii="Arial" w:hAnsi="Arial" w:cs="Arial"/>
          <w:sz w:val="16"/>
          <w:szCs w:val="16"/>
          <w:lang w:val="es-MX"/>
        </w:rPr>
        <w:t>.</w:t>
      </w:r>
      <w:r w:rsidRPr="000C3A57">
        <w:rPr>
          <w:rFonts w:ascii="Arial" w:hAnsi="Arial" w:cs="Arial"/>
          <w:sz w:val="16"/>
          <w:szCs w:val="16"/>
          <w:lang w:val="es-MX"/>
        </w:rPr>
        <w:t xml:space="preserve"> Orientaciones otorgadas a las personas para que acudan a otra dependencia, entidad, órgano de gobierno, institución </w:t>
      </w:r>
      <w:r w:rsidRPr="008D0F8F">
        <w:rPr>
          <w:rFonts w:ascii="Arial" w:hAnsi="Arial" w:cs="Arial"/>
          <w:sz w:val="16"/>
          <w:szCs w:val="16"/>
          <w:lang w:val="es-MX"/>
        </w:rPr>
        <w:t>pública</w:t>
      </w:r>
      <w:r w:rsidR="00B6709D" w:rsidRPr="008D0F8F">
        <w:rPr>
          <w:rFonts w:ascii="Arial" w:hAnsi="Arial" w:cs="Arial"/>
          <w:sz w:val="16"/>
          <w:szCs w:val="16"/>
          <w:lang w:val="es-MX"/>
        </w:rPr>
        <w:t xml:space="preserve"> (</w:t>
      </w:r>
      <w:r w:rsidR="00B16D14" w:rsidRPr="008D0F8F">
        <w:rPr>
          <w:rFonts w:ascii="Arial" w:hAnsi="Arial" w:cs="Arial"/>
          <w:sz w:val="16"/>
          <w:szCs w:val="16"/>
          <w:lang w:val="es-MX"/>
        </w:rPr>
        <w:t>1</w:t>
      </w:r>
      <w:r w:rsidR="00CA23FD" w:rsidRPr="008D0F8F">
        <w:rPr>
          <w:rFonts w:ascii="Arial" w:hAnsi="Arial" w:cs="Arial"/>
          <w:sz w:val="16"/>
          <w:szCs w:val="16"/>
          <w:lang w:val="es-MX"/>
        </w:rPr>
        <w:t>7</w:t>
      </w:r>
      <w:r w:rsidR="00E603EC" w:rsidRPr="008D0F8F">
        <w:rPr>
          <w:rFonts w:ascii="Arial" w:hAnsi="Arial" w:cs="Arial"/>
          <w:sz w:val="16"/>
          <w:szCs w:val="16"/>
          <w:lang w:val="es-MX"/>
        </w:rPr>
        <w:t>)</w:t>
      </w:r>
      <w:r w:rsidRPr="008D0F8F">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20431DC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8D0F8F">
        <w:rPr>
          <w:rFonts w:ascii="Arial" w:hAnsi="Arial" w:cs="Arial"/>
          <w:sz w:val="16"/>
          <w:szCs w:val="16"/>
          <w:lang w:val="es-MX"/>
        </w:rPr>
        <w:t>ordinario</w:t>
      </w:r>
      <w:r w:rsidR="00B61412" w:rsidRPr="008D0F8F">
        <w:rPr>
          <w:rFonts w:ascii="Arial" w:hAnsi="Arial" w:cs="Arial"/>
          <w:sz w:val="16"/>
          <w:szCs w:val="16"/>
          <w:lang w:val="es-MX"/>
        </w:rPr>
        <w:t xml:space="preserve"> (</w:t>
      </w:r>
      <w:r w:rsidR="00366439" w:rsidRPr="008D0F8F">
        <w:rPr>
          <w:rFonts w:ascii="Arial" w:hAnsi="Arial" w:cs="Arial"/>
          <w:sz w:val="16"/>
          <w:szCs w:val="16"/>
          <w:lang w:val="es-MX"/>
        </w:rPr>
        <w:t>322</w:t>
      </w:r>
      <w:r w:rsidR="00B61412" w:rsidRPr="008D0F8F">
        <w:rPr>
          <w:rFonts w:ascii="Arial" w:hAnsi="Arial" w:cs="Arial"/>
          <w:sz w:val="16"/>
          <w:szCs w:val="16"/>
          <w:lang w:val="es-MX"/>
        </w:rPr>
        <w:t>)</w:t>
      </w:r>
      <w:r w:rsidRPr="008D0F8F">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49202E8A"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B61412" w:rsidRPr="00631643">
        <w:rPr>
          <w:rFonts w:ascii="Arial" w:hAnsi="Arial" w:cs="Arial"/>
          <w:sz w:val="16"/>
          <w:szCs w:val="16"/>
          <w:lang w:val="es-MX"/>
        </w:rPr>
        <w:t>(</w:t>
      </w:r>
      <w:r w:rsidR="00366439" w:rsidRPr="008D0F8F">
        <w:rPr>
          <w:rFonts w:ascii="Arial" w:hAnsi="Arial" w:cs="Arial"/>
          <w:sz w:val="16"/>
          <w:szCs w:val="16"/>
          <w:lang w:val="es-MX"/>
        </w:rPr>
        <w:t>322</w:t>
      </w:r>
      <w:r w:rsidR="00B61412" w:rsidRPr="008D0F8F">
        <w:rPr>
          <w:rFonts w:ascii="Arial" w:hAnsi="Arial" w:cs="Arial"/>
          <w:sz w:val="16"/>
          <w:szCs w:val="16"/>
          <w:lang w:val="es-MX"/>
        </w:rPr>
        <w:t>)</w:t>
      </w:r>
      <w:r w:rsidR="00D9128B" w:rsidRPr="008D0F8F">
        <w:rPr>
          <w:rFonts w:ascii="Arial" w:hAnsi="Arial" w:cs="Arial"/>
          <w:sz w:val="16"/>
          <w:szCs w:val="16"/>
          <w:lang w:val="es-MX"/>
        </w:rPr>
        <w:t>,</w:t>
      </w:r>
      <w:r w:rsidR="00D9128B" w:rsidRPr="000C3A57">
        <w:rPr>
          <w:rFonts w:ascii="Arial" w:hAnsi="Arial" w:cs="Arial"/>
          <w:sz w:val="16"/>
          <w:szCs w:val="16"/>
          <w:lang w:val="es-MX"/>
        </w:rPr>
        <w:t xml:space="preserve"> de los cuales </w:t>
      </w:r>
      <w:r w:rsidR="00F81D38" w:rsidRPr="000C3A57">
        <w:rPr>
          <w:rFonts w:ascii="Arial" w:hAnsi="Arial" w:cs="Arial"/>
          <w:sz w:val="16"/>
          <w:szCs w:val="16"/>
          <w:lang w:val="es-MX"/>
        </w:rPr>
        <w:t xml:space="preserve">se </w:t>
      </w:r>
      <w:r w:rsidR="00F81D38" w:rsidRPr="008D0F8F">
        <w:rPr>
          <w:rFonts w:ascii="Arial" w:hAnsi="Arial" w:cs="Arial"/>
          <w:sz w:val="16"/>
          <w:szCs w:val="16"/>
          <w:lang w:val="es-MX"/>
        </w:rPr>
        <w:t xml:space="preserve">turnaron </w:t>
      </w:r>
      <w:r w:rsidR="00500EA1" w:rsidRPr="008D0F8F">
        <w:rPr>
          <w:rFonts w:ascii="Arial" w:hAnsi="Arial" w:cs="Arial"/>
          <w:sz w:val="16"/>
          <w:szCs w:val="16"/>
          <w:lang w:val="es-MX"/>
        </w:rPr>
        <w:t>2</w:t>
      </w:r>
      <w:r w:rsidR="00366439" w:rsidRPr="008D0F8F">
        <w:rPr>
          <w:rFonts w:ascii="Arial" w:hAnsi="Arial" w:cs="Arial"/>
          <w:sz w:val="16"/>
          <w:szCs w:val="16"/>
          <w:lang w:val="es-MX"/>
        </w:rPr>
        <w:t>3</w:t>
      </w:r>
      <w:r w:rsidR="006B2765" w:rsidRPr="000C3A57">
        <w:rPr>
          <w:rFonts w:ascii="Arial" w:hAnsi="Arial" w:cs="Arial"/>
          <w:sz w:val="16"/>
          <w:szCs w:val="16"/>
          <w:lang w:val="es-MX"/>
        </w:rPr>
        <w:t xml:space="preserve"> al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1BF57690" w:rsidR="00F53901" w:rsidRDefault="00FD6C24"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r>
                            <w:rPr>
                              <w:sz w:val="22"/>
                              <w:lang w:val="es-MX"/>
                            </w:rPr>
                            <w:t>Dic</w:t>
                          </w:r>
                          <w:r w:rsidR="00E41918">
                            <w:rPr>
                              <w:sz w:val="22"/>
                              <w:lang w:val="es-MX"/>
                            </w:rPr>
                            <w:t>iembre</w:t>
                          </w:r>
                          <w:r w:rsidR="008556DB">
                            <w:rPr>
                              <w:sz w:val="22"/>
                              <w:lang w:val="es-MX"/>
                            </w:rPr>
                            <w:t xml:space="preserve"> de 20</w:t>
                          </w:r>
                          <w:r w:rsidR="00C022EE">
                            <w:rPr>
                              <w:sz w:val="22"/>
                              <w:lang w:val="es-MX"/>
                            </w:rPr>
                            <w:t>2</w:t>
                          </w:r>
                          <w:r w:rsidR="008C78F2">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1BF57690" w:rsidR="00F53901" w:rsidRDefault="00FD6C24"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r>
                      <w:rPr>
                        <w:sz w:val="22"/>
                        <w:lang w:val="es-MX"/>
                      </w:rPr>
                      <w:t>Dic</w:t>
                    </w:r>
                    <w:r w:rsidR="00E41918">
                      <w:rPr>
                        <w:sz w:val="22"/>
                        <w:lang w:val="es-MX"/>
                      </w:rPr>
                      <w:t>iembre</w:t>
                    </w:r>
                    <w:r w:rsidR="008556DB">
                      <w:rPr>
                        <w:sz w:val="22"/>
                        <w:lang w:val="es-MX"/>
                      </w:rPr>
                      <w:t xml:space="preserve"> de 20</w:t>
                    </w:r>
                    <w:r w:rsidR="00C022EE">
                      <w:rPr>
                        <w:sz w:val="22"/>
                        <w:lang w:val="es-MX"/>
                      </w:rPr>
                      <w:t>2</w:t>
                    </w:r>
                    <w:r w:rsidR="008C78F2">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3B4"/>
    <w:rsid w:val="00034817"/>
    <w:rsid w:val="00035EA7"/>
    <w:rsid w:val="00036847"/>
    <w:rsid w:val="00037D42"/>
    <w:rsid w:val="00040EDA"/>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D099A"/>
    <w:rsid w:val="002D0E84"/>
    <w:rsid w:val="002D0F05"/>
    <w:rsid w:val="002D255A"/>
    <w:rsid w:val="002D2D1E"/>
    <w:rsid w:val="002D3E08"/>
    <w:rsid w:val="002D454B"/>
    <w:rsid w:val="002D6F72"/>
    <w:rsid w:val="002D7E88"/>
    <w:rsid w:val="002E1735"/>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3754"/>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B078C"/>
    <w:rsid w:val="003B5E4C"/>
    <w:rsid w:val="003C0A50"/>
    <w:rsid w:val="003C22E4"/>
    <w:rsid w:val="003C3A13"/>
    <w:rsid w:val="003C3AA6"/>
    <w:rsid w:val="003C3DD5"/>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F9A"/>
    <w:rsid w:val="004C5C24"/>
    <w:rsid w:val="004C785A"/>
    <w:rsid w:val="004D3194"/>
    <w:rsid w:val="004D40C0"/>
    <w:rsid w:val="004D439A"/>
    <w:rsid w:val="004D4C3D"/>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3142"/>
    <w:rsid w:val="00513431"/>
    <w:rsid w:val="00517C1C"/>
    <w:rsid w:val="00520F81"/>
    <w:rsid w:val="0052277D"/>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7584"/>
    <w:rsid w:val="00600D3C"/>
    <w:rsid w:val="00603F15"/>
    <w:rsid w:val="0060533E"/>
    <w:rsid w:val="00610887"/>
    <w:rsid w:val="00611810"/>
    <w:rsid w:val="00611834"/>
    <w:rsid w:val="00611D78"/>
    <w:rsid w:val="0061466C"/>
    <w:rsid w:val="00617FF1"/>
    <w:rsid w:val="00622385"/>
    <w:rsid w:val="00622AF0"/>
    <w:rsid w:val="006236E4"/>
    <w:rsid w:val="0062670A"/>
    <w:rsid w:val="0062784E"/>
    <w:rsid w:val="00631643"/>
    <w:rsid w:val="006332A4"/>
    <w:rsid w:val="006336F7"/>
    <w:rsid w:val="00633D44"/>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7026B"/>
    <w:rsid w:val="006716FC"/>
    <w:rsid w:val="0067279D"/>
    <w:rsid w:val="006751B7"/>
    <w:rsid w:val="00675CA7"/>
    <w:rsid w:val="006771FE"/>
    <w:rsid w:val="00681F8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701023"/>
    <w:rsid w:val="0070250F"/>
    <w:rsid w:val="00702B94"/>
    <w:rsid w:val="007039C5"/>
    <w:rsid w:val="007044BF"/>
    <w:rsid w:val="00704997"/>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7629"/>
    <w:rsid w:val="007D7BBB"/>
    <w:rsid w:val="007E3ACF"/>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11E7"/>
    <w:rsid w:val="00854354"/>
    <w:rsid w:val="008556DB"/>
    <w:rsid w:val="00855A2E"/>
    <w:rsid w:val="008567D5"/>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A46"/>
    <w:rsid w:val="008B6AE7"/>
    <w:rsid w:val="008C0F63"/>
    <w:rsid w:val="008C78F2"/>
    <w:rsid w:val="008D06A4"/>
    <w:rsid w:val="008D0F8F"/>
    <w:rsid w:val="008D1078"/>
    <w:rsid w:val="008D395F"/>
    <w:rsid w:val="008D420C"/>
    <w:rsid w:val="008D482C"/>
    <w:rsid w:val="008E04E2"/>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2422"/>
    <w:rsid w:val="009D6049"/>
    <w:rsid w:val="009D606B"/>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40F7A"/>
    <w:rsid w:val="00A4208E"/>
    <w:rsid w:val="00A423E7"/>
    <w:rsid w:val="00A42B63"/>
    <w:rsid w:val="00A43327"/>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19A"/>
    <w:rsid w:val="00AF6984"/>
    <w:rsid w:val="00B0068F"/>
    <w:rsid w:val="00B019C0"/>
    <w:rsid w:val="00B036FE"/>
    <w:rsid w:val="00B03E16"/>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45C9"/>
    <w:rsid w:val="00B6709D"/>
    <w:rsid w:val="00B67342"/>
    <w:rsid w:val="00B67863"/>
    <w:rsid w:val="00B71FC7"/>
    <w:rsid w:val="00B74395"/>
    <w:rsid w:val="00B760A1"/>
    <w:rsid w:val="00B77969"/>
    <w:rsid w:val="00B80FED"/>
    <w:rsid w:val="00B83C59"/>
    <w:rsid w:val="00B878EA"/>
    <w:rsid w:val="00BA1497"/>
    <w:rsid w:val="00BA1B71"/>
    <w:rsid w:val="00BA2D92"/>
    <w:rsid w:val="00BA3A9A"/>
    <w:rsid w:val="00BA4F6A"/>
    <w:rsid w:val="00BA5B1F"/>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674"/>
    <w:rsid w:val="00C64743"/>
    <w:rsid w:val="00C66679"/>
    <w:rsid w:val="00C704F7"/>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128B"/>
    <w:rsid w:val="00D9332A"/>
    <w:rsid w:val="00D93721"/>
    <w:rsid w:val="00D96944"/>
    <w:rsid w:val="00DA0FFB"/>
    <w:rsid w:val="00DA2D49"/>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7A6A"/>
    <w:rsid w:val="00DF16B0"/>
    <w:rsid w:val="00DF376F"/>
    <w:rsid w:val="00DF431A"/>
    <w:rsid w:val="00DF60CD"/>
    <w:rsid w:val="00DF64DB"/>
    <w:rsid w:val="00DF7568"/>
    <w:rsid w:val="00E0026A"/>
    <w:rsid w:val="00E02519"/>
    <w:rsid w:val="00E04D82"/>
    <w:rsid w:val="00E05E49"/>
    <w:rsid w:val="00E06280"/>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820EC"/>
    <w:rsid w:val="00E856DC"/>
    <w:rsid w:val="00E87B65"/>
    <w:rsid w:val="00E87BB7"/>
    <w:rsid w:val="00E903E4"/>
    <w:rsid w:val="00E96654"/>
    <w:rsid w:val="00E975AD"/>
    <w:rsid w:val="00EA0A43"/>
    <w:rsid w:val="00EA13FD"/>
    <w:rsid w:val="00EA297B"/>
    <w:rsid w:val="00EA741A"/>
    <w:rsid w:val="00EB2EB0"/>
    <w:rsid w:val="00EB3B28"/>
    <w:rsid w:val="00EB4789"/>
    <w:rsid w:val="00EB4C87"/>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243A"/>
    <w:rsid w:val="00F33B7E"/>
    <w:rsid w:val="00F3624C"/>
    <w:rsid w:val="00F36D63"/>
    <w:rsid w:val="00F36E18"/>
    <w:rsid w:val="00F372D1"/>
    <w:rsid w:val="00F40818"/>
    <w:rsid w:val="00F42BAE"/>
    <w:rsid w:val="00F43EDC"/>
    <w:rsid w:val="00F45F5B"/>
    <w:rsid w:val="00F463D7"/>
    <w:rsid w:val="00F467C1"/>
    <w:rsid w:val="00F5037C"/>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456B"/>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CUARTO%20TRIMESTRE\Cuarto%20trimestre%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1\CUARTO%20TRIMESTRE\Cuarto%20trimestre%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CUARTO%20TRIMESTRE\Cuarto%20trimestre%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CUARTO%20TRIMESTRE\Cuarto%20trimestre%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CUARTO%20TRIMESTRE\Cuarto%20trimestre%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CUARTO%20TRIMESTRE\Cuarto%20trimestre%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347-4E59-92D4-2D38828293AB}"/>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347-4E59-92D4-2D38828293AB}"/>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47-4E59-92D4-2D38828293AB}"/>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47-4E59-92D4-2D38828293AB}"/>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0.98107996944591336</c:v>
                </c:pt>
                <c:pt idx="1">
                  <c:v>1.8920030554086611E-2</c:v>
                </c:pt>
              </c:numCache>
            </c:numRef>
          </c:val>
          <c:extLst>
            <c:ext xmlns:c16="http://schemas.microsoft.com/office/drawing/2014/chart" uri="{C3380CC4-5D6E-409C-BE32-E72D297353CC}">
              <c16:uniqueId val="{00000004-A347-4E59-92D4-2D38828293AB}"/>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0790700855801302"/>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Xalapa, Ver.</c:v>
                </c:pt>
                <c:pt idx="3">
                  <c:v>Pachuca, Hgo. </c:v>
                </c:pt>
                <c:pt idx="4">
                  <c:v>Veracruz, Ver.</c:v>
                </c:pt>
                <c:pt idx="5">
                  <c:v>Culiacán, Sin.</c:v>
                </c:pt>
                <c:pt idx="6">
                  <c:v>León, Gto.</c:v>
                </c:pt>
                <c:pt idx="7">
                  <c:v>Tuxtla Gutiérrez, Chis.</c:v>
                </c:pt>
                <c:pt idx="8">
                  <c:v>Chetumal, Q.Roo</c:v>
                </c:pt>
                <c:pt idx="9">
                  <c:v>Tlaxcala, Tlax.</c:v>
                </c:pt>
                <c:pt idx="10">
                  <c:v>Mérida, Yuc.</c:v>
                </c:pt>
                <c:pt idx="11">
                  <c:v>La Paz, B.C.S.</c:v>
                </c:pt>
                <c:pt idx="12">
                  <c:v>Oaxaca, Oax</c:v>
                </c:pt>
                <c:pt idx="13">
                  <c:v>Villahermosa, Tab.</c:v>
                </c:pt>
                <c:pt idx="14">
                  <c:v>Acapulco, Gro. </c:v>
                </c:pt>
                <c:pt idx="15">
                  <c:v>Tijuana, B.C.</c:v>
                </c:pt>
                <c:pt idx="16">
                  <c:v>Colima, Col.</c:v>
                </c:pt>
                <c:pt idx="17">
                  <c:v>Guadalajara, Jal.</c:v>
                </c:pt>
                <c:pt idx="18">
                  <c:v>Durango, Dgo.</c:v>
                </c:pt>
                <c:pt idx="19">
                  <c:v>San Luis Potosí, S.L.P.</c:v>
                </c:pt>
                <c:pt idx="20">
                  <c:v>Ciudad Juárez, Chih.</c:v>
                </c:pt>
                <c:pt idx="21">
                  <c:v>Hermosillo, Son.</c:v>
                </c:pt>
                <c:pt idx="22">
                  <c:v>Puebla, Pue.</c:v>
                </c:pt>
                <c:pt idx="23">
                  <c:v>Tepic, Nay. </c:v>
                </c:pt>
                <c:pt idx="24">
                  <c:v>Cancún, Q. Roo</c:v>
                </c:pt>
                <c:pt idx="25">
                  <c:v>Saltillo, Coah.</c:v>
                </c:pt>
                <c:pt idx="26">
                  <c:v>Ciudad Victoria, Tamps.</c:v>
                </c:pt>
                <c:pt idx="27">
                  <c:v>Morelia, Mich.</c:v>
                </c:pt>
                <c:pt idx="28">
                  <c:v>Monterrey, N.L.</c:v>
                </c:pt>
                <c:pt idx="29">
                  <c:v>Campeche, Camp.</c:v>
                </c:pt>
                <c:pt idx="30">
                  <c:v>Zacatecas, Zac.</c:v>
                </c:pt>
                <c:pt idx="31">
                  <c:v>Querétaro, Qro.</c:v>
                </c:pt>
                <c:pt idx="32">
                  <c:v>Torreón, Coah.</c:v>
                </c:pt>
                <c:pt idx="33">
                  <c:v>Cuernavaca, Mor.</c:v>
                </c:pt>
                <c:pt idx="34">
                  <c:v>Aguascalientes, Ags</c:v>
                </c:pt>
                <c:pt idx="35">
                  <c:v>Toluca, Edo. de Mex.</c:v>
                </c:pt>
                <c:pt idx="36">
                  <c:v>Ciudad de México</c:v>
                </c:pt>
              </c:strCache>
            </c:strRef>
          </c:cat>
          <c:val>
            <c:numRef>
              <c:f>'Tercer Trim 2021'!$B$13:$B$49</c:f>
              <c:numCache>
                <c:formatCode>#,##0</c:formatCode>
                <c:ptCount val="37"/>
                <c:pt idx="0">
                  <c:v>0</c:v>
                </c:pt>
                <c:pt idx="1">
                  <c:v>0</c:v>
                </c:pt>
                <c:pt idx="2">
                  <c:v>2</c:v>
                </c:pt>
                <c:pt idx="3">
                  <c:v>2</c:v>
                </c:pt>
                <c:pt idx="4">
                  <c:v>4</c:v>
                </c:pt>
                <c:pt idx="5">
                  <c:v>5</c:v>
                </c:pt>
                <c:pt idx="6">
                  <c:v>6</c:v>
                </c:pt>
                <c:pt idx="7">
                  <c:v>7</c:v>
                </c:pt>
                <c:pt idx="8">
                  <c:v>7</c:v>
                </c:pt>
                <c:pt idx="9">
                  <c:v>7</c:v>
                </c:pt>
                <c:pt idx="10">
                  <c:v>18</c:v>
                </c:pt>
                <c:pt idx="11">
                  <c:v>19</c:v>
                </c:pt>
                <c:pt idx="12">
                  <c:v>21</c:v>
                </c:pt>
                <c:pt idx="13">
                  <c:v>22</c:v>
                </c:pt>
                <c:pt idx="14">
                  <c:v>31</c:v>
                </c:pt>
                <c:pt idx="15">
                  <c:v>39</c:v>
                </c:pt>
                <c:pt idx="16">
                  <c:v>45</c:v>
                </c:pt>
                <c:pt idx="17">
                  <c:v>50</c:v>
                </c:pt>
                <c:pt idx="18">
                  <c:v>54</c:v>
                </c:pt>
                <c:pt idx="19">
                  <c:v>57</c:v>
                </c:pt>
                <c:pt idx="20">
                  <c:v>60</c:v>
                </c:pt>
                <c:pt idx="21">
                  <c:v>81</c:v>
                </c:pt>
                <c:pt idx="22">
                  <c:v>81</c:v>
                </c:pt>
                <c:pt idx="23">
                  <c:v>91</c:v>
                </c:pt>
                <c:pt idx="24">
                  <c:v>104</c:v>
                </c:pt>
                <c:pt idx="25">
                  <c:v>125</c:v>
                </c:pt>
                <c:pt idx="26">
                  <c:v>136</c:v>
                </c:pt>
                <c:pt idx="27">
                  <c:v>140</c:v>
                </c:pt>
                <c:pt idx="28">
                  <c:v>182</c:v>
                </c:pt>
                <c:pt idx="29">
                  <c:v>193</c:v>
                </c:pt>
                <c:pt idx="30">
                  <c:v>244</c:v>
                </c:pt>
                <c:pt idx="31">
                  <c:v>285</c:v>
                </c:pt>
                <c:pt idx="32">
                  <c:v>318</c:v>
                </c:pt>
                <c:pt idx="33">
                  <c:v>319</c:v>
                </c:pt>
                <c:pt idx="34">
                  <c:v>352</c:v>
                </c:pt>
                <c:pt idx="35">
                  <c:v>1240</c:v>
                </c:pt>
                <c:pt idx="36">
                  <c:v>12312</c:v>
                </c:pt>
              </c:numCache>
            </c:numRef>
          </c:val>
          <c:extLst>
            <c:ext xmlns:c16="http://schemas.microsoft.com/office/drawing/2014/chart" uri="{C3380CC4-5D6E-409C-BE32-E72D297353CC}">
              <c16:uniqueId val="{00000000-9A87-4FEF-A7B8-96FF704C8C91}"/>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A364-4CDE-BE97-5912F1AF0F2E}"/>
              </c:ext>
            </c:extLst>
          </c:dPt>
          <c:dPt>
            <c:idx val="1"/>
            <c:invertIfNegative val="0"/>
            <c:bubble3D val="0"/>
            <c:spPr>
              <a:solidFill>
                <a:srgbClr val="D59F0F"/>
              </a:solidFill>
              <a:ln>
                <a:noFill/>
              </a:ln>
              <a:effectLst/>
            </c:spPr>
            <c:extLst>
              <c:ext xmlns:c16="http://schemas.microsoft.com/office/drawing/2014/chart" uri="{C3380CC4-5D6E-409C-BE32-E72D297353CC}">
                <c16:uniqueId val="{00000003-A364-4CDE-BE97-5912F1AF0F2E}"/>
              </c:ext>
            </c:extLst>
          </c:dPt>
          <c:dPt>
            <c:idx val="2"/>
            <c:invertIfNegative val="0"/>
            <c:bubble3D val="0"/>
            <c:spPr>
              <a:solidFill>
                <a:srgbClr val="73AFB6"/>
              </a:solidFill>
              <a:ln>
                <a:noFill/>
              </a:ln>
              <a:effectLst/>
            </c:spPr>
            <c:extLst>
              <c:ext xmlns:c16="http://schemas.microsoft.com/office/drawing/2014/chart" uri="{C3380CC4-5D6E-409C-BE32-E72D297353CC}">
                <c16:uniqueId val="{00000005-A364-4CDE-BE97-5912F1AF0F2E}"/>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A364-4CDE-BE97-5912F1AF0F2E}"/>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64-4CDE-BE97-5912F1AF0F2E}"/>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17</c:v>
                </c:pt>
                <c:pt idx="1">
                  <c:v>91</c:v>
                </c:pt>
                <c:pt idx="2" formatCode="#,##0">
                  <c:v>17195</c:v>
                </c:pt>
              </c:numCache>
            </c:numRef>
          </c:val>
          <c:extLst>
            <c:ext xmlns:c16="http://schemas.microsoft.com/office/drawing/2014/chart" uri="{C3380CC4-5D6E-409C-BE32-E72D297353CC}">
              <c16:uniqueId val="{00000006-A364-4CDE-BE97-5912F1AF0F2E}"/>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EE72-471B-8C29-B7D8A262C91D}"/>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EE72-471B-8C29-B7D8A262C91D}"/>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72-471B-8C29-B7D8A262C91D}"/>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72-471B-8C29-B7D8A262C91D}"/>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0.27018633540372672</c:v>
                </c:pt>
                <c:pt idx="1">
                  <c:v>0.72981366459627328</c:v>
                </c:pt>
              </c:numCache>
            </c:numRef>
          </c:val>
          <c:extLst>
            <c:ext xmlns:c16="http://schemas.microsoft.com/office/drawing/2014/chart" uri="{C3380CC4-5D6E-409C-BE32-E72D297353CC}">
              <c16:uniqueId val="{00000004-EE72-471B-8C29-B7D8A262C91D}"/>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EEA5-47F6-A45B-F28AF1F905FE}"/>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EEA5-47F6-A45B-F28AF1F905FE}"/>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A5-47F6-A45B-F28AF1F905FE}"/>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A5-47F6-A45B-F28AF1F905FE}"/>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0.9285714285714286</c:v>
                </c:pt>
                <c:pt idx="1">
                  <c:v>7.1428571428571425E-2</c:v>
                </c:pt>
              </c:numCache>
            </c:numRef>
          </c:val>
          <c:extLst>
            <c:ext xmlns:c16="http://schemas.microsoft.com/office/drawing/2014/chart" uri="{C3380CC4-5D6E-409C-BE32-E72D297353CC}">
              <c16:uniqueId val="{00000004-EEA5-47F6-A45B-F28AF1F905FE}"/>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F691-413D-B094-A6BB16853316}"/>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F691-413D-B094-A6BB16853316}"/>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91-413D-B094-A6BB16853316}"/>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91-413D-B094-A6BB16853316}"/>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20</c:v>
                </c:pt>
                <c:pt idx="1">
                  <c:v>5</c:v>
                </c:pt>
              </c:numCache>
            </c:numRef>
          </c:val>
          <c:extLst>
            <c:ext xmlns:c16="http://schemas.microsoft.com/office/drawing/2014/chart" uri="{C3380CC4-5D6E-409C-BE32-E72D297353CC}">
              <c16:uniqueId val="{00000004-F691-413D-B094-A6BB16853316}"/>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971</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34</cp:revision>
  <cp:lastPrinted>2020-02-04T16:26:00Z</cp:lastPrinted>
  <dcterms:created xsi:type="dcterms:W3CDTF">2022-01-20T00:01:00Z</dcterms:created>
  <dcterms:modified xsi:type="dcterms:W3CDTF">2022-03-04T18:24:00Z</dcterms:modified>
</cp:coreProperties>
</file>