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BA14" w14:textId="77777777" w:rsidR="00431A46" w:rsidRPr="00530D6D" w:rsidRDefault="00431A46" w:rsidP="00530D6D">
      <w:pPr>
        <w:shd w:val="clear" w:color="auto" w:fill="668CD0"/>
        <w:spacing w:after="0" w:line="240" w:lineRule="auto"/>
        <w:jc w:val="center"/>
        <w:rPr>
          <w:rFonts w:ascii="Times New Roman" w:hAnsi="Times New Roman" w:cs="Times New Roman"/>
          <w:b/>
          <w:bCs/>
          <w:sz w:val="28"/>
          <w:szCs w:val="28"/>
          <w:lang w:val="es-419"/>
        </w:rPr>
      </w:pPr>
      <w:r w:rsidRPr="00530D6D">
        <w:rPr>
          <w:rFonts w:ascii="Times New Roman" w:hAnsi="Times New Roman" w:cs="Times New Roman"/>
          <w:b/>
          <w:bCs/>
          <w:sz w:val="28"/>
          <w:szCs w:val="28"/>
          <w:lang w:val="es-419"/>
        </w:rPr>
        <w:t>RESEÑAS DE LA PRIMERA SALA.</w:t>
      </w:r>
    </w:p>
    <w:p w14:paraId="430DB3A3" w14:textId="3EA947AF" w:rsidR="00530D6D" w:rsidRPr="00530D6D" w:rsidRDefault="00530D6D" w:rsidP="00530D6D">
      <w:pPr>
        <w:spacing w:after="0" w:line="240" w:lineRule="auto"/>
        <w:jc w:val="center"/>
        <w:rPr>
          <w:rFonts w:ascii="Times New Roman" w:hAnsi="Times New Roman" w:cs="Times New Roman"/>
          <w:b/>
          <w:sz w:val="26"/>
          <w:szCs w:val="26"/>
          <w:lang w:val="es-419"/>
        </w:rPr>
      </w:pPr>
    </w:p>
    <w:p w14:paraId="1850ACF7" w14:textId="7FB1522C" w:rsidR="00431A46" w:rsidRDefault="00431A46" w:rsidP="00530D6D">
      <w:pPr>
        <w:spacing w:after="0" w:line="240" w:lineRule="auto"/>
        <w:jc w:val="center"/>
        <w:rPr>
          <w:rFonts w:ascii="Times New Roman" w:hAnsi="Times New Roman" w:cs="Times New Roman"/>
          <w:b/>
          <w:sz w:val="26"/>
          <w:szCs w:val="26"/>
          <w:lang w:val="es-419"/>
        </w:rPr>
      </w:pPr>
      <w:r w:rsidRPr="00530D6D">
        <w:rPr>
          <w:rFonts w:ascii="Times New Roman" w:hAnsi="Times New Roman" w:cs="Times New Roman"/>
          <w:b/>
          <w:sz w:val="26"/>
          <w:szCs w:val="26"/>
          <w:lang w:val="es-419"/>
        </w:rPr>
        <w:t>AMPARO EN REVISIÓN 163/2020.</w:t>
      </w:r>
    </w:p>
    <w:p w14:paraId="50AA59A5" w14:textId="77777777" w:rsidR="00530D6D" w:rsidRPr="00530D6D" w:rsidRDefault="00530D6D" w:rsidP="00530D6D">
      <w:pPr>
        <w:spacing w:after="0" w:line="240" w:lineRule="auto"/>
        <w:jc w:val="center"/>
        <w:rPr>
          <w:rFonts w:ascii="Times New Roman" w:hAnsi="Times New Roman" w:cs="Times New Roman"/>
          <w:b/>
          <w:sz w:val="26"/>
          <w:szCs w:val="26"/>
          <w:lang w:val="es-419"/>
        </w:rPr>
      </w:pPr>
    </w:p>
    <w:p w14:paraId="1178B98E" w14:textId="1AD7C322" w:rsidR="00530D6D" w:rsidRPr="0023400E" w:rsidRDefault="00530D6D" w:rsidP="00530D6D">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Análisis sobre la posible inconstitucionalidad del artículo 24, fracción XXIII de la Ley Federal de Protección al Consumidor, dentro de un procedimiento de verificación.</w:t>
      </w:r>
    </w:p>
    <w:p w14:paraId="5F7348B6" w14:textId="77777777" w:rsidR="00530D6D" w:rsidRDefault="00530D6D" w:rsidP="00530D6D">
      <w:pPr>
        <w:spacing w:after="0" w:line="240" w:lineRule="auto"/>
        <w:rPr>
          <w:rFonts w:ascii="Times New Roman" w:hAnsi="Times New Roman" w:cs="Times New Roman"/>
          <w:b/>
          <w:bCs/>
          <w:smallCaps/>
          <w:sz w:val="24"/>
          <w:szCs w:val="24"/>
          <w:lang w:val="es-419"/>
        </w:rPr>
      </w:pPr>
    </w:p>
    <w:p w14:paraId="64B95CEF" w14:textId="77777777" w:rsidR="00530D6D" w:rsidRPr="0023400E" w:rsidRDefault="00530D6D" w:rsidP="00530D6D">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362F2F77" w14:textId="6D00E0EA" w:rsidR="00530D6D" w:rsidRDefault="00530D6D" w:rsidP="00530D6D">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w:t>
      </w:r>
      <w:r w:rsidR="00A23B4C">
        <w:rPr>
          <w:rFonts w:ascii="Times New Roman" w:hAnsi="Times New Roman" w:cs="Times New Roman"/>
          <w:smallCaps/>
          <w:sz w:val="24"/>
          <w:szCs w:val="24"/>
          <w:lang w:val="es-419"/>
        </w:rPr>
        <w:t>o</w:t>
      </w:r>
      <w:r w:rsidRPr="0023400E">
        <w:rPr>
          <w:rFonts w:ascii="Times New Roman" w:hAnsi="Times New Roman" w:cs="Times New Roman"/>
          <w:smallCaps/>
          <w:sz w:val="24"/>
          <w:szCs w:val="24"/>
          <w:lang w:val="es-419"/>
        </w:rPr>
        <w:t>:</w:t>
      </w:r>
      <w:r>
        <w:rPr>
          <w:rFonts w:ascii="Times New Roman" w:hAnsi="Times New Roman" w:cs="Times New Roman"/>
          <w:smallCaps/>
          <w:sz w:val="24"/>
          <w:szCs w:val="24"/>
          <w:lang w:val="es-419"/>
        </w:rPr>
        <w:t xml:space="preserve"> Néstor Rafael Salas Castillo.</w:t>
      </w:r>
    </w:p>
    <w:p w14:paraId="4B683DFB" w14:textId="77777777" w:rsidR="00530D6D" w:rsidRDefault="00530D6D" w:rsidP="00530D6D">
      <w:pPr>
        <w:spacing w:after="0" w:line="240" w:lineRule="auto"/>
        <w:rPr>
          <w:rFonts w:ascii="Times New Roman" w:hAnsi="Times New Roman" w:cs="Times New Roman"/>
          <w:smallCaps/>
          <w:sz w:val="24"/>
          <w:szCs w:val="24"/>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530D6D" w:rsidRPr="004B3920" w14:paraId="2F23BF09" w14:textId="77777777" w:rsidTr="00530D6D">
        <w:trPr>
          <w:trHeight w:val="28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FA638" w14:textId="4B6D8D58" w:rsidR="00530D6D" w:rsidRPr="00F440E3" w:rsidRDefault="00530D6D" w:rsidP="003B20F7">
            <w:pPr>
              <w:spacing w:after="0" w:line="240" w:lineRule="auto"/>
              <w:jc w:val="both"/>
              <w:rPr>
                <w:rFonts w:ascii="Times New Roman" w:hAnsi="Times New Roman" w:cs="Times New Roman"/>
                <w:b/>
                <w:bCs/>
                <w:sz w:val="20"/>
                <w:szCs w:val="20"/>
                <w:lang w:val="es-419"/>
              </w:rPr>
            </w:pPr>
            <w:r w:rsidRPr="00F440E3">
              <w:rPr>
                <w:rFonts w:ascii="Times New Roman" w:hAnsi="Times New Roman" w:cs="Times New Roman"/>
                <w:b/>
                <w:bCs/>
                <w:sz w:val="20"/>
                <w:szCs w:val="20"/>
                <w:lang w:val="es-419"/>
              </w:rPr>
              <w:t>Resumen:</w:t>
            </w:r>
          </w:p>
          <w:p w14:paraId="2A3858DC" w14:textId="77777777" w:rsidR="00530D6D" w:rsidRDefault="00530D6D" w:rsidP="003B20F7">
            <w:pPr>
              <w:spacing w:after="0" w:line="240" w:lineRule="auto"/>
              <w:jc w:val="both"/>
              <w:rPr>
                <w:rFonts w:ascii="Times New Roman" w:hAnsi="Times New Roman" w:cs="Times New Roman"/>
                <w:sz w:val="20"/>
                <w:szCs w:val="20"/>
                <w:lang w:val="es-419"/>
              </w:rPr>
            </w:pPr>
          </w:p>
          <w:p w14:paraId="51C09319" w14:textId="044199DA" w:rsidR="00530D6D" w:rsidRDefault="00530D6D" w:rsidP="00530D6D">
            <w:pPr>
              <w:spacing w:after="0" w:line="240" w:lineRule="auto"/>
              <w:jc w:val="both"/>
              <w:rPr>
                <w:rFonts w:ascii="Times New Roman" w:hAnsi="Times New Roman" w:cs="Times New Roman"/>
                <w:sz w:val="20"/>
                <w:szCs w:val="20"/>
                <w:lang w:val="es-419"/>
              </w:rPr>
            </w:pPr>
            <w:r w:rsidRPr="00530D6D">
              <w:rPr>
                <w:rFonts w:ascii="Times New Roman" w:hAnsi="Times New Roman" w:cs="Times New Roman"/>
                <w:sz w:val="20"/>
                <w:szCs w:val="20"/>
                <w:lang w:val="es-419"/>
              </w:rPr>
              <w:t>Una empresa promovió un juicio de amparo indirecto, a raíz de la publicación de una resolución de un procedimiento de verificación realizado por la Procuraduría Federal del Consumidor. Asimismo, la compañía consideró que, dentro de Ley Federal de Protección al Consumidor, los artículos 24</w:t>
            </w:r>
            <w:r w:rsidR="00B46898">
              <w:rPr>
                <w:rFonts w:ascii="Times New Roman" w:hAnsi="Times New Roman" w:cs="Times New Roman"/>
                <w:sz w:val="20"/>
                <w:szCs w:val="20"/>
                <w:lang w:val="es-419"/>
              </w:rPr>
              <w:t>,</w:t>
            </w:r>
            <w:r w:rsidRPr="00530D6D">
              <w:rPr>
                <w:rFonts w:ascii="Times New Roman" w:hAnsi="Times New Roman" w:cs="Times New Roman"/>
                <w:sz w:val="20"/>
                <w:szCs w:val="20"/>
                <w:lang w:val="es-419"/>
              </w:rPr>
              <w:t xml:space="preserve"> fracción XXIII</w:t>
            </w:r>
            <w:r w:rsidR="00B46898">
              <w:rPr>
                <w:rFonts w:ascii="Times New Roman" w:hAnsi="Times New Roman" w:cs="Times New Roman"/>
                <w:sz w:val="20"/>
                <w:szCs w:val="20"/>
                <w:lang w:val="es-419"/>
              </w:rPr>
              <w:t>;</w:t>
            </w:r>
            <w:r w:rsidRPr="00530D6D">
              <w:rPr>
                <w:rFonts w:ascii="Times New Roman" w:hAnsi="Times New Roman" w:cs="Times New Roman"/>
                <w:sz w:val="20"/>
                <w:szCs w:val="20"/>
                <w:lang w:val="es-419"/>
              </w:rPr>
              <w:t xml:space="preserve"> 25 </w:t>
            </w:r>
            <w:r w:rsidR="00B651AB" w:rsidRPr="00530D6D">
              <w:rPr>
                <w:rFonts w:ascii="Times New Roman" w:hAnsi="Times New Roman" w:cs="Times New Roman"/>
                <w:sz w:val="20"/>
                <w:szCs w:val="20"/>
                <w:lang w:val="es-419"/>
              </w:rPr>
              <w:t>B</w:t>
            </w:r>
            <w:r w:rsidRPr="00530D6D">
              <w:rPr>
                <w:rFonts w:ascii="Times New Roman" w:hAnsi="Times New Roman" w:cs="Times New Roman"/>
                <w:sz w:val="20"/>
                <w:szCs w:val="20"/>
                <w:lang w:val="es-419"/>
              </w:rPr>
              <w:t>is</w:t>
            </w:r>
            <w:r w:rsidR="00B46898">
              <w:rPr>
                <w:rFonts w:ascii="Times New Roman" w:hAnsi="Times New Roman" w:cs="Times New Roman"/>
                <w:sz w:val="20"/>
                <w:szCs w:val="20"/>
                <w:lang w:val="es-419"/>
              </w:rPr>
              <w:t>,</w:t>
            </w:r>
            <w:r w:rsidRPr="00530D6D">
              <w:rPr>
                <w:rFonts w:ascii="Times New Roman" w:hAnsi="Times New Roman" w:cs="Times New Roman"/>
                <w:sz w:val="20"/>
                <w:szCs w:val="20"/>
                <w:lang w:val="es-419"/>
              </w:rPr>
              <w:t xml:space="preserve"> fracciones V y VI</w:t>
            </w:r>
            <w:r w:rsidR="00B46898">
              <w:rPr>
                <w:rFonts w:ascii="Times New Roman" w:hAnsi="Times New Roman" w:cs="Times New Roman"/>
                <w:sz w:val="20"/>
                <w:szCs w:val="20"/>
                <w:lang w:val="es-419"/>
              </w:rPr>
              <w:t>, y</w:t>
            </w:r>
            <w:r w:rsidRPr="00530D6D">
              <w:rPr>
                <w:rFonts w:ascii="Times New Roman" w:hAnsi="Times New Roman" w:cs="Times New Roman"/>
                <w:sz w:val="20"/>
                <w:szCs w:val="20"/>
                <w:lang w:val="es-419"/>
              </w:rPr>
              <w:t xml:space="preserve"> segundo párrafo</w:t>
            </w:r>
            <w:r w:rsidR="00B46898">
              <w:rPr>
                <w:rFonts w:ascii="Times New Roman" w:hAnsi="Times New Roman" w:cs="Times New Roman"/>
                <w:sz w:val="20"/>
                <w:szCs w:val="20"/>
                <w:lang w:val="es-419"/>
              </w:rPr>
              <w:t>;</w:t>
            </w:r>
            <w:r w:rsidRPr="00530D6D">
              <w:rPr>
                <w:rFonts w:ascii="Times New Roman" w:hAnsi="Times New Roman" w:cs="Times New Roman"/>
                <w:sz w:val="20"/>
                <w:szCs w:val="20"/>
                <w:lang w:val="es-419"/>
              </w:rPr>
              <w:t xml:space="preserve"> 32</w:t>
            </w:r>
            <w:r w:rsidR="00B46898">
              <w:rPr>
                <w:rFonts w:ascii="Times New Roman" w:hAnsi="Times New Roman" w:cs="Times New Roman"/>
                <w:sz w:val="20"/>
                <w:szCs w:val="20"/>
                <w:lang w:val="es-419"/>
              </w:rPr>
              <w:t>,</w:t>
            </w:r>
            <w:r w:rsidRPr="00530D6D">
              <w:rPr>
                <w:rFonts w:ascii="Times New Roman" w:hAnsi="Times New Roman" w:cs="Times New Roman"/>
                <w:sz w:val="20"/>
                <w:szCs w:val="20"/>
                <w:lang w:val="es-419"/>
              </w:rPr>
              <w:t xml:space="preserve"> cuarto párrafo</w:t>
            </w:r>
            <w:r w:rsidR="00C67930">
              <w:rPr>
                <w:rFonts w:ascii="Times New Roman" w:hAnsi="Times New Roman" w:cs="Times New Roman"/>
                <w:sz w:val="20"/>
                <w:szCs w:val="20"/>
                <w:lang w:val="es-419"/>
              </w:rPr>
              <w:t>;</w:t>
            </w:r>
            <w:r w:rsidRPr="00530D6D">
              <w:rPr>
                <w:rFonts w:ascii="Times New Roman" w:hAnsi="Times New Roman" w:cs="Times New Roman"/>
                <w:sz w:val="20"/>
                <w:szCs w:val="20"/>
                <w:lang w:val="es-419"/>
              </w:rPr>
              <w:t xml:space="preserve"> 97 </w:t>
            </w:r>
            <w:r w:rsidR="00B651AB" w:rsidRPr="00530D6D">
              <w:rPr>
                <w:rFonts w:ascii="Times New Roman" w:hAnsi="Times New Roman" w:cs="Times New Roman"/>
                <w:sz w:val="20"/>
                <w:szCs w:val="20"/>
                <w:lang w:val="es-419"/>
              </w:rPr>
              <w:t>Q</w:t>
            </w:r>
            <w:r w:rsidRPr="00530D6D">
              <w:rPr>
                <w:rFonts w:ascii="Times New Roman" w:hAnsi="Times New Roman" w:cs="Times New Roman"/>
                <w:sz w:val="20"/>
                <w:szCs w:val="20"/>
                <w:lang w:val="es-419"/>
              </w:rPr>
              <w:t>u</w:t>
            </w:r>
            <w:r w:rsidR="002E31BD">
              <w:rPr>
                <w:rFonts w:ascii="Times New Roman" w:hAnsi="Times New Roman" w:cs="Times New Roman"/>
                <w:sz w:val="20"/>
                <w:szCs w:val="20"/>
                <w:lang w:val="es-419"/>
              </w:rPr>
              <w:t>á</w:t>
            </w:r>
            <w:r w:rsidRPr="00530D6D">
              <w:rPr>
                <w:rFonts w:ascii="Times New Roman" w:hAnsi="Times New Roman" w:cs="Times New Roman"/>
                <w:sz w:val="20"/>
                <w:szCs w:val="20"/>
                <w:lang w:val="es-419"/>
              </w:rPr>
              <w:t xml:space="preserve">ter, y 128 </w:t>
            </w:r>
            <w:r w:rsidR="00B651AB">
              <w:rPr>
                <w:rFonts w:ascii="Times New Roman" w:hAnsi="Times New Roman" w:cs="Times New Roman"/>
                <w:sz w:val="20"/>
                <w:szCs w:val="20"/>
                <w:lang w:val="es-419"/>
              </w:rPr>
              <w:t>B</w:t>
            </w:r>
            <w:r w:rsidRPr="00530D6D">
              <w:rPr>
                <w:rFonts w:ascii="Times New Roman" w:hAnsi="Times New Roman" w:cs="Times New Roman"/>
                <w:sz w:val="20"/>
                <w:szCs w:val="20"/>
                <w:lang w:val="es-419"/>
              </w:rPr>
              <w:t>is eran inconstitucionales.</w:t>
            </w:r>
          </w:p>
          <w:p w14:paraId="1FAD37FA" w14:textId="77777777" w:rsidR="00530D6D" w:rsidRPr="00530D6D" w:rsidRDefault="00530D6D" w:rsidP="00530D6D">
            <w:pPr>
              <w:spacing w:after="0" w:line="240" w:lineRule="auto"/>
              <w:jc w:val="both"/>
              <w:rPr>
                <w:rFonts w:ascii="Times New Roman" w:hAnsi="Times New Roman" w:cs="Times New Roman"/>
                <w:sz w:val="20"/>
                <w:szCs w:val="20"/>
                <w:lang w:val="es-419"/>
              </w:rPr>
            </w:pPr>
          </w:p>
          <w:p w14:paraId="387922A9" w14:textId="5CB79F26" w:rsidR="00530D6D" w:rsidRDefault="00530D6D" w:rsidP="00530D6D">
            <w:pPr>
              <w:spacing w:after="0" w:line="240" w:lineRule="auto"/>
              <w:jc w:val="both"/>
              <w:rPr>
                <w:rFonts w:ascii="Times New Roman" w:hAnsi="Times New Roman" w:cs="Times New Roman"/>
                <w:sz w:val="20"/>
                <w:szCs w:val="20"/>
                <w:lang w:val="es-419"/>
              </w:rPr>
            </w:pPr>
            <w:r w:rsidRPr="00530D6D">
              <w:rPr>
                <w:rFonts w:ascii="Times New Roman" w:hAnsi="Times New Roman" w:cs="Times New Roman"/>
                <w:sz w:val="20"/>
                <w:szCs w:val="20"/>
                <w:lang w:val="es-419"/>
              </w:rPr>
              <w:t>El Tribunal Colegiado que conoció del asunto, determinó que existían problemas de constitucionalidad</w:t>
            </w:r>
            <w:r w:rsidR="00DE5259">
              <w:rPr>
                <w:rFonts w:ascii="Times New Roman" w:hAnsi="Times New Roman" w:cs="Times New Roman"/>
                <w:sz w:val="20"/>
                <w:szCs w:val="20"/>
                <w:lang w:val="es-419"/>
              </w:rPr>
              <w:t>,</w:t>
            </w:r>
            <w:r w:rsidRPr="00530D6D">
              <w:rPr>
                <w:rFonts w:ascii="Times New Roman" w:hAnsi="Times New Roman" w:cs="Times New Roman"/>
                <w:sz w:val="20"/>
                <w:szCs w:val="20"/>
                <w:lang w:val="es-419"/>
              </w:rPr>
              <w:t xml:space="preserve"> por lo que solicitó a la Suprema Corte de Justicia de la Nación que resolviera</w:t>
            </w:r>
            <w:r w:rsidR="00DE5259">
              <w:rPr>
                <w:rFonts w:ascii="Times New Roman" w:hAnsi="Times New Roman" w:cs="Times New Roman"/>
                <w:sz w:val="20"/>
                <w:szCs w:val="20"/>
                <w:lang w:val="es-419"/>
              </w:rPr>
              <w:t>.</w:t>
            </w:r>
          </w:p>
          <w:p w14:paraId="45BB1BC3" w14:textId="77777777" w:rsidR="00530D6D" w:rsidRDefault="00530D6D" w:rsidP="00530D6D">
            <w:pPr>
              <w:spacing w:after="0" w:line="240" w:lineRule="auto"/>
              <w:jc w:val="both"/>
              <w:rPr>
                <w:rFonts w:ascii="Times New Roman" w:hAnsi="Times New Roman" w:cs="Times New Roman"/>
                <w:sz w:val="20"/>
                <w:szCs w:val="20"/>
                <w:lang w:val="es-419"/>
              </w:rPr>
            </w:pPr>
          </w:p>
          <w:p w14:paraId="77F9399A" w14:textId="7C8BEAAB" w:rsidR="00530D6D" w:rsidRPr="00F440E3" w:rsidRDefault="00530D6D" w:rsidP="00530D6D">
            <w:pPr>
              <w:spacing w:after="0" w:line="240" w:lineRule="auto"/>
              <w:jc w:val="both"/>
              <w:rPr>
                <w:rFonts w:ascii="Times New Roman" w:hAnsi="Times New Roman" w:cs="Times New Roman"/>
                <w:b/>
                <w:bCs/>
                <w:sz w:val="20"/>
                <w:szCs w:val="20"/>
                <w:lang w:val="es-419"/>
              </w:rPr>
            </w:pPr>
            <w:r w:rsidRPr="00F440E3">
              <w:rPr>
                <w:rFonts w:ascii="Times New Roman" w:hAnsi="Times New Roman" w:cs="Times New Roman"/>
                <w:sz w:val="20"/>
                <w:szCs w:val="20"/>
                <w:lang w:val="es-419"/>
              </w:rPr>
              <w:t>En el presente asunto, la Primera Sala</w:t>
            </w:r>
            <w:r>
              <w:rPr>
                <w:rFonts w:ascii="Times New Roman" w:hAnsi="Times New Roman" w:cs="Times New Roman"/>
                <w:sz w:val="20"/>
                <w:szCs w:val="20"/>
                <w:lang w:val="es-419"/>
              </w:rPr>
              <w:t xml:space="preserve"> analizó si e</w:t>
            </w:r>
            <w:r w:rsidRPr="00530D6D">
              <w:rPr>
                <w:rFonts w:ascii="Times New Roman" w:hAnsi="Times New Roman" w:cs="Times New Roman"/>
                <w:sz w:val="20"/>
                <w:szCs w:val="20"/>
                <w:lang w:val="es-419"/>
              </w:rPr>
              <w:t>l artículo 24 fracción XXIII es violatorio del derecho al honor y a la presunción de inocencia de las personas morales</w:t>
            </w:r>
            <w:r>
              <w:rPr>
                <w:rFonts w:ascii="Times New Roman" w:hAnsi="Times New Roman" w:cs="Times New Roman"/>
                <w:sz w:val="20"/>
                <w:szCs w:val="20"/>
                <w:lang w:val="es-419"/>
              </w:rPr>
              <w:t>.</w:t>
            </w:r>
          </w:p>
        </w:tc>
      </w:tr>
    </w:tbl>
    <w:p w14:paraId="3867DC30" w14:textId="77777777" w:rsidR="001706BD" w:rsidRPr="00530D6D" w:rsidRDefault="001706BD" w:rsidP="00530D6D">
      <w:pPr>
        <w:tabs>
          <w:tab w:val="left" w:pos="2325"/>
          <w:tab w:val="center" w:pos="4419"/>
        </w:tabs>
        <w:spacing w:after="0" w:line="240" w:lineRule="auto"/>
        <w:jc w:val="both"/>
        <w:rPr>
          <w:rFonts w:ascii="Times New Roman" w:hAnsi="Times New Roman" w:cs="Times New Roman"/>
          <w:b/>
          <w:sz w:val="24"/>
          <w:szCs w:val="24"/>
        </w:rPr>
      </w:pPr>
    </w:p>
    <w:p w14:paraId="7CEC65B3" w14:textId="69DFC73F" w:rsidR="003B4899" w:rsidRPr="00530D6D" w:rsidRDefault="00431A46" w:rsidP="00530D6D">
      <w:pPr>
        <w:spacing w:after="0" w:line="240" w:lineRule="auto"/>
        <w:jc w:val="both"/>
        <w:rPr>
          <w:rFonts w:ascii="Times New Roman" w:hAnsi="Times New Roman" w:cs="Times New Roman"/>
          <w:b/>
          <w:bCs/>
          <w:sz w:val="24"/>
          <w:szCs w:val="24"/>
          <w:shd w:val="clear" w:color="auto" w:fill="B4C6E7" w:themeFill="accent1" w:themeFillTint="66"/>
          <w:lang w:val="es-419"/>
        </w:rPr>
      </w:pPr>
      <w:r w:rsidRPr="00530D6D">
        <w:rPr>
          <w:rFonts w:ascii="Times New Roman" w:hAnsi="Times New Roman" w:cs="Times New Roman"/>
          <w:b/>
          <w:bCs/>
          <w:sz w:val="24"/>
          <w:szCs w:val="24"/>
          <w:shd w:val="clear" w:color="auto" w:fill="B4C6E7" w:themeFill="accent1" w:themeFillTint="66"/>
          <w:lang w:val="es-419"/>
        </w:rPr>
        <w:t>Antecedentes del caso</w:t>
      </w:r>
      <w:r w:rsidR="00530D6D">
        <w:rPr>
          <w:rFonts w:ascii="Times New Roman" w:hAnsi="Times New Roman" w:cs="Times New Roman"/>
          <w:b/>
          <w:bCs/>
          <w:sz w:val="24"/>
          <w:szCs w:val="24"/>
          <w:shd w:val="clear" w:color="auto" w:fill="B4C6E7" w:themeFill="accent1" w:themeFillTint="66"/>
          <w:lang w:val="es-419"/>
        </w:rPr>
        <w:t>:</w:t>
      </w:r>
    </w:p>
    <w:p w14:paraId="100A60F3" w14:textId="77777777" w:rsidR="00530D6D" w:rsidRDefault="00530D6D" w:rsidP="00530D6D">
      <w:pPr>
        <w:pStyle w:val="TEXTONORMAL"/>
        <w:spacing w:line="240" w:lineRule="auto"/>
        <w:ind w:right="49" w:firstLine="0"/>
        <w:rPr>
          <w:rFonts w:ascii="Times New Roman" w:hAnsi="Times New Roman" w:cs="Times New Roman"/>
          <w:sz w:val="24"/>
          <w:szCs w:val="24"/>
        </w:rPr>
      </w:pPr>
    </w:p>
    <w:p w14:paraId="6861780E" w14:textId="0B616DD1" w:rsidR="0045327E" w:rsidRPr="00530D6D" w:rsidRDefault="00431A46" w:rsidP="00530D6D">
      <w:pPr>
        <w:pStyle w:val="TEXTONORMAL"/>
        <w:spacing w:line="240" w:lineRule="auto"/>
        <w:ind w:right="49" w:firstLine="0"/>
        <w:rPr>
          <w:rFonts w:ascii="Times New Roman" w:hAnsi="Times New Roman" w:cs="Times New Roman"/>
          <w:sz w:val="24"/>
          <w:szCs w:val="24"/>
          <w:lang w:val="es-ES"/>
        </w:rPr>
      </w:pPr>
      <w:r w:rsidRPr="00530D6D">
        <w:rPr>
          <w:rFonts w:ascii="Times New Roman" w:hAnsi="Times New Roman" w:cs="Times New Roman"/>
          <w:sz w:val="24"/>
          <w:szCs w:val="24"/>
        </w:rPr>
        <w:t xml:space="preserve">En </w:t>
      </w:r>
      <w:r w:rsidR="00BD1450" w:rsidRPr="00530D6D">
        <w:rPr>
          <w:rFonts w:ascii="Times New Roman" w:hAnsi="Times New Roman" w:cs="Times New Roman"/>
          <w:sz w:val="24"/>
          <w:szCs w:val="24"/>
        </w:rPr>
        <w:t>2018, una empresa promovió un juicio de amparo indirecto</w:t>
      </w:r>
      <w:r w:rsidR="00D07E66" w:rsidRPr="00530D6D">
        <w:rPr>
          <w:rFonts w:ascii="Times New Roman" w:hAnsi="Times New Roman" w:cs="Times New Roman"/>
          <w:sz w:val="24"/>
          <w:szCs w:val="24"/>
        </w:rPr>
        <w:t xml:space="preserve"> </w:t>
      </w:r>
      <w:r w:rsidR="001B3F41" w:rsidRPr="00530D6D">
        <w:rPr>
          <w:rFonts w:ascii="Times New Roman" w:hAnsi="Times New Roman" w:cs="Times New Roman"/>
          <w:sz w:val="24"/>
          <w:szCs w:val="24"/>
        </w:rPr>
        <w:t>por</w:t>
      </w:r>
      <w:r w:rsidR="003B4899" w:rsidRPr="00530D6D">
        <w:rPr>
          <w:rFonts w:ascii="Times New Roman" w:hAnsi="Times New Roman" w:cs="Times New Roman"/>
          <w:sz w:val="24"/>
          <w:szCs w:val="24"/>
        </w:rPr>
        <w:t xml:space="preserve"> </w:t>
      </w:r>
      <w:r w:rsidR="001B3F41" w:rsidRPr="00530D6D">
        <w:rPr>
          <w:rFonts w:ascii="Times New Roman" w:hAnsi="Times New Roman" w:cs="Times New Roman"/>
          <w:sz w:val="24"/>
          <w:szCs w:val="24"/>
        </w:rPr>
        <w:t xml:space="preserve">considerar </w:t>
      </w:r>
      <w:r w:rsidR="0045327E" w:rsidRPr="00530D6D">
        <w:rPr>
          <w:rFonts w:ascii="Times New Roman" w:hAnsi="Times New Roman" w:cs="Times New Roman"/>
          <w:sz w:val="24"/>
          <w:szCs w:val="24"/>
          <w:lang w:val="es-ES"/>
        </w:rPr>
        <w:t xml:space="preserve">que la publicación en la página web de la Procuraduría Federal del Consumidor </w:t>
      </w:r>
      <w:r w:rsidR="00FD5593">
        <w:rPr>
          <w:rFonts w:ascii="Times New Roman" w:hAnsi="Times New Roman" w:cs="Times New Roman"/>
          <w:sz w:val="24"/>
          <w:szCs w:val="24"/>
          <w:lang w:val="es-ES"/>
        </w:rPr>
        <w:t xml:space="preserve">(Profeco) </w:t>
      </w:r>
      <w:r w:rsidR="0045327E" w:rsidRPr="00530D6D">
        <w:rPr>
          <w:rFonts w:ascii="Times New Roman" w:hAnsi="Times New Roman" w:cs="Times New Roman"/>
          <w:sz w:val="24"/>
          <w:szCs w:val="24"/>
          <w:lang w:val="es-ES"/>
        </w:rPr>
        <w:t>de una resolución derivada de un proceso de verificación a un producto</w:t>
      </w:r>
      <w:r w:rsidR="002B606E" w:rsidRPr="00530D6D">
        <w:rPr>
          <w:rFonts w:ascii="Times New Roman" w:hAnsi="Times New Roman" w:cs="Times New Roman"/>
          <w:sz w:val="24"/>
          <w:szCs w:val="24"/>
          <w:lang w:val="es-ES"/>
        </w:rPr>
        <w:t xml:space="preserve"> que fabricaban</w:t>
      </w:r>
      <w:r w:rsidR="0045327E" w:rsidRPr="00530D6D">
        <w:rPr>
          <w:rFonts w:ascii="Times New Roman" w:hAnsi="Times New Roman" w:cs="Times New Roman"/>
          <w:sz w:val="24"/>
          <w:szCs w:val="24"/>
          <w:lang w:val="es-ES"/>
        </w:rPr>
        <w:t xml:space="preserve"> </w:t>
      </w:r>
      <w:r w:rsidR="00656618" w:rsidRPr="00530D6D">
        <w:rPr>
          <w:rFonts w:ascii="Times New Roman" w:hAnsi="Times New Roman" w:cs="Times New Roman"/>
          <w:sz w:val="24"/>
          <w:szCs w:val="24"/>
          <w:lang w:val="es-ES"/>
        </w:rPr>
        <w:t>transgredía sus</w:t>
      </w:r>
      <w:r w:rsidR="0045327E" w:rsidRPr="00530D6D">
        <w:rPr>
          <w:rFonts w:ascii="Times New Roman" w:hAnsi="Times New Roman" w:cs="Times New Roman"/>
          <w:sz w:val="24"/>
          <w:szCs w:val="24"/>
          <w:lang w:val="es-ES"/>
        </w:rPr>
        <w:t xml:space="preserve"> derechos fundamentales</w:t>
      </w:r>
      <w:r w:rsidR="00656618" w:rsidRPr="00530D6D">
        <w:rPr>
          <w:rFonts w:ascii="Times New Roman" w:hAnsi="Times New Roman" w:cs="Times New Roman"/>
          <w:sz w:val="24"/>
          <w:szCs w:val="24"/>
          <w:lang w:val="es-ES"/>
        </w:rPr>
        <w:t xml:space="preserve">. En específico </w:t>
      </w:r>
      <w:r w:rsidR="0045327E" w:rsidRPr="00530D6D">
        <w:rPr>
          <w:rFonts w:ascii="Times New Roman" w:hAnsi="Times New Roman" w:cs="Times New Roman"/>
          <w:sz w:val="24"/>
          <w:szCs w:val="24"/>
          <w:lang w:val="es-ES"/>
        </w:rPr>
        <w:t>la privacidad, el prestigio profesional y la reputación.</w:t>
      </w:r>
    </w:p>
    <w:p w14:paraId="267750BF" w14:textId="77777777" w:rsidR="00530D6D" w:rsidRDefault="00530D6D" w:rsidP="00530D6D">
      <w:pPr>
        <w:pStyle w:val="TEXTONORMAL"/>
        <w:spacing w:line="240" w:lineRule="auto"/>
        <w:ind w:right="49" w:firstLine="0"/>
        <w:rPr>
          <w:rFonts w:ascii="Times New Roman" w:hAnsi="Times New Roman" w:cs="Times New Roman"/>
          <w:sz w:val="24"/>
          <w:szCs w:val="24"/>
          <w:lang w:val="es-ES"/>
        </w:rPr>
      </w:pPr>
    </w:p>
    <w:p w14:paraId="510016FF" w14:textId="35D02A9F" w:rsidR="00007440" w:rsidRPr="00530D6D" w:rsidRDefault="00620DBD" w:rsidP="00530D6D">
      <w:pPr>
        <w:pStyle w:val="TEXTONORMAL"/>
        <w:spacing w:line="240" w:lineRule="auto"/>
        <w:ind w:right="49" w:firstLine="0"/>
        <w:rPr>
          <w:rFonts w:ascii="Times New Roman" w:hAnsi="Times New Roman" w:cs="Times New Roman"/>
          <w:sz w:val="24"/>
          <w:szCs w:val="24"/>
          <w:lang w:val="es-ES"/>
        </w:rPr>
      </w:pPr>
      <w:r w:rsidRPr="00530D6D">
        <w:rPr>
          <w:rFonts w:ascii="Times New Roman" w:hAnsi="Times New Roman" w:cs="Times New Roman"/>
          <w:sz w:val="24"/>
          <w:szCs w:val="24"/>
          <w:lang w:val="es-ES"/>
        </w:rPr>
        <w:t>B</w:t>
      </w:r>
      <w:r w:rsidR="00FA7AF4" w:rsidRPr="00530D6D">
        <w:rPr>
          <w:rFonts w:ascii="Times New Roman" w:hAnsi="Times New Roman" w:cs="Times New Roman"/>
          <w:sz w:val="24"/>
          <w:szCs w:val="24"/>
          <w:lang w:val="es-ES"/>
        </w:rPr>
        <w:t>a</w:t>
      </w:r>
      <w:r w:rsidRPr="00530D6D">
        <w:rPr>
          <w:rFonts w:ascii="Times New Roman" w:hAnsi="Times New Roman" w:cs="Times New Roman"/>
          <w:sz w:val="24"/>
          <w:szCs w:val="24"/>
          <w:lang w:val="es-ES"/>
        </w:rPr>
        <w:t xml:space="preserve">jo este mismo tenor, la </w:t>
      </w:r>
      <w:r w:rsidR="0045327E" w:rsidRPr="00530D6D">
        <w:rPr>
          <w:rFonts w:ascii="Times New Roman" w:hAnsi="Times New Roman" w:cs="Times New Roman"/>
          <w:sz w:val="24"/>
          <w:szCs w:val="24"/>
          <w:lang w:val="es-ES"/>
        </w:rPr>
        <w:t>compañía</w:t>
      </w:r>
      <w:r w:rsidR="002B606E" w:rsidRPr="00530D6D">
        <w:rPr>
          <w:rFonts w:ascii="Times New Roman" w:hAnsi="Times New Roman" w:cs="Times New Roman"/>
          <w:sz w:val="24"/>
          <w:szCs w:val="24"/>
          <w:lang w:val="es-ES"/>
        </w:rPr>
        <w:t xml:space="preserve"> </w:t>
      </w:r>
      <w:r w:rsidR="0045327E" w:rsidRPr="00530D6D">
        <w:rPr>
          <w:rFonts w:ascii="Times New Roman" w:hAnsi="Times New Roman" w:cs="Times New Roman"/>
          <w:sz w:val="24"/>
          <w:szCs w:val="24"/>
          <w:lang w:val="es-ES"/>
        </w:rPr>
        <w:t xml:space="preserve">estimó que </w:t>
      </w:r>
      <w:r w:rsidR="0045327E" w:rsidRPr="00530D6D">
        <w:rPr>
          <w:rFonts w:ascii="Times New Roman" w:hAnsi="Times New Roman" w:cs="Times New Roman"/>
          <w:sz w:val="24"/>
          <w:szCs w:val="24"/>
        </w:rPr>
        <w:t xml:space="preserve">los artículos </w:t>
      </w:r>
      <w:r w:rsidR="0045327E" w:rsidRPr="00530D6D">
        <w:rPr>
          <w:rFonts w:ascii="Times New Roman" w:hAnsi="Times New Roman" w:cs="Times New Roman"/>
          <w:sz w:val="24"/>
          <w:szCs w:val="24"/>
          <w:lang w:val="es-ES"/>
        </w:rPr>
        <w:t>24</w:t>
      </w:r>
      <w:r w:rsidR="00B46898">
        <w:rPr>
          <w:rFonts w:ascii="Times New Roman" w:hAnsi="Times New Roman" w:cs="Times New Roman"/>
          <w:sz w:val="24"/>
          <w:szCs w:val="24"/>
          <w:lang w:val="es-ES"/>
        </w:rPr>
        <w:t>,</w:t>
      </w:r>
      <w:r w:rsidR="0045327E" w:rsidRPr="00530D6D">
        <w:rPr>
          <w:rFonts w:ascii="Times New Roman" w:hAnsi="Times New Roman" w:cs="Times New Roman"/>
          <w:sz w:val="24"/>
          <w:szCs w:val="24"/>
          <w:lang w:val="es-ES"/>
        </w:rPr>
        <w:t xml:space="preserve"> fracción XXIII</w:t>
      </w:r>
      <w:r w:rsidR="00B46898">
        <w:rPr>
          <w:rFonts w:ascii="Times New Roman" w:hAnsi="Times New Roman" w:cs="Times New Roman"/>
          <w:sz w:val="24"/>
          <w:szCs w:val="24"/>
          <w:lang w:val="es-ES"/>
        </w:rPr>
        <w:t>;</w:t>
      </w:r>
      <w:r w:rsidR="0045327E" w:rsidRPr="00530D6D">
        <w:rPr>
          <w:rFonts w:ascii="Times New Roman" w:hAnsi="Times New Roman" w:cs="Times New Roman"/>
          <w:sz w:val="24"/>
          <w:szCs w:val="24"/>
          <w:lang w:val="es-ES"/>
        </w:rPr>
        <w:t xml:space="preserve"> 25 </w:t>
      </w:r>
      <w:r w:rsidR="00B651AB" w:rsidRPr="00530D6D">
        <w:rPr>
          <w:rFonts w:ascii="Times New Roman" w:hAnsi="Times New Roman" w:cs="Times New Roman"/>
          <w:sz w:val="24"/>
          <w:szCs w:val="24"/>
          <w:lang w:val="es-ES"/>
        </w:rPr>
        <w:t>B</w:t>
      </w:r>
      <w:r w:rsidR="0045327E" w:rsidRPr="00530D6D">
        <w:rPr>
          <w:rFonts w:ascii="Times New Roman" w:hAnsi="Times New Roman" w:cs="Times New Roman"/>
          <w:sz w:val="24"/>
          <w:szCs w:val="24"/>
          <w:lang w:val="es-ES"/>
        </w:rPr>
        <w:t>is</w:t>
      </w:r>
      <w:r w:rsidR="00B46898">
        <w:rPr>
          <w:rFonts w:ascii="Times New Roman" w:hAnsi="Times New Roman" w:cs="Times New Roman"/>
          <w:sz w:val="24"/>
          <w:szCs w:val="24"/>
          <w:lang w:val="es-ES"/>
        </w:rPr>
        <w:t>,</w:t>
      </w:r>
      <w:r w:rsidR="0045327E" w:rsidRPr="00530D6D">
        <w:rPr>
          <w:rFonts w:ascii="Times New Roman" w:hAnsi="Times New Roman" w:cs="Times New Roman"/>
          <w:sz w:val="24"/>
          <w:szCs w:val="24"/>
          <w:lang w:val="es-ES"/>
        </w:rPr>
        <w:t xml:space="preserve"> fracciones V y VI</w:t>
      </w:r>
      <w:r w:rsidR="00B46898">
        <w:rPr>
          <w:rFonts w:ascii="Times New Roman" w:hAnsi="Times New Roman" w:cs="Times New Roman"/>
          <w:sz w:val="24"/>
          <w:szCs w:val="24"/>
          <w:lang w:val="es-ES"/>
        </w:rPr>
        <w:t xml:space="preserve">, y </w:t>
      </w:r>
      <w:r w:rsidR="0045327E" w:rsidRPr="00530D6D">
        <w:rPr>
          <w:rFonts w:ascii="Times New Roman" w:hAnsi="Times New Roman" w:cs="Times New Roman"/>
          <w:sz w:val="24"/>
          <w:szCs w:val="24"/>
          <w:lang w:val="es-ES"/>
        </w:rPr>
        <w:t>segundo párrafo</w:t>
      </w:r>
      <w:r w:rsidR="00B46898">
        <w:rPr>
          <w:rFonts w:ascii="Times New Roman" w:hAnsi="Times New Roman" w:cs="Times New Roman"/>
          <w:sz w:val="24"/>
          <w:szCs w:val="24"/>
          <w:lang w:val="es-ES"/>
        </w:rPr>
        <w:t>;</w:t>
      </w:r>
      <w:r w:rsidR="0045327E" w:rsidRPr="00530D6D">
        <w:rPr>
          <w:rFonts w:ascii="Times New Roman" w:hAnsi="Times New Roman" w:cs="Times New Roman"/>
          <w:sz w:val="24"/>
          <w:szCs w:val="24"/>
          <w:lang w:val="es-ES"/>
        </w:rPr>
        <w:t xml:space="preserve"> 32</w:t>
      </w:r>
      <w:r w:rsidR="00B46898">
        <w:rPr>
          <w:rFonts w:ascii="Times New Roman" w:hAnsi="Times New Roman" w:cs="Times New Roman"/>
          <w:sz w:val="24"/>
          <w:szCs w:val="24"/>
          <w:lang w:val="es-ES"/>
        </w:rPr>
        <w:t>,</w:t>
      </w:r>
      <w:r w:rsidR="0045327E" w:rsidRPr="00530D6D">
        <w:rPr>
          <w:rFonts w:ascii="Times New Roman" w:hAnsi="Times New Roman" w:cs="Times New Roman"/>
          <w:sz w:val="24"/>
          <w:szCs w:val="24"/>
          <w:lang w:val="es-ES"/>
        </w:rPr>
        <w:t xml:space="preserve"> cuarto párrafo</w:t>
      </w:r>
      <w:r w:rsidR="00B46898">
        <w:rPr>
          <w:rFonts w:ascii="Times New Roman" w:hAnsi="Times New Roman" w:cs="Times New Roman"/>
          <w:sz w:val="24"/>
          <w:szCs w:val="24"/>
          <w:lang w:val="es-ES"/>
        </w:rPr>
        <w:t>;</w:t>
      </w:r>
      <w:r w:rsidR="0045327E" w:rsidRPr="00530D6D">
        <w:rPr>
          <w:rFonts w:ascii="Times New Roman" w:hAnsi="Times New Roman" w:cs="Times New Roman"/>
          <w:sz w:val="24"/>
          <w:szCs w:val="24"/>
          <w:lang w:val="es-ES"/>
        </w:rPr>
        <w:t xml:space="preserve"> 97 </w:t>
      </w:r>
      <w:r w:rsidR="00B651AB">
        <w:rPr>
          <w:rFonts w:ascii="Times New Roman" w:hAnsi="Times New Roman" w:cs="Times New Roman"/>
          <w:sz w:val="24"/>
          <w:szCs w:val="24"/>
          <w:lang w:val="es-ES"/>
        </w:rPr>
        <w:t>Q</w:t>
      </w:r>
      <w:r w:rsidR="0045327E" w:rsidRPr="00530D6D">
        <w:rPr>
          <w:rFonts w:ascii="Times New Roman" w:hAnsi="Times New Roman" w:cs="Times New Roman"/>
          <w:sz w:val="24"/>
          <w:szCs w:val="24"/>
          <w:lang w:val="es-ES"/>
        </w:rPr>
        <w:t>u</w:t>
      </w:r>
      <w:r w:rsidR="002E31BD">
        <w:rPr>
          <w:rFonts w:ascii="Times New Roman" w:hAnsi="Times New Roman" w:cs="Times New Roman"/>
          <w:sz w:val="24"/>
          <w:szCs w:val="24"/>
          <w:lang w:val="es-ES"/>
        </w:rPr>
        <w:t>á</w:t>
      </w:r>
      <w:r w:rsidR="0045327E" w:rsidRPr="00530D6D">
        <w:rPr>
          <w:rFonts w:ascii="Times New Roman" w:hAnsi="Times New Roman" w:cs="Times New Roman"/>
          <w:sz w:val="24"/>
          <w:szCs w:val="24"/>
          <w:lang w:val="es-ES"/>
        </w:rPr>
        <w:t xml:space="preserve">ter, y 128 </w:t>
      </w:r>
      <w:r w:rsidR="00B651AB">
        <w:rPr>
          <w:rFonts w:ascii="Times New Roman" w:hAnsi="Times New Roman" w:cs="Times New Roman"/>
          <w:sz w:val="24"/>
          <w:szCs w:val="24"/>
          <w:lang w:val="es-ES"/>
        </w:rPr>
        <w:t>B</w:t>
      </w:r>
      <w:r w:rsidR="0045327E" w:rsidRPr="00530D6D">
        <w:rPr>
          <w:rFonts w:ascii="Times New Roman" w:hAnsi="Times New Roman" w:cs="Times New Roman"/>
          <w:sz w:val="24"/>
          <w:szCs w:val="24"/>
          <w:lang w:val="es-ES"/>
        </w:rPr>
        <w:t>is de la Ley Federal de Protección al Consumidor</w:t>
      </w:r>
      <w:r w:rsidR="00007440" w:rsidRPr="00530D6D">
        <w:rPr>
          <w:rStyle w:val="Refdenotaalpie"/>
          <w:rFonts w:ascii="Times New Roman" w:hAnsi="Times New Roman" w:cs="Times New Roman"/>
          <w:sz w:val="24"/>
          <w:szCs w:val="24"/>
          <w:lang w:val="es-ES"/>
        </w:rPr>
        <w:footnoteReference w:id="1"/>
      </w:r>
      <w:r w:rsidR="0045327E" w:rsidRPr="00530D6D">
        <w:rPr>
          <w:rFonts w:ascii="Times New Roman" w:hAnsi="Times New Roman" w:cs="Times New Roman"/>
          <w:sz w:val="24"/>
          <w:szCs w:val="24"/>
          <w:lang w:val="es-ES"/>
        </w:rPr>
        <w:t xml:space="preserve"> eran violatorios a la seguridad jurídica, el derecho al honor y a la presunción de inocencia.</w:t>
      </w:r>
    </w:p>
    <w:p w14:paraId="34C44151" w14:textId="77777777" w:rsidR="00530D6D" w:rsidRDefault="00530D6D" w:rsidP="00530D6D">
      <w:pPr>
        <w:pStyle w:val="TEXTONORMAL"/>
        <w:spacing w:line="240" w:lineRule="auto"/>
        <w:ind w:right="49" w:firstLine="0"/>
        <w:rPr>
          <w:rFonts w:ascii="Times New Roman" w:hAnsi="Times New Roman" w:cs="Times New Roman"/>
          <w:sz w:val="24"/>
          <w:szCs w:val="24"/>
          <w:lang w:val="es-ES"/>
        </w:rPr>
      </w:pPr>
    </w:p>
    <w:p w14:paraId="772F8B39" w14:textId="1ACBC22B" w:rsidR="00FA7AF4" w:rsidRPr="00530D6D" w:rsidRDefault="00FA7AF4" w:rsidP="00530D6D">
      <w:pPr>
        <w:pStyle w:val="TEXTONORMAL"/>
        <w:spacing w:line="240" w:lineRule="auto"/>
        <w:ind w:right="49" w:firstLine="0"/>
        <w:rPr>
          <w:rFonts w:ascii="Times New Roman" w:hAnsi="Times New Roman" w:cs="Times New Roman"/>
          <w:sz w:val="24"/>
          <w:szCs w:val="24"/>
          <w:lang w:val="es-ES"/>
        </w:rPr>
      </w:pPr>
      <w:r w:rsidRPr="00530D6D">
        <w:rPr>
          <w:rFonts w:ascii="Times New Roman" w:hAnsi="Times New Roman" w:cs="Times New Roman"/>
          <w:sz w:val="24"/>
          <w:szCs w:val="24"/>
          <w:lang w:val="es-ES"/>
        </w:rPr>
        <w:t>La juzgadora que conoció del asunto decidió sobreseer</w:t>
      </w:r>
      <w:r w:rsidR="00FD5593">
        <w:rPr>
          <w:rFonts w:ascii="Times New Roman" w:hAnsi="Times New Roman" w:cs="Times New Roman"/>
          <w:sz w:val="24"/>
          <w:szCs w:val="24"/>
          <w:lang w:val="es-ES"/>
        </w:rPr>
        <w:t xml:space="preserve"> el juicio</w:t>
      </w:r>
      <w:r w:rsidRPr="00530D6D">
        <w:rPr>
          <w:rFonts w:ascii="Times New Roman" w:hAnsi="Times New Roman" w:cs="Times New Roman"/>
          <w:sz w:val="24"/>
          <w:szCs w:val="24"/>
          <w:lang w:val="es-ES"/>
        </w:rPr>
        <w:t xml:space="preserve"> porque considero que el amparo había sido promovido de forma extemporánea. </w:t>
      </w:r>
      <w:r w:rsidR="008763A9" w:rsidRPr="00530D6D">
        <w:rPr>
          <w:rFonts w:ascii="Times New Roman" w:hAnsi="Times New Roman" w:cs="Times New Roman"/>
          <w:sz w:val="24"/>
          <w:szCs w:val="24"/>
        </w:rPr>
        <w:t xml:space="preserve">Inconforme con esta determinación, la empresa interpuso </w:t>
      </w:r>
      <w:r w:rsidR="00FD5593">
        <w:rPr>
          <w:rFonts w:ascii="Times New Roman" w:hAnsi="Times New Roman" w:cs="Times New Roman"/>
          <w:sz w:val="24"/>
          <w:szCs w:val="24"/>
        </w:rPr>
        <w:t xml:space="preserve">un </w:t>
      </w:r>
      <w:r w:rsidR="008763A9" w:rsidRPr="00530D6D">
        <w:rPr>
          <w:rFonts w:ascii="Times New Roman" w:hAnsi="Times New Roman" w:cs="Times New Roman"/>
          <w:sz w:val="24"/>
          <w:szCs w:val="24"/>
        </w:rPr>
        <w:t>recurso de revisión</w:t>
      </w:r>
      <w:r w:rsidR="004F2638" w:rsidRPr="00530D6D">
        <w:rPr>
          <w:rFonts w:ascii="Times New Roman" w:hAnsi="Times New Roman" w:cs="Times New Roman"/>
          <w:sz w:val="24"/>
          <w:szCs w:val="24"/>
        </w:rPr>
        <w:t>. A</w:t>
      </w:r>
      <w:r w:rsidR="008763A9" w:rsidRPr="00530D6D">
        <w:rPr>
          <w:rFonts w:ascii="Times New Roman" w:hAnsi="Times New Roman" w:cs="Times New Roman"/>
          <w:sz w:val="24"/>
          <w:szCs w:val="24"/>
        </w:rPr>
        <w:t xml:space="preserve"> su vez las autoridades responsables </w:t>
      </w:r>
      <w:r w:rsidR="00BB41CE" w:rsidRPr="00530D6D">
        <w:rPr>
          <w:rFonts w:ascii="Times New Roman" w:hAnsi="Times New Roman" w:cs="Times New Roman"/>
          <w:sz w:val="24"/>
          <w:szCs w:val="24"/>
        </w:rPr>
        <w:t>promovieron</w:t>
      </w:r>
      <w:r w:rsidR="008763A9" w:rsidRPr="00530D6D">
        <w:rPr>
          <w:rFonts w:ascii="Times New Roman" w:hAnsi="Times New Roman" w:cs="Times New Roman"/>
          <w:sz w:val="24"/>
          <w:szCs w:val="24"/>
        </w:rPr>
        <w:t xml:space="preserve"> la revisión adhesiva.</w:t>
      </w:r>
    </w:p>
    <w:p w14:paraId="7B2304FB" w14:textId="77777777" w:rsidR="00530D6D" w:rsidRDefault="00530D6D" w:rsidP="00530D6D">
      <w:pPr>
        <w:pStyle w:val="TEXTONORMAL"/>
        <w:spacing w:line="240" w:lineRule="auto"/>
        <w:ind w:right="49" w:firstLine="0"/>
        <w:rPr>
          <w:rFonts w:ascii="Times New Roman" w:hAnsi="Times New Roman" w:cs="Times New Roman"/>
          <w:sz w:val="24"/>
          <w:szCs w:val="24"/>
        </w:rPr>
      </w:pPr>
    </w:p>
    <w:p w14:paraId="633A3E76" w14:textId="480553F3" w:rsidR="00913AA3" w:rsidRPr="00530D6D" w:rsidRDefault="008763A9" w:rsidP="00530D6D">
      <w:pPr>
        <w:pStyle w:val="TEXTONORMAL"/>
        <w:spacing w:line="240" w:lineRule="auto"/>
        <w:ind w:right="49" w:firstLine="0"/>
        <w:rPr>
          <w:rFonts w:ascii="Times New Roman" w:hAnsi="Times New Roman" w:cs="Times New Roman"/>
          <w:sz w:val="24"/>
          <w:szCs w:val="24"/>
          <w:lang w:val="es-ES"/>
        </w:rPr>
      </w:pPr>
      <w:r w:rsidRPr="00530D6D">
        <w:rPr>
          <w:rFonts w:ascii="Times New Roman" w:hAnsi="Times New Roman" w:cs="Times New Roman"/>
          <w:sz w:val="24"/>
          <w:szCs w:val="24"/>
        </w:rPr>
        <w:t>El Tribunal Colegiado consider</w:t>
      </w:r>
      <w:r w:rsidR="00CA5B33" w:rsidRPr="00530D6D">
        <w:rPr>
          <w:rFonts w:ascii="Times New Roman" w:hAnsi="Times New Roman" w:cs="Times New Roman"/>
          <w:sz w:val="24"/>
          <w:szCs w:val="24"/>
        </w:rPr>
        <w:t>ó</w:t>
      </w:r>
      <w:r w:rsidRPr="00530D6D">
        <w:rPr>
          <w:rFonts w:ascii="Times New Roman" w:hAnsi="Times New Roman" w:cs="Times New Roman"/>
          <w:sz w:val="24"/>
          <w:szCs w:val="24"/>
        </w:rPr>
        <w:t xml:space="preserve"> que no</w:t>
      </w:r>
      <w:r w:rsidR="00CA5B33" w:rsidRPr="00530D6D">
        <w:rPr>
          <w:rFonts w:ascii="Times New Roman" w:hAnsi="Times New Roman" w:cs="Times New Roman"/>
          <w:sz w:val="24"/>
          <w:szCs w:val="24"/>
        </w:rPr>
        <w:t xml:space="preserve"> </w:t>
      </w:r>
      <w:r w:rsidRPr="00530D6D">
        <w:rPr>
          <w:rFonts w:ascii="Times New Roman" w:hAnsi="Times New Roman" w:cs="Times New Roman"/>
          <w:sz w:val="24"/>
          <w:szCs w:val="24"/>
        </w:rPr>
        <w:t>se materializo ningún acto de aplicación</w:t>
      </w:r>
      <w:r w:rsidR="00913AA3" w:rsidRPr="00530D6D">
        <w:rPr>
          <w:rFonts w:ascii="Times New Roman" w:hAnsi="Times New Roman" w:cs="Times New Roman"/>
          <w:sz w:val="24"/>
          <w:szCs w:val="24"/>
        </w:rPr>
        <w:t>; sin embargo, determin</w:t>
      </w:r>
      <w:r w:rsidR="00BB41CE" w:rsidRPr="00530D6D">
        <w:rPr>
          <w:rFonts w:ascii="Times New Roman" w:hAnsi="Times New Roman" w:cs="Times New Roman"/>
          <w:sz w:val="24"/>
          <w:szCs w:val="24"/>
        </w:rPr>
        <w:t>ó</w:t>
      </w:r>
      <w:r w:rsidR="00913AA3" w:rsidRPr="00530D6D">
        <w:rPr>
          <w:rFonts w:ascii="Times New Roman" w:hAnsi="Times New Roman" w:cs="Times New Roman"/>
          <w:sz w:val="24"/>
          <w:szCs w:val="24"/>
        </w:rPr>
        <w:t xml:space="preserve"> reservar jurisdicción a la Suprema Corte de Justicia de la Nación para que resolviera sobre la </w:t>
      </w:r>
      <w:r w:rsidR="00913AA3" w:rsidRPr="00530D6D">
        <w:rPr>
          <w:rFonts w:ascii="Times New Roman" w:hAnsi="Times New Roman" w:cs="Times New Roman"/>
          <w:sz w:val="24"/>
          <w:szCs w:val="24"/>
          <w:lang w:val="es-ES"/>
        </w:rPr>
        <w:t>constitucionalidad del artículo 24</w:t>
      </w:r>
      <w:r w:rsidR="00B46898">
        <w:rPr>
          <w:rFonts w:ascii="Times New Roman" w:hAnsi="Times New Roman" w:cs="Times New Roman"/>
          <w:sz w:val="24"/>
          <w:szCs w:val="24"/>
          <w:lang w:val="es-ES"/>
        </w:rPr>
        <w:t>,</w:t>
      </w:r>
      <w:r w:rsidR="00913AA3" w:rsidRPr="00530D6D">
        <w:rPr>
          <w:rFonts w:ascii="Times New Roman" w:hAnsi="Times New Roman" w:cs="Times New Roman"/>
          <w:sz w:val="24"/>
          <w:szCs w:val="24"/>
          <w:lang w:val="es-ES"/>
        </w:rPr>
        <w:t xml:space="preserve"> fracción XXIII</w:t>
      </w:r>
      <w:r w:rsidR="003B4899" w:rsidRPr="00530D6D">
        <w:rPr>
          <w:rFonts w:ascii="Times New Roman" w:hAnsi="Times New Roman" w:cs="Times New Roman"/>
          <w:sz w:val="24"/>
          <w:szCs w:val="24"/>
          <w:lang w:val="es-ES"/>
        </w:rPr>
        <w:t xml:space="preserve"> </w:t>
      </w:r>
      <w:r w:rsidR="00913AA3" w:rsidRPr="00530D6D">
        <w:rPr>
          <w:rFonts w:ascii="Times New Roman" w:hAnsi="Times New Roman" w:cs="Times New Roman"/>
          <w:sz w:val="24"/>
          <w:szCs w:val="24"/>
          <w:lang w:val="es-ES"/>
        </w:rPr>
        <w:t>de la Ley Federal de Protección al Consumidor.</w:t>
      </w:r>
    </w:p>
    <w:p w14:paraId="14D5721A" w14:textId="77777777" w:rsidR="00530D6D" w:rsidRDefault="00530D6D" w:rsidP="00530D6D">
      <w:pPr>
        <w:spacing w:after="0" w:line="240" w:lineRule="auto"/>
        <w:ind w:right="49"/>
        <w:jc w:val="both"/>
        <w:rPr>
          <w:rFonts w:ascii="Times New Roman" w:hAnsi="Times New Roman" w:cs="Times New Roman"/>
          <w:b/>
          <w:bCs/>
          <w:sz w:val="24"/>
          <w:szCs w:val="24"/>
        </w:rPr>
      </w:pPr>
    </w:p>
    <w:p w14:paraId="254DCF2F" w14:textId="3397CC3D" w:rsidR="00431A46" w:rsidRPr="00530D6D" w:rsidRDefault="00530D6D" w:rsidP="00530D6D">
      <w:pPr>
        <w:spacing w:after="0" w:line="240" w:lineRule="auto"/>
        <w:ind w:right="49"/>
        <w:jc w:val="both"/>
        <w:rPr>
          <w:rFonts w:ascii="Times New Roman" w:hAnsi="Times New Roman" w:cs="Times New Roman"/>
          <w:b/>
          <w:bCs/>
          <w:sz w:val="24"/>
          <w:szCs w:val="24"/>
        </w:rPr>
      </w:pPr>
      <w:r w:rsidRPr="002A4BEC">
        <w:rPr>
          <w:rFonts w:ascii="Times New Roman" w:hAnsi="Times New Roman" w:cs="Times New Roman"/>
          <w:b/>
          <w:bCs/>
          <w:sz w:val="24"/>
          <w:szCs w:val="24"/>
          <w:shd w:val="clear" w:color="auto" w:fill="B4C6E7" w:themeFill="accent1" w:themeFillTint="66"/>
          <w:lang w:val="es-419"/>
        </w:rPr>
        <w:t>Resolución de la Primera Sala:</w:t>
      </w:r>
    </w:p>
    <w:p w14:paraId="056CA710" w14:textId="77777777" w:rsidR="00530D6D" w:rsidRDefault="00530D6D" w:rsidP="00530D6D">
      <w:pPr>
        <w:pStyle w:val="TEXTONORMAL"/>
        <w:spacing w:line="240" w:lineRule="auto"/>
        <w:ind w:right="49" w:firstLine="0"/>
        <w:rPr>
          <w:rFonts w:ascii="Times New Roman" w:hAnsi="Times New Roman" w:cs="Times New Roman"/>
          <w:sz w:val="24"/>
          <w:szCs w:val="24"/>
        </w:rPr>
      </w:pPr>
    </w:p>
    <w:p w14:paraId="1F4BFCB4" w14:textId="73068816" w:rsidR="00E11313" w:rsidRPr="00530D6D" w:rsidRDefault="00E11313" w:rsidP="00530D6D">
      <w:pPr>
        <w:pStyle w:val="TEXTONORMAL"/>
        <w:spacing w:line="240" w:lineRule="auto"/>
        <w:ind w:right="49" w:firstLine="0"/>
        <w:rPr>
          <w:rFonts w:ascii="Times New Roman" w:hAnsi="Times New Roman" w:cs="Times New Roman"/>
          <w:sz w:val="24"/>
          <w:szCs w:val="24"/>
          <w:lang w:val="es-ES"/>
        </w:rPr>
      </w:pPr>
      <w:r w:rsidRPr="00530D6D">
        <w:rPr>
          <w:rFonts w:ascii="Times New Roman" w:hAnsi="Times New Roman" w:cs="Times New Roman"/>
          <w:sz w:val="24"/>
          <w:szCs w:val="24"/>
        </w:rPr>
        <w:t xml:space="preserve">La Primera Sala, únicamente decidió abocarse al estudio de la constitucionalidad del artículo </w:t>
      </w:r>
      <w:r w:rsidRPr="00530D6D">
        <w:rPr>
          <w:rFonts w:ascii="Times New Roman" w:hAnsi="Times New Roman" w:cs="Times New Roman"/>
          <w:sz w:val="24"/>
          <w:szCs w:val="24"/>
          <w:lang w:val="es-ES"/>
        </w:rPr>
        <w:t>24</w:t>
      </w:r>
      <w:r w:rsidR="00B46898">
        <w:rPr>
          <w:rFonts w:ascii="Times New Roman" w:hAnsi="Times New Roman" w:cs="Times New Roman"/>
          <w:sz w:val="24"/>
          <w:szCs w:val="24"/>
          <w:lang w:val="es-ES"/>
        </w:rPr>
        <w:t>,</w:t>
      </w:r>
      <w:r w:rsidRPr="00530D6D">
        <w:rPr>
          <w:rFonts w:ascii="Times New Roman" w:hAnsi="Times New Roman" w:cs="Times New Roman"/>
          <w:sz w:val="24"/>
          <w:szCs w:val="24"/>
          <w:lang w:val="es-ES"/>
        </w:rPr>
        <w:t xml:space="preserve"> fracción XXIII, de la Ley Federal de Protección al Consumidor</w:t>
      </w:r>
      <w:r w:rsidR="00FD5593">
        <w:rPr>
          <w:rFonts w:ascii="Times New Roman" w:hAnsi="Times New Roman" w:cs="Times New Roman"/>
          <w:sz w:val="24"/>
          <w:szCs w:val="24"/>
          <w:lang w:val="es-ES"/>
        </w:rPr>
        <w:t>, p</w:t>
      </w:r>
      <w:r w:rsidRPr="00530D6D">
        <w:rPr>
          <w:rFonts w:ascii="Times New Roman" w:hAnsi="Times New Roman" w:cs="Times New Roman"/>
          <w:sz w:val="24"/>
          <w:szCs w:val="24"/>
          <w:lang w:val="es-ES"/>
        </w:rPr>
        <w:t>uesto que fue el único art</w:t>
      </w:r>
      <w:r w:rsidR="002B606E" w:rsidRPr="00530D6D">
        <w:rPr>
          <w:rFonts w:ascii="Times New Roman" w:hAnsi="Times New Roman" w:cs="Times New Roman"/>
          <w:sz w:val="24"/>
          <w:szCs w:val="24"/>
          <w:lang w:val="es-ES"/>
        </w:rPr>
        <w:t>í</w:t>
      </w:r>
      <w:r w:rsidRPr="00530D6D">
        <w:rPr>
          <w:rFonts w:ascii="Times New Roman" w:hAnsi="Times New Roman" w:cs="Times New Roman"/>
          <w:sz w:val="24"/>
          <w:szCs w:val="24"/>
          <w:lang w:val="es-ES"/>
        </w:rPr>
        <w:t>culo cuyo acto de aplicación se tuvo acreditado.</w:t>
      </w:r>
    </w:p>
    <w:p w14:paraId="3E37CFD3" w14:textId="77777777" w:rsidR="00530D6D" w:rsidRDefault="00530D6D" w:rsidP="00530D6D">
      <w:pPr>
        <w:pStyle w:val="TEXTONORMAL"/>
        <w:spacing w:line="240" w:lineRule="auto"/>
        <w:ind w:right="49" w:firstLine="0"/>
        <w:rPr>
          <w:rFonts w:ascii="Times New Roman" w:hAnsi="Times New Roman" w:cs="Times New Roman"/>
          <w:sz w:val="24"/>
          <w:szCs w:val="24"/>
          <w:lang w:val="es-ES"/>
        </w:rPr>
      </w:pPr>
    </w:p>
    <w:p w14:paraId="25D251D4" w14:textId="014CC4D3" w:rsidR="00D34EAE" w:rsidRDefault="00656618" w:rsidP="00530D6D">
      <w:pPr>
        <w:pStyle w:val="TEXTONORMAL"/>
        <w:spacing w:line="240" w:lineRule="auto"/>
        <w:ind w:right="49" w:firstLine="0"/>
        <w:rPr>
          <w:rFonts w:ascii="Times New Roman" w:hAnsi="Times New Roman" w:cs="Times New Roman"/>
          <w:sz w:val="24"/>
          <w:szCs w:val="24"/>
        </w:rPr>
      </w:pPr>
      <w:r w:rsidRPr="00530D6D">
        <w:rPr>
          <w:rFonts w:ascii="Times New Roman" w:hAnsi="Times New Roman" w:cs="Times New Roman"/>
          <w:sz w:val="24"/>
          <w:szCs w:val="24"/>
          <w:lang w:val="es-ES"/>
        </w:rPr>
        <w:t>La Sala determinó que, s</w:t>
      </w:r>
      <w:r w:rsidR="00C1113A" w:rsidRPr="00530D6D">
        <w:rPr>
          <w:rFonts w:ascii="Times New Roman" w:hAnsi="Times New Roman" w:cs="Times New Roman"/>
          <w:sz w:val="24"/>
          <w:szCs w:val="24"/>
          <w:lang w:val="es-ES"/>
        </w:rPr>
        <w:t>i bien es cierto</w:t>
      </w:r>
      <w:r w:rsidR="00016D13" w:rsidRPr="00530D6D">
        <w:rPr>
          <w:rFonts w:ascii="Times New Roman" w:hAnsi="Times New Roman" w:cs="Times New Roman"/>
          <w:sz w:val="24"/>
          <w:szCs w:val="24"/>
          <w:lang w:val="es-ES"/>
        </w:rPr>
        <w:t xml:space="preserve"> que </w:t>
      </w:r>
      <w:r w:rsidR="00C1113A" w:rsidRPr="00530D6D">
        <w:rPr>
          <w:rFonts w:ascii="Times New Roman" w:hAnsi="Times New Roman" w:cs="Times New Roman"/>
          <w:sz w:val="24"/>
          <w:szCs w:val="24"/>
          <w:lang w:val="es-ES"/>
        </w:rPr>
        <w:t>las</w:t>
      </w:r>
      <w:r w:rsidR="00D34EAE" w:rsidRPr="00530D6D">
        <w:rPr>
          <w:rFonts w:ascii="Times New Roman" w:hAnsi="Times New Roman" w:cs="Times New Roman"/>
          <w:sz w:val="24"/>
          <w:szCs w:val="24"/>
          <w:lang w:val="es-ES"/>
        </w:rPr>
        <w:t xml:space="preserve"> facultades de la </w:t>
      </w:r>
      <w:r w:rsidR="00FD5593">
        <w:rPr>
          <w:rFonts w:ascii="Times New Roman" w:hAnsi="Times New Roman" w:cs="Times New Roman"/>
          <w:sz w:val="24"/>
          <w:szCs w:val="24"/>
          <w:lang w:val="es-ES"/>
        </w:rPr>
        <w:t>Profeco</w:t>
      </w:r>
      <w:r w:rsidR="00D34EAE" w:rsidRPr="00530D6D">
        <w:rPr>
          <w:rFonts w:ascii="Times New Roman" w:hAnsi="Times New Roman" w:cs="Times New Roman"/>
          <w:sz w:val="24"/>
          <w:szCs w:val="24"/>
          <w:lang w:val="es-ES"/>
        </w:rPr>
        <w:t xml:space="preserve"> se encuentran consagradas en el </w:t>
      </w:r>
      <w:r w:rsidR="004F2638" w:rsidRPr="00530D6D">
        <w:rPr>
          <w:rFonts w:ascii="Times New Roman" w:hAnsi="Times New Roman" w:cs="Times New Roman"/>
          <w:sz w:val="24"/>
          <w:szCs w:val="24"/>
          <w:lang w:val="es-ES"/>
        </w:rPr>
        <w:t>artículo</w:t>
      </w:r>
      <w:r w:rsidR="00D34EAE" w:rsidRPr="00530D6D">
        <w:rPr>
          <w:rFonts w:ascii="Times New Roman" w:hAnsi="Times New Roman" w:cs="Times New Roman"/>
          <w:sz w:val="24"/>
          <w:szCs w:val="24"/>
          <w:lang w:val="es-ES"/>
        </w:rPr>
        <w:t xml:space="preserve"> en cita</w:t>
      </w:r>
      <w:r w:rsidR="004F2638" w:rsidRPr="00530D6D">
        <w:rPr>
          <w:rFonts w:ascii="Times New Roman" w:hAnsi="Times New Roman" w:cs="Times New Roman"/>
          <w:sz w:val="24"/>
          <w:szCs w:val="24"/>
          <w:lang w:val="es-ES"/>
        </w:rPr>
        <w:t xml:space="preserve">, </w:t>
      </w:r>
      <w:r w:rsidR="00016D13" w:rsidRPr="00530D6D">
        <w:rPr>
          <w:rFonts w:ascii="Times New Roman" w:hAnsi="Times New Roman" w:cs="Times New Roman"/>
          <w:sz w:val="24"/>
          <w:szCs w:val="24"/>
          <w:lang w:val="es-ES"/>
        </w:rPr>
        <w:t>esta cuestiona</w:t>
      </w:r>
      <w:r w:rsidR="004F2638" w:rsidRPr="00530D6D">
        <w:rPr>
          <w:rFonts w:ascii="Times New Roman" w:hAnsi="Times New Roman" w:cs="Times New Roman"/>
          <w:sz w:val="24"/>
          <w:szCs w:val="24"/>
          <w:lang w:val="es-ES"/>
        </w:rPr>
        <w:t xml:space="preserve"> si </w:t>
      </w:r>
      <w:r w:rsidR="00FD5593">
        <w:rPr>
          <w:rFonts w:ascii="Times New Roman" w:hAnsi="Times New Roman" w:cs="Times New Roman"/>
          <w:sz w:val="24"/>
          <w:szCs w:val="24"/>
          <w:lang w:val="es-ES"/>
        </w:rPr>
        <w:t xml:space="preserve">dicha procuraduría </w:t>
      </w:r>
      <w:r w:rsidR="004F2638" w:rsidRPr="00530D6D">
        <w:rPr>
          <w:rFonts w:ascii="Times New Roman" w:hAnsi="Times New Roman" w:cs="Times New Roman"/>
          <w:sz w:val="24"/>
          <w:szCs w:val="24"/>
        </w:rPr>
        <w:t xml:space="preserve">cuenta con una facultad arbitraria </w:t>
      </w:r>
      <w:r w:rsidR="00C1113A" w:rsidRPr="00530D6D">
        <w:rPr>
          <w:rFonts w:ascii="Times New Roman" w:hAnsi="Times New Roman" w:cs="Times New Roman"/>
          <w:sz w:val="24"/>
          <w:szCs w:val="24"/>
        </w:rPr>
        <w:t>para publicar</w:t>
      </w:r>
      <w:r w:rsidR="004F2638" w:rsidRPr="00530D6D">
        <w:rPr>
          <w:rFonts w:ascii="Times New Roman" w:hAnsi="Times New Roman" w:cs="Times New Roman"/>
          <w:sz w:val="24"/>
          <w:szCs w:val="24"/>
        </w:rPr>
        <w:t xml:space="preserve"> sus determinaciones</w:t>
      </w:r>
      <w:r w:rsidR="00016D13" w:rsidRPr="00530D6D">
        <w:rPr>
          <w:rFonts w:ascii="Times New Roman" w:hAnsi="Times New Roman" w:cs="Times New Roman"/>
          <w:sz w:val="24"/>
          <w:szCs w:val="24"/>
        </w:rPr>
        <w:t xml:space="preserve">. Y, si esta facultad </w:t>
      </w:r>
      <w:r w:rsidR="00C1113A" w:rsidRPr="00530D6D">
        <w:rPr>
          <w:rFonts w:ascii="Times New Roman" w:hAnsi="Times New Roman" w:cs="Times New Roman"/>
          <w:sz w:val="24"/>
          <w:szCs w:val="24"/>
        </w:rPr>
        <w:t>resulta contraria al derecho al honor y a la presunción de inocencia de las personas morales.</w:t>
      </w:r>
    </w:p>
    <w:p w14:paraId="1C86ED51" w14:textId="77777777" w:rsidR="00530D6D" w:rsidRPr="00530D6D" w:rsidRDefault="00530D6D" w:rsidP="00530D6D">
      <w:pPr>
        <w:pStyle w:val="TEXTONORMAL"/>
        <w:spacing w:line="240" w:lineRule="auto"/>
        <w:ind w:right="49" w:firstLine="0"/>
        <w:rPr>
          <w:rFonts w:ascii="Times New Roman" w:hAnsi="Times New Roman" w:cs="Times New Roman"/>
          <w:sz w:val="24"/>
          <w:szCs w:val="24"/>
          <w:lang w:val="es-ES"/>
        </w:rPr>
      </w:pPr>
    </w:p>
    <w:p w14:paraId="365B014D" w14:textId="32630C5B" w:rsidR="00C1113A" w:rsidRPr="00530D6D" w:rsidRDefault="00C1113A" w:rsidP="00530D6D">
      <w:pPr>
        <w:pStyle w:val="TEXTONORMAL"/>
        <w:spacing w:line="240" w:lineRule="auto"/>
        <w:ind w:right="49" w:firstLine="0"/>
        <w:rPr>
          <w:rFonts w:ascii="Times New Roman" w:hAnsi="Times New Roman" w:cs="Times New Roman"/>
          <w:sz w:val="24"/>
          <w:szCs w:val="24"/>
          <w:lang w:val="es-ES"/>
        </w:rPr>
      </w:pPr>
      <w:r w:rsidRPr="00530D6D">
        <w:rPr>
          <w:rFonts w:ascii="Times New Roman" w:hAnsi="Times New Roman" w:cs="Times New Roman"/>
          <w:sz w:val="24"/>
          <w:szCs w:val="24"/>
        </w:rPr>
        <w:t xml:space="preserve">En el mismo sentido, también se cuestiona si el artículo </w:t>
      </w:r>
      <w:r w:rsidRPr="00530D6D">
        <w:rPr>
          <w:rFonts w:ascii="Times New Roman" w:hAnsi="Times New Roman" w:cs="Times New Roman"/>
          <w:sz w:val="24"/>
          <w:szCs w:val="24"/>
          <w:lang w:val="es-ES"/>
        </w:rPr>
        <w:t>24</w:t>
      </w:r>
      <w:r w:rsidR="00B46898">
        <w:rPr>
          <w:rFonts w:ascii="Times New Roman" w:hAnsi="Times New Roman" w:cs="Times New Roman"/>
          <w:sz w:val="24"/>
          <w:szCs w:val="24"/>
          <w:lang w:val="es-ES"/>
        </w:rPr>
        <w:t>,</w:t>
      </w:r>
      <w:r w:rsidRPr="00530D6D">
        <w:rPr>
          <w:rFonts w:ascii="Times New Roman" w:hAnsi="Times New Roman" w:cs="Times New Roman"/>
          <w:sz w:val="24"/>
          <w:szCs w:val="24"/>
          <w:lang w:val="es-ES"/>
        </w:rPr>
        <w:t xml:space="preserve"> fracción XXIII establece una pena infamante</w:t>
      </w:r>
      <w:r w:rsidR="00016D13" w:rsidRPr="00530D6D">
        <w:rPr>
          <w:rFonts w:ascii="Times New Roman" w:hAnsi="Times New Roman" w:cs="Times New Roman"/>
          <w:sz w:val="24"/>
          <w:szCs w:val="24"/>
          <w:lang w:val="es-ES"/>
        </w:rPr>
        <w:t xml:space="preserve"> en contra de lo que establece el artículo </w:t>
      </w:r>
      <w:r w:rsidRPr="00530D6D">
        <w:rPr>
          <w:rFonts w:ascii="Times New Roman" w:hAnsi="Times New Roman" w:cs="Times New Roman"/>
          <w:sz w:val="24"/>
          <w:szCs w:val="24"/>
          <w:lang w:val="es-ES"/>
        </w:rPr>
        <w:t>22 constitucional.</w:t>
      </w:r>
      <w:r w:rsidR="00016D13" w:rsidRPr="00530D6D">
        <w:rPr>
          <w:rFonts w:ascii="Times New Roman" w:hAnsi="Times New Roman" w:cs="Times New Roman"/>
          <w:sz w:val="24"/>
          <w:szCs w:val="24"/>
          <w:lang w:val="es-ES"/>
        </w:rPr>
        <w:t xml:space="preserve"> Sin embargo, l</w:t>
      </w:r>
      <w:r w:rsidR="00E56ADD" w:rsidRPr="00530D6D">
        <w:rPr>
          <w:rFonts w:ascii="Times New Roman" w:hAnsi="Times New Roman" w:cs="Times New Roman"/>
          <w:sz w:val="24"/>
          <w:szCs w:val="24"/>
          <w:lang w:val="es-ES"/>
        </w:rPr>
        <w:t>a Primera Sala determin</w:t>
      </w:r>
      <w:r w:rsidR="00CA5B33" w:rsidRPr="00530D6D">
        <w:rPr>
          <w:rFonts w:ascii="Times New Roman" w:hAnsi="Times New Roman" w:cs="Times New Roman"/>
          <w:sz w:val="24"/>
          <w:szCs w:val="24"/>
          <w:lang w:val="es-ES"/>
        </w:rPr>
        <w:t>ó</w:t>
      </w:r>
      <w:r w:rsidR="00E56ADD" w:rsidRPr="00530D6D">
        <w:rPr>
          <w:rFonts w:ascii="Times New Roman" w:hAnsi="Times New Roman" w:cs="Times New Roman"/>
          <w:sz w:val="24"/>
          <w:szCs w:val="24"/>
          <w:lang w:val="es-ES"/>
        </w:rPr>
        <w:t xml:space="preserve"> que el art</w:t>
      </w:r>
      <w:r w:rsidR="00CA5B33" w:rsidRPr="00530D6D">
        <w:rPr>
          <w:rFonts w:ascii="Times New Roman" w:hAnsi="Times New Roman" w:cs="Times New Roman"/>
          <w:sz w:val="24"/>
          <w:szCs w:val="24"/>
          <w:lang w:val="es-ES"/>
        </w:rPr>
        <w:t>í</w:t>
      </w:r>
      <w:r w:rsidR="00E56ADD" w:rsidRPr="00530D6D">
        <w:rPr>
          <w:rFonts w:ascii="Times New Roman" w:hAnsi="Times New Roman" w:cs="Times New Roman"/>
          <w:sz w:val="24"/>
          <w:szCs w:val="24"/>
          <w:lang w:val="es-ES"/>
        </w:rPr>
        <w:t>culo 24</w:t>
      </w:r>
      <w:r w:rsidR="00B46898">
        <w:rPr>
          <w:rFonts w:ascii="Times New Roman" w:hAnsi="Times New Roman" w:cs="Times New Roman"/>
          <w:sz w:val="24"/>
          <w:szCs w:val="24"/>
          <w:lang w:val="es-ES"/>
        </w:rPr>
        <w:t>,</w:t>
      </w:r>
      <w:r w:rsidR="00E56ADD" w:rsidRPr="00530D6D">
        <w:rPr>
          <w:rFonts w:ascii="Times New Roman" w:hAnsi="Times New Roman" w:cs="Times New Roman"/>
          <w:sz w:val="24"/>
          <w:szCs w:val="24"/>
          <w:lang w:val="es-ES"/>
        </w:rPr>
        <w:t xml:space="preserve"> fracción XXIII resulta acorde con el sistema de </w:t>
      </w:r>
      <w:r w:rsidR="00E56ADD" w:rsidRPr="00530D6D">
        <w:rPr>
          <w:rFonts w:ascii="Times New Roman" w:hAnsi="Times New Roman" w:cs="Times New Roman"/>
          <w:sz w:val="24"/>
          <w:szCs w:val="24"/>
          <w:lang w:val="es-ES"/>
        </w:rPr>
        <w:lastRenderedPageBreak/>
        <w:t>protección al consumidor</w:t>
      </w:r>
      <w:r w:rsidR="00CA5B33" w:rsidRPr="00530D6D">
        <w:rPr>
          <w:rFonts w:ascii="Times New Roman" w:hAnsi="Times New Roman" w:cs="Times New Roman"/>
          <w:sz w:val="24"/>
          <w:szCs w:val="24"/>
          <w:lang w:val="es-ES"/>
        </w:rPr>
        <w:t xml:space="preserve">. </w:t>
      </w:r>
      <w:r w:rsidR="00FD5593">
        <w:rPr>
          <w:rFonts w:ascii="Times New Roman" w:hAnsi="Times New Roman" w:cs="Times New Roman"/>
          <w:sz w:val="24"/>
          <w:szCs w:val="24"/>
          <w:lang w:val="es-ES"/>
        </w:rPr>
        <w:t>Lo anterior, d</w:t>
      </w:r>
      <w:r w:rsidR="00CA5B33" w:rsidRPr="00530D6D">
        <w:rPr>
          <w:rFonts w:ascii="Times New Roman" w:hAnsi="Times New Roman" w:cs="Times New Roman"/>
          <w:sz w:val="24"/>
          <w:szCs w:val="24"/>
          <w:lang w:val="es-ES"/>
        </w:rPr>
        <w:t>ebido a</w:t>
      </w:r>
      <w:r w:rsidR="00E56ADD" w:rsidRPr="00530D6D">
        <w:rPr>
          <w:rFonts w:ascii="Times New Roman" w:hAnsi="Times New Roman" w:cs="Times New Roman"/>
          <w:sz w:val="24"/>
          <w:szCs w:val="24"/>
          <w:lang w:val="es-ES"/>
        </w:rPr>
        <w:t xml:space="preserve"> que la faculta</w:t>
      </w:r>
      <w:r w:rsidR="00CA5B33" w:rsidRPr="00530D6D">
        <w:rPr>
          <w:rFonts w:ascii="Times New Roman" w:hAnsi="Times New Roman" w:cs="Times New Roman"/>
          <w:sz w:val="24"/>
          <w:szCs w:val="24"/>
          <w:lang w:val="es-ES"/>
        </w:rPr>
        <w:t>d</w:t>
      </w:r>
      <w:r w:rsidR="00E56ADD" w:rsidRPr="00530D6D">
        <w:rPr>
          <w:rFonts w:ascii="Times New Roman" w:hAnsi="Times New Roman" w:cs="Times New Roman"/>
          <w:sz w:val="24"/>
          <w:szCs w:val="24"/>
          <w:lang w:val="es-ES"/>
        </w:rPr>
        <w:t xml:space="preserve"> de informar al p</w:t>
      </w:r>
      <w:r w:rsidR="002B606E" w:rsidRPr="00530D6D">
        <w:rPr>
          <w:rFonts w:ascii="Times New Roman" w:hAnsi="Times New Roman" w:cs="Times New Roman"/>
          <w:sz w:val="24"/>
          <w:szCs w:val="24"/>
          <w:lang w:val="es-ES"/>
        </w:rPr>
        <w:t>ú</w:t>
      </w:r>
      <w:r w:rsidR="00E56ADD" w:rsidRPr="00530D6D">
        <w:rPr>
          <w:rFonts w:ascii="Times New Roman" w:hAnsi="Times New Roman" w:cs="Times New Roman"/>
          <w:sz w:val="24"/>
          <w:szCs w:val="24"/>
          <w:lang w:val="es-ES"/>
        </w:rPr>
        <w:t xml:space="preserve">blico </w:t>
      </w:r>
      <w:r w:rsidR="00FD5593">
        <w:rPr>
          <w:rFonts w:ascii="Times New Roman" w:hAnsi="Times New Roman" w:cs="Times New Roman"/>
          <w:sz w:val="24"/>
          <w:szCs w:val="24"/>
          <w:lang w:val="es-ES"/>
        </w:rPr>
        <w:t xml:space="preserve">de las </w:t>
      </w:r>
      <w:r w:rsidR="00CA5B33" w:rsidRPr="00530D6D">
        <w:rPr>
          <w:rFonts w:ascii="Times New Roman" w:hAnsi="Times New Roman" w:cs="Times New Roman"/>
          <w:sz w:val="24"/>
          <w:szCs w:val="24"/>
          <w:lang w:val="es-ES"/>
        </w:rPr>
        <w:t>posibles prácticas riesgosas e ilegales por parte de los proveedores</w:t>
      </w:r>
      <w:r w:rsidR="00016D13" w:rsidRPr="00530D6D">
        <w:rPr>
          <w:rFonts w:ascii="Times New Roman" w:hAnsi="Times New Roman" w:cs="Times New Roman"/>
          <w:sz w:val="24"/>
          <w:szCs w:val="24"/>
          <w:lang w:val="es-ES"/>
        </w:rPr>
        <w:t xml:space="preserve"> </w:t>
      </w:r>
      <w:r w:rsidR="00CA5B33" w:rsidRPr="00530D6D">
        <w:rPr>
          <w:rFonts w:ascii="Times New Roman" w:hAnsi="Times New Roman" w:cs="Times New Roman"/>
          <w:sz w:val="24"/>
          <w:szCs w:val="24"/>
          <w:lang w:val="es-ES"/>
        </w:rPr>
        <w:t>es un eje trascendental para garantizar la tutela adecuada de los derechos de los consumidores.</w:t>
      </w:r>
    </w:p>
    <w:p w14:paraId="3D1FA07A" w14:textId="77777777" w:rsidR="00530D6D" w:rsidRDefault="00530D6D" w:rsidP="00530D6D">
      <w:pPr>
        <w:pStyle w:val="TEXTONORMAL"/>
        <w:spacing w:line="240" w:lineRule="auto"/>
        <w:ind w:right="49" w:firstLine="0"/>
        <w:rPr>
          <w:rFonts w:ascii="Times New Roman" w:hAnsi="Times New Roman" w:cs="Times New Roman"/>
          <w:sz w:val="24"/>
          <w:szCs w:val="24"/>
          <w:lang w:val="es-ES"/>
        </w:rPr>
      </w:pPr>
    </w:p>
    <w:p w14:paraId="2203A9E9" w14:textId="2BA0F49B" w:rsidR="00D7673F" w:rsidRPr="00530D6D" w:rsidRDefault="007B39D3" w:rsidP="00530D6D">
      <w:pPr>
        <w:pStyle w:val="TEXTONORMAL"/>
        <w:spacing w:line="240" w:lineRule="auto"/>
        <w:ind w:right="49" w:firstLine="0"/>
        <w:rPr>
          <w:rFonts w:ascii="Times New Roman" w:hAnsi="Times New Roman" w:cs="Times New Roman"/>
          <w:sz w:val="24"/>
          <w:szCs w:val="24"/>
        </w:rPr>
      </w:pPr>
      <w:r w:rsidRPr="00530D6D">
        <w:rPr>
          <w:rFonts w:ascii="Times New Roman" w:hAnsi="Times New Roman" w:cs="Times New Roman"/>
          <w:sz w:val="24"/>
          <w:szCs w:val="24"/>
          <w:lang w:val="es-ES"/>
        </w:rPr>
        <w:t>Por lo tanto, la emisión de alertas y publicación de información recabada en los procesos de verificación</w:t>
      </w:r>
      <w:r w:rsidR="00FD5593">
        <w:rPr>
          <w:rFonts w:ascii="Times New Roman" w:hAnsi="Times New Roman" w:cs="Times New Roman"/>
          <w:sz w:val="24"/>
          <w:szCs w:val="24"/>
          <w:lang w:val="es-ES"/>
        </w:rPr>
        <w:t>,</w:t>
      </w:r>
      <w:r w:rsidR="00D7673F" w:rsidRPr="00530D6D">
        <w:rPr>
          <w:rFonts w:ascii="Times New Roman" w:hAnsi="Times New Roman" w:cs="Times New Roman"/>
          <w:sz w:val="24"/>
          <w:szCs w:val="24"/>
          <w:lang w:val="es-ES"/>
        </w:rPr>
        <w:t xml:space="preserve"> una vez que se haya determinado fehacientemente por autoridad competente</w:t>
      </w:r>
      <w:r w:rsidR="00FD5593">
        <w:rPr>
          <w:rFonts w:ascii="Times New Roman" w:hAnsi="Times New Roman" w:cs="Times New Roman"/>
          <w:sz w:val="24"/>
          <w:szCs w:val="24"/>
          <w:lang w:val="es-ES"/>
        </w:rPr>
        <w:t>, e</w:t>
      </w:r>
      <w:r w:rsidR="00D7673F" w:rsidRPr="00530D6D">
        <w:rPr>
          <w:rFonts w:ascii="Times New Roman" w:hAnsi="Times New Roman" w:cs="Times New Roman"/>
          <w:sz w:val="24"/>
          <w:szCs w:val="24"/>
        </w:rPr>
        <w:t>s una consecuencia proporcional y necesaria ante la detección del incumplimiento de las obligaciones de los proveedores.</w:t>
      </w:r>
    </w:p>
    <w:p w14:paraId="4B93CE5E" w14:textId="77777777" w:rsidR="00530D6D" w:rsidRDefault="00530D6D" w:rsidP="00530D6D">
      <w:pPr>
        <w:pStyle w:val="TEXTONORMAL"/>
        <w:spacing w:line="240" w:lineRule="auto"/>
        <w:ind w:right="49" w:firstLine="0"/>
        <w:rPr>
          <w:rFonts w:ascii="Times New Roman" w:hAnsi="Times New Roman" w:cs="Times New Roman"/>
          <w:sz w:val="24"/>
          <w:szCs w:val="24"/>
          <w:lang w:val="es-ES"/>
        </w:rPr>
      </w:pPr>
    </w:p>
    <w:p w14:paraId="29EB422D" w14:textId="58D4A304" w:rsidR="007A471C" w:rsidRPr="00530D6D" w:rsidRDefault="00D7673F" w:rsidP="00530D6D">
      <w:pPr>
        <w:pStyle w:val="TEXTONORMAL"/>
        <w:spacing w:line="240" w:lineRule="auto"/>
        <w:ind w:right="49" w:firstLine="0"/>
        <w:rPr>
          <w:rFonts w:ascii="Times New Roman" w:hAnsi="Times New Roman" w:cs="Times New Roman"/>
          <w:sz w:val="24"/>
          <w:szCs w:val="24"/>
          <w:lang w:val="es-ES"/>
        </w:rPr>
      </w:pPr>
      <w:r w:rsidRPr="00530D6D">
        <w:rPr>
          <w:rFonts w:ascii="Times New Roman" w:hAnsi="Times New Roman" w:cs="Times New Roman"/>
          <w:sz w:val="24"/>
          <w:szCs w:val="24"/>
          <w:lang w:val="es-ES"/>
        </w:rPr>
        <w:t xml:space="preserve">En consecuencia, resulta trascendental informar a </w:t>
      </w:r>
      <w:r w:rsidR="007B39D3" w:rsidRPr="00530D6D">
        <w:rPr>
          <w:rFonts w:ascii="Times New Roman" w:hAnsi="Times New Roman" w:cs="Times New Roman"/>
          <w:sz w:val="24"/>
          <w:szCs w:val="24"/>
          <w:lang w:val="es-ES"/>
        </w:rPr>
        <w:t>los consumidores de la posible afectación a la vida, salud, economía</w:t>
      </w:r>
      <w:r w:rsidR="008D7C09" w:rsidRPr="00530D6D">
        <w:rPr>
          <w:rFonts w:ascii="Times New Roman" w:hAnsi="Times New Roman" w:cs="Times New Roman"/>
          <w:sz w:val="24"/>
          <w:szCs w:val="24"/>
          <w:lang w:val="es-ES"/>
        </w:rPr>
        <w:t xml:space="preserve"> y seguridad</w:t>
      </w:r>
      <w:r w:rsidR="00016D13" w:rsidRPr="00530D6D">
        <w:rPr>
          <w:rFonts w:ascii="Times New Roman" w:hAnsi="Times New Roman" w:cs="Times New Roman"/>
          <w:sz w:val="24"/>
          <w:szCs w:val="24"/>
          <w:lang w:val="es-ES"/>
        </w:rPr>
        <w:t>.</w:t>
      </w:r>
      <w:r w:rsidR="008D7C09" w:rsidRPr="00530D6D">
        <w:rPr>
          <w:rFonts w:ascii="Times New Roman" w:hAnsi="Times New Roman" w:cs="Times New Roman"/>
          <w:sz w:val="24"/>
          <w:szCs w:val="24"/>
          <w:lang w:val="es-ES"/>
        </w:rPr>
        <w:t xml:space="preserve"> </w:t>
      </w:r>
      <w:r w:rsidR="00016D13" w:rsidRPr="00530D6D">
        <w:rPr>
          <w:rFonts w:ascii="Times New Roman" w:hAnsi="Times New Roman" w:cs="Times New Roman"/>
          <w:sz w:val="24"/>
          <w:szCs w:val="24"/>
          <w:lang w:val="es-ES"/>
        </w:rPr>
        <w:t>P</w:t>
      </w:r>
      <w:r w:rsidR="008D7C09" w:rsidRPr="00530D6D">
        <w:rPr>
          <w:rFonts w:ascii="Times New Roman" w:hAnsi="Times New Roman" w:cs="Times New Roman"/>
          <w:sz w:val="24"/>
          <w:szCs w:val="24"/>
          <w:lang w:val="es-ES"/>
        </w:rPr>
        <w:t xml:space="preserve">or consiguiente, la aplicación de medidas provisionales cuando los proveedores se encuentran en este </w:t>
      </w:r>
      <w:r w:rsidR="00B05495" w:rsidRPr="00530D6D">
        <w:rPr>
          <w:rFonts w:ascii="Times New Roman" w:hAnsi="Times New Roman" w:cs="Times New Roman"/>
          <w:sz w:val="24"/>
          <w:szCs w:val="24"/>
          <w:lang w:val="es-ES"/>
        </w:rPr>
        <w:t>supuesto</w:t>
      </w:r>
      <w:r w:rsidR="008D7C09" w:rsidRPr="00530D6D">
        <w:rPr>
          <w:rFonts w:ascii="Times New Roman" w:hAnsi="Times New Roman" w:cs="Times New Roman"/>
          <w:sz w:val="24"/>
          <w:szCs w:val="24"/>
          <w:lang w:val="es-ES"/>
        </w:rPr>
        <w:t xml:space="preserve"> es permitida.</w:t>
      </w:r>
    </w:p>
    <w:p w14:paraId="5CDC8AFE" w14:textId="77777777" w:rsidR="00B651AB" w:rsidRDefault="00B651AB" w:rsidP="00B651AB">
      <w:pPr>
        <w:pStyle w:val="TEXTONORMAL"/>
        <w:spacing w:line="240" w:lineRule="auto"/>
        <w:ind w:right="49" w:firstLine="0"/>
        <w:rPr>
          <w:rFonts w:ascii="Times New Roman" w:hAnsi="Times New Roman" w:cs="Times New Roman"/>
          <w:sz w:val="24"/>
          <w:szCs w:val="24"/>
          <w:lang w:val="es-ES"/>
        </w:rPr>
      </w:pPr>
    </w:p>
    <w:p w14:paraId="4097BF1F" w14:textId="4F18B52C" w:rsidR="007A471C" w:rsidRPr="00530D6D" w:rsidRDefault="00B05495" w:rsidP="00B651AB">
      <w:pPr>
        <w:pStyle w:val="TEXTONORMAL"/>
        <w:spacing w:line="240" w:lineRule="auto"/>
        <w:ind w:right="49" w:firstLine="0"/>
        <w:rPr>
          <w:rFonts w:ascii="Times New Roman" w:hAnsi="Times New Roman" w:cs="Times New Roman"/>
          <w:color w:val="000000"/>
          <w:sz w:val="24"/>
          <w:szCs w:val="24"/>
        </w:rPr>
      </w:pPr>
      <w:r w:rsidRPr="00530D6D">
        <w:rPr>
          <w:rFonts w:ascii="Times New Roman" w:hAnsi="Times New Roman" w:cs="Times New Roman"/>
          <w:sz w:val="24"/>
          <w:szCs w:val="24"/>
          <w:lang w:val="es-ES"/>
        </w:rPr>
        <w:t xml:space="preserve">Por esta razón, la facultad de publicación </w:t>
      </w:r>
      <w:r w:rsidR="007A471C" w:rsidRPr="00530D6D">
        <w:rPr>
          <w:rFonts w:ascii="Times New Roman" w:hAnsi="Times New Roman" w:cs="Times New Roman"/>
          <w:sz w:val="24"/>
          <w:szCs w:val="24"/>
          <w:lang w:val="es-ES"/>
        </w:rPr>
        <w:t xml:space="preserve">de la </w:t>
      </w:r>
      <w:r w:rsidR="003E52C0">
        <w:rPr>
          <w:rFonts w:ascii="Times New Roman" w:hAnsi="Times New Roman" w:cs="Times New Roman"/>
          <w:sz w:val="24"/>
          <w:szCs w:val="24"/>
          <w:lang w:val="es-ES"/>
        </w:rPr>
        <w:t>Profeco</w:t>
      </w:r>
      <w:r w:rsidR="003E52C0" w:rsidRPr="00530D6D">
        <w:rPr>
          <w:rFonts w:ascii="Times New Roman" w:hAnsi="Times New Roman" w:cs="Times New Roman"/>
          <w:sz w:val="24"/>
          <w:szCs w:val="24"/>
          <w:lang w:val="es-ES"/>
        </w:rPr>
        <w:t xml:space="preserve"> </w:t>
      </w:r>
      <w:r w:rsidRPr="00530D6D">
        <w:rPr>
          <w:rFonts w:ascii="Times New Roman" w:hAnsi="Times New Roman" w:cs="Times New Roman"/>
          <w:sz w:val="24"/>
          <w:szCs w:val="24"/>
          <w:lang w:val="es-ES"/>
        </w:rPr>
        <w:t>no resulta de ninguna forma arbitraria</w:t>
      </w:r>
      <w:r w:rsidR="003E52C0">
        <w:rPr>
          <w:rFonts w:ascii="Times New Roman" w:hAnsi="Times New Roman" w:cs="Times New Roman"/>
          <w:sz w:val="24"/>
          <w:szCs w:val="24"/>
          <w:lang w:val="es-ES"/>
        </w:rPr>
        <w:t>, pues si en</w:t>
      </w:r>
      <w:r w:rsidR="00985DB5" w:rsidRPr="00530D6D">
        <w:rPr>
          <w:rFonts w:ascii="Times New Roman" w:hAnsi="Times New Roman" w:cs="Times New Roman"/>
          <w:sz w:val="24"/>
          <w:szCs w:val="24"/>
          <w:lang w:val="es-ES"/>
        </w:rPr>
        <w:t xml:space="preserve"> </w:t>
      </w:r>
      <w:r w:rsidRPr="00530D6D">
        <w:rPr>
          <w:rFonts w:ascii="Times New Roman" w:hAnsi="Times New Roman" w:cs="Times New Roman"/>
          <w:sz w:val="24"/>
          <w:szCs w:val="24"/>
          <w:lang w:val="es-ES"/>
        </w:rPr>
        <w:t>el proceso de verificación se adviert</w:t>
      </w:r>
      <w:r w:rsidR="003E52C0">
        <w:rPr>
          <w:rFonts w:ascii="Times New Roman" w:hAnsi="Times New Roman" w:cs="Times New Roman"/>
          <w:sz w:val="24"/>
          <w:szCs w:val="24"/>
          <w:lang w:val="es-ES"/>
        </w:rPr>
        <w:t>e</w:t>
      </w:r>
      <w:r w:rsidR="00985DB5" w:rsidRPr="00530D6D">
        <w:rPr>
          <w:rFonts w:ascii="Times New Roman" w:hAnsi="Times New Roman" w:cs="Times New Roman"/>
          <w:sz w:val="24"/>
          <w:szCs w:val="24"/>
          <w:lang w:val="es-ES"/>
        </w:rPr>
        <w:t xml:space="preserve"> </w:t>
      </w:r>
      <w:r w:rsidR="003E52C0">
        <w:rPr>
          <w:rFonts w:ascii="Times New Roman" w:hAnsi="Times New Roman" w:cs="Times New Roman"/>
          <w:sz w:val="24"/>
          <w:szCs w:val="24"/>
          <w:lang w:val="es-ES"/>
        </w:rPr>
        <w:t>la</w:t>
      </w:r>
      <w:r w:rsidRPr="00530D6D">
        <w:rPr>
          <w:rFonts w:ascii="Times New Roman" w:hAnsi="Times New Roman" w:cs="Times New Roman"/>
          <w:sz w:val="24"/>
          <w:szCs w:val="24"/>
          <w:lang w:val="es-ES"/>
        </w:rPr>
        <w:t xml:space="preserve"> exi</w:t>
      </w:r>
      <w:r w:rsidR="00985DB5" w:rsidRPr="00530D6D">
        <w:rPr>
          <w:rFonts w:ascii="Times New Roman" w:hAnsi="Times New Roman" w:cs="Times New Roman"/>
          <w:sz w:val="24"/>
          <w:szCs w:val="24"/>
          <w:lang w:val="es-ES"/>
        </w:rPr>
        <w:t xml:space="preserve">stencia de </w:t>
      </w:r>
      <w:r w:rsidRPr="00530D6D">
        <w:rPr>
          <w:rFonts w:ascii="Times New Roman" w:hAnsi="Times New Roman" w:cs="Times New Roman"/>
          <w:sz w:val="24"/>
          <w:szCs w:val="24"/>
          <w:lang w:val="es-ES"/>
        </w:rPr>
        <w:t>un riesgo para la población</w:t>
      </w:r>
      <w:r w:rsidR="007A471C" w:rsidRPr="00530D6D">
        <w:rPr>
          <w:rFonts w:ascii="Times New Roman" w:hAnsi="Times New Roman" w:cs="Times New Roman"/>
          <w:color w:val="000000"/>
          <w:sz w:val="24"/>
          <w:szCs w:val="24"/>
        </w:rPr>
        <w:t xml:space="preserve"> es posible que incluso antes de obtener una resolución se publique</w:t>
      </w:r>
      <w:r w:rsidR="002B606E" w:rsidRPr="00530D6D">
        <w:rPr>
          <w:rFonts w:ascii="Times New Roman" w:hAnsi="Times New Roman" w:cs="Times New Roman"/>
          <w:color w:val="000000"/>
          <w:sz w:val="24"/>
          <w:szCs w:val="24"/>
        </w:rPr>
        <w:t xml:space="preserve"> la información,</w:t>
      </w:r>
      <w:r w:rsidR="007A471C" w:rsidRPr="00530D6D">
        <w:rPr>
          <w:rFonts w:ascii="Times New Roman" w:hAnsi="Times New Roman" w:cs="Times New Roman"/>
          <w:color w:val="000000"/>
          <w:sz w:val="24"/>
          <w:szCs w:val="24"/>
        </w:rPr>
        <w:t xml:space="preserve"> pues de otra manera no podrían protegerse los bienes jurídicos tutelados.</w:t>
      </w:r>
    </w:p>
    <w:p w14:paraId="40F6D0ED" w14:textId="77777777" w:rsidR="00B651AB" w:rsidRDefault="00B651AB" w:rsidP="00B651AB">
      <w:pPr>
        <w:pStyle w:val="TEXTONORMAL"/>
        <w:spacing w:line="240" w:lineRule="auto"/>
        <w:ind w:right="49" w:firstLine="0"/>
        <w:rPr>
          <w:rFonts w:ascii="Times New Roman" w:hAnsi="Times New Roman" w:cs="Times New Roman"/>
          <w:color w:val="000000"/>
          <w:sz w:val="24"/>
          <w:szCs w:val="24"/>
        </w:rPr>
      </w:pPr>
    </w:p>
    <w:p w14:paraId="284C1058" w14:textId="35C4C8F0" w:rsidR="00985DB5" w:rsidRPr="00530D6D" w:rsidRDefault="00985DB5" w:rsidP="00B651AB">
      <w:pPr>
        <w:pStyle w:val="TEXTONORMAL"/>
        <w:spacing w:line="240" w:lineRule="auto"/>
        <w:ind w:right="49" w:firstLine="0"/>
        <w:rPr>
          <w:rFonts w:ascii="Times New Roman" w:hAnsi="Times New Roman" w:cs="Times New Roman"/>
          <w:color w:val="000000"/>
          <w:sz w:val="24"/>
          <w:szCs w:val="24"/>
        </w:rPr>
      </w:pPr>
      <w:r w:rsidRPr="00530D6D">
        <w:rPr>
          <w:rFonts w:ascii="Times New Roman" w:hAnsi="Times New Roman" w:cs="Times New Roman"/>
          <w:color w:val="000000"/>
          <w:sz w:val="24"/>
          <w:szCs w:val="24"/>
        </w:rPr>
        <w:t>Ahora bien, respecto a la existencia de una pena infamante en términos de artículo 22 constitucional</w:t>
      </w:r>
      <w:r w:rsidR="003E52C0">
        <w:rPr>
          <w:rFonts w:ascii="Times New Roman" w:hAnsi="Times New Roman" w:cs="Times New Roman"/>
          <w:color w:val="000000"/>
          <w:sz w:val="24"/>
          <w:szCs w:val="24"/>
        </w:rPr>
        <w:t>, l</w:t>
      </w:r>
      <w:r w:rsidRPr="00530D6D">
        <w:rPr>
          <w:rFonts w:ascii="Times New Roman" w:hAnsi="Times New Roman" w:cs="Times New Roman"/>
          <w:color w:val="000000"/>
          <w:sz w:val="24"/>
          <w:szCs w:val="24"/>
        </w:rPr>
        <w:t xml:space="preserve">a Sala definió que </w:t>
      </w:r>
      <w:r w:rsidR="005E6960" w:rsidRPr="00530D6D">
        <w:rPr>
          <w:rFonts w:ascii="Times New Roman" w:hAnsi="Times New Roman" w:cs="Times New Roman"/>
          <w:color w:val="000000"/>
          <w:sz w:val="24"/>
          <w:szCs w:val="24"/>
        </w:rPr>
        <w:t>la facultad de publicación no puede ser considerada una pena, pues su objetivo no es causar deshonra frente a terceros, solamente busca informar a la sociedad acerca de un riesgo de incumplimiento por parte de los proveedores.</w:t>
      </w:r>
    </w:p>
    <w:p w14:paraId="115D33B6" w14:textId="77777777" w:rsidR="00B651AB" w:rsidRDefault="00B651AB" w:rsidP="00B651AB">
      <w:pPr>
        <w:pStyle w:val="TEXTONORMAL"/>
        <w:spacing w:line="240" w:lineRule="auto"/>
        <w:ind w:right="49" w:firstLine="0"/>
        <w:rPr>
          <w:rFonts w:ascii="Times New Roman" w:hAnsi="Times New Roman" w:cs="Times New Roman"/>
          <w:sz w:val="24"/>
          <w:szCs w:val="24"/>
          <w:lang w:val="es-ES"/>
        </w:rPr>
      </w:pPr>
    </w:p>
    <w:p w14:paraId="3AC6BC5A" w14:textId="595D7DE6" w:rsidR="00D4787C" w:rsidRPr="00530D6D" w:rsidRDefault="005E6960" w:rsidP="00B651AB">
      <w:pPr>
        <w:pStyle w:val="TEXTONORMAL"/>
        <w:spacing w:line="240" w:lineRule="auto"/>
        <w:ind w:right="49" w:firstLine="0"/>
        <w:rPr>
          <w:rFonts w:ascii="Times New Roman" w:hAnsi="Times New Roman" w:cs="Times New Roman"/>
          <w:sz w:val="24"/>
          <w:szCs w:val="24"/>
          <w:lang w:val="es-ES"/>
        </w:rPr>
      </w:pPr>
      <w:r w:rsidRPr="00530D6D">
        <w:rPr>
          <w:rFonts w:ascii="Times New Roman" w:hAnsi="Times New Roman" w:cs="Times New Roman"/>
          <w:sz w:val="24"/>
          <w:szCs w:val="24"/>
          <w:lang w:val="es-ES"/>
        </w:rPr>
        <w:t xml:space="preserve">Finalmente, la Suprema Corte de Justicia de la Nación negó el amparo a la empresa y ordenó </w:t>
      </w:r>
      <w:r w:rsidR="004E140D" w:rsidRPr="00530D6D">
        <w:rPr>
          <w:rFonts w:ascii="Times New Roman" w:hAnsi="Times New Roman" w:cs="Times New Roman"/>
          <w:sz w:val="24"/>
          <w:szCs w:val="24"/>
          <w:lang w:val="es-ES"/>
        </w:rPr>
        <w:t xml:space="preserve">reservar jurisdicción al Tribunal Colegiado para el estudio de temas de legalidad </w:t>
      </w:r>
      <w:r w:rsidR="009F5F57" w:rsidRPr="00530D6D">
        <w:rPr>
          <w:rFonts w:ascii="Times New Roman" w:hAnsi="Times New Roman" w:cs="Times New Roman"/>
          <w:sz w:val="24"/>
          <w:szCs w:val="24"/>
          <w:lang w:val="es-ES"/>
        </w:rPr>
        <w:t xml:space="preserve">de acuerdo con su </w:t>
      </w:r>
      <w:r w:rsidR="004E140D" w:rsidRPr="00530D6D">
        <w:rPr>
          <w:rFonts w:ascii="Times New Roman" w:hAnsi="Times New Roman" w:cs="Times New Roman"/>
          <w:sz w:val="24"/>
          <w:szCs w:val="24"/>
          <w:lang w:val="es-ES"/>
        </w:rPr>
        <w:t>competencia.</w:t>
      </w:r>
    </w:p>
    <w:p w14:paraId="645F254E" w14:textId="77777777" w:rsidR="00B651AB" w:rsidRDefault="00B651AB" w:rsidP="00B651AB">
      <w:pPr>
        <w:pStyle w:val="TEXTONORMAL"/>
        <w:spacing w:line="240" w:lineRule="auto"/>
        <w:ind w:right="49" w:firstLine="0"/>
        <w:rPr>
          <w:rFonts w:ascii="Times New Roman" w:hAnsi="Times New Roman" w:cs="Times New Roman"/>
          <w:b/>
          <w:color w:val="000000"/>
          <w:sz w:val="24"/>
          <w:szCs w:val="24"/>
        </w:rPr>
      </w:pPr>
    </w:p>
    <w:p w14:paraId="1418157C" w14:textId="3F9D0CBB" w:rsidR="00431A46" w:rsidRPr="002E31BD" w:rsidRDefault="00431A46" w:rsidP="002E31BD">
      <w:pPr>
        <w:spacing w:after="0" w:line="240" w:lineRule="auto"/>
        <w:ind w:right="49"/>
        <w:jc w:val="both"/>
        <w:rPr>
          <w:rFonts w:ascii="Times New Roman" w:hAnsi="Times New Roman" w:cs="Times New Roman"/>
          <w:b/>
          <w:bCs/>
          <w:sz w:val="24"/>
          <w:szCs w:val="24"/>
          <w:shd w:val="clear" w:color="auto" w:fill="B4C6E7" w:themeFill="accent1" w:themeFillTint="66"/>
          <w:lang w:val="es-419"/>
        </w:rPr>
      </w:pPr>
      <w:r w:rsidRPr="002E31BD">
        <w:rPr>
          <w:rFonts w:ascii="Times New Roman" w:hAnsi="Times New Roman" w:cs="Times New Roman"/>
          <w:b/>
          <w:bCs/>
          <w:sz w:val="24"/>
          <w:szCs w:val="24"/>
          <w:shd w:val="clear" w:color="auto" w:fill="B4C6E7" w:themeFill="accent1" w:themeFillTint="66"/>
          <w:lang w:val="es-419"/>
        </w:rPr>
        <w:t>Votación</w:t>
      </w:r>
      <w:r w:rsidR="00574E5D">
        <w:rPr>
          <w:rFonts w:ascii="Times New Roman" w:hAnsi="Times New Roman" w:cs="Times New Roman"/>
          <w:b/>
          <w:bCs/>
          <w:sz w:val="24"/>
          <w:szCs w:val="24"/>
          <w:shd w:val="clear" w:color="auto" w:fill="B4C6E7" w:themeFill="accent1" w:themeFillTint="66"/>
          <w:lang w:val="es-419"/>
        </w:rPr>
        <w:t>:</w:t>
      </w:r>
    </w:p>
    <w:p w14:paraId="41396B1B" w14:textId="77777777" w:rsidR="00B651AB" w:rsidRDefault="00B651AB" w:rsidP="00530D6D">
      <w:pPr>
        <w:pStyle w:val="TEXTONORMAL"/>
        <w:spacing w:line="240" w:lineRule="auto"/>
        <w:ind w:right="49" w:firstLine="0"/>
        <w:rPr>
          <w:rFonts w:ascii="Times New Roman" w:hAnsi="Times New Roman" w:cs="Times New Roman"/>
          <w:sz w:val="24"/>
          <w:szCs w:val="24"/>
        </w:rPr>
      </w:pPr>
    </w:p>
    <w:p w14:paraId="7AFCF13D" w14:textId="751F198F" w:rsidR="00431A46" w:rsidRDefault="00431A46" w:rsidP="00530D6D">
      <w:pPr>
        <w:pStyle w:val="TEXTONORMAL"/>
        <w:spacing w:line="240" w:lineRule="auto"/>
        <w:ind w:right="49" w:firstLine="0"/>
        <w:rPr>
          <w:rFonts w:ascii="Times New Roman" w:hAnsi="Times New Roman" w:cs="Times New Roman"/>
          <w:sz w:val="24"/>
          <w:szCs w:val="24"/>
        </w:rPr>
      </w:pPr>
      <w:r w:rsidRPr="00530D6D">
        <w:rPr>
          <w:rFonts w:ascii="Times New Roman" w:hAnsi="Times New Roman" w:cs="Times New Roman"/>
          <w:sz w:val="24"/>
          <w:szCs w:val="24"/>
        </w:rPr>
        <w:t xml:space="preserve">El asunto fue aprobado </w:t>
      </w:r>
      <w:r w:rsidR="00DE5259">
        <w:rPr>
          <w:rFonts w:ascii="Times New Roman" w:hAnsi="Times New Roman" w:cs="Times New Roman"/>
          <w:sz w:val="24"/>
          <w:szCs w:val="24"/>
        </w:rPr>
        <w:t xml:space="preserve">en sesión de la Primera Sala del 20 de enero de 2021, </w:t>
      </w:r>
      <w:r w:rsidRPr="00530D6D">
        <w:rPr>
          <w:rFonts w:ascii="Times New Roman" w:hAnsi="Times New Roman" w:cs="Times New Roman"/>
          <w:sz w:val="24"/>
          <w:szCs w:val="24"/>
        </w:rPr>
        <w:t xml:space="preserve">por </w:t>
      </w:r>
      <w:r w:rsidR="00D4787C" w:rsidRPr="00530D6D">
        <w:rPr>
          <w:rFonts w:ascii="Times New Roman" w:hAnsi="Times New Roman" w:cs="Times New Roman"/>
          <w:sz w:val="24"/>
          <w:szCs w:val="24"/>
        </w:rPr>
        <w:t>unanimidad de</w:t>
      </w:r>
      <w:r w:rsidRPr="00530D6D">
        <w:rPr>
          <w:rFonts w:ascii="Times New Roman" w:hAnsi="Times New Roman" w:cs="Times New Roman"/>
          <w:sz w:val="24"/>
          <w:szCs w:val="24"/>
        </w:rPr>
        <w:t xml:space="preserve"> c</w:t>
      </w:r>
      <w:r w:rsidR="00D4787C" w:rsidRPr="00530D6D">
        <w:rPr>
          <w:rFonts w:ascii="Times New Roman" w:hAnsi="Times New Roman" w:cs="Times New Roman"/>
          <w:sz w:val="24"/>
          <w:szCs w:val="24"/>
        </w:rPr>
        <w:t xml:space="preserve">inco </w:t>
      </w:r>
      <w:r w:rsidRPr="00530D6D">
        <w:rPr>
          <w:rFonts w:ascii="Times New Roman" w:hAnsi="Times New Roman" w:cs="Times New Roman"/>
          <w:sz w:val="24"/>
          <w:szCs w:val="24"/>
        </w:rPr>
        <w:t>votos de los Ministros: Juan Luis González Alcántara Carrancá, Jorge Mario Pardo Rebolledo, Alfredo Gutiérrez Ortiz Mena</w:t>
      </w:r>
      <w:r w:rsidR="00D4787C" w:rsidRPr="00530D6D">
        <w:rPr>
          <w:rFonts w:ascii="Times New Roman" w:hAnsi="Times New Roman" w:cs="Times New Roman"/>
          <w:sz w:val="24"/>
          <w:szCs w:val="24"/>
        </w:rPr>
        <w:t xml:space="preserve">, </w:t>
      </w:r>
      <w:r w:rsidRPr="00530D6D">
        <w:rPr>
          <w:rFonts w:ascii="Times New Roman" w:hAnsi="Times New Roman" w:cs="Times New Roman"/>
          <w:sz w:val="24"/>
          <w:szCs w:val="24"/>
        </w:rPr>
        <w:t>Ana Margarita Ríos Farja</w:t>
      </w:r>
      <w:r w:rsidR="00D4787C" w:rsidRPr="00530D6D">
        <w:rPr>
          <w:rFonts w:ascii="Times New Roman" w:hAnsi="Times New Roman" w:cs="Times New Roman"/>
          <w:sz w:val="24"/>
          <w:szCs w:val="24"/>
        </w:rPr>
        <w:t xml:space="preserve">t y Norma Lucía Piña Hernández </w:t>
      </w:r>
      <w:r w:rsidR="009F5F57" w:rsidRPr="00530D6D">
        <w:rPr>
          <w:rFonts w:ascii="Times New Roman" w:hAnsi="Times New Roman" w:cs="Times New Roman"/>
          <w:sz w:val="24"/>
          <w:szCs w:val="24"/>
        </w:rPr>
        <w:t>quien se reserv</w:t>
      </w:r>
      <w:r w:rsidR="003E52C0">
        <w:rPr>
          <w:rFonts w:ascii="Times New Roman" w:hAnsi="Times New Roman" w:cs="Times New Roman"/>
          <w:sz w:val="24"/>
          <w:szCs w:val="24"/>
        </w:rPr>
        <w:t>ó</w:t>
      </w:r>
      <w:r w:rsidR="009F5F57" w:rsidRPr="00530D6D">
        <w:rPr>
          <w:rFonts w:ascii="Times New Roman" w:hAnsi="Times New Roman" w:cs="Times New Roman"/>
          <w:sz w:val="24"/>
          <w:szCs w:val="24"/>
        </w:rPr>
        <w:t xml:space="preserve"> el derecho de formular voto concurrente.</w:t>
      </w:r>
    </w:p>
    <w:p w14:paraId="02F0B7E0" w14:textId="77777777" w:rsidR="00B651AB" w:rsidRPr="00530D6D" w:rsidRDefault="00B651AB" w:rsidP="00530D6D">
      <w:pPr>
        <w:pStyle w:val="TEXTONORMAL"/>
        <w:spacing w:line="240" w:lineRule="auto"/>
        <w:ind w:right="49" w:firstLine="0"/>
        <w:rPr>
          <w:rFonts w:ascii="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8808"/>
      </w:tblGrid>
      <w:tr w:rsidR="00B651AB" w:rsidRPr="0023400E" w14:paraId="7E002071" w14:textId="77777777" w:rsidTr="003B20F7">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2C5F2E13" w14:textId="77777777" w:rsidR="00B651AB" w:rsidRPr="0023400E" w:rsidRDefault="00B651AB" w:rsidP="003B20F7">
            <w:pPr>
              <w:jc w:val="both"/>
              <w:rPr>
                <w:rFonts w:ascii="Times New Roman" w:hAnsi="Times New Roman" w:cs="Times New Roman"/>
                <w:sz w:val="20"/>
                <w:szCs w:val="20"/>
                <w:lang w:val="es-419"/>
              </w:rPr>
            </w:pPr>
          </w:p>
          <w:p w14:paraId="5A774A52" w14:textId="77777777" w:rsidR="00B651AB" w:rsidRPr="0023400E" w:rsidRDefault="00B651AB" w:rsidP="003B20F7">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2D6B0734" w14:textId="77777777" w:rsidR="00B651AB" w:rsidRPr="0023400E" w:rsidRDefault="00B651AB" w:rsidP="003B20F7">
            <w:pPr>
              <w:jc w:val="both"/>
              <w:rPr>
                <w:rFonts w:ascii="Times New Roman" w:hAnsi="Times New Roman" w:cs="Times New Roman"/>
                <w:sz w:val="20"/>
                <w:szCs w:val="20"/>
                <w:lang w:val="es-419"/>
              </w:rPr>
            </w:pPr>
          </w:p>
        </w:tc>
      </w:tr>
    </w:tbl>
    <w:p w14:paraId="3D49FB50" w14:textId="77777777" w:rsidR="00B651AB" w:rsidRDefault="00B651AB" w:rsidP="00530D6D">
      <w:pPr>
        <w:spacing w:after="0" w:line="240" w:lineRule="auto"/>
        <w:ind w:right="49"/>
        <w:rPr>
          <w:rFonts w:ascii="Times New Roman" w:hAnsi="Times New Roman" w:cs="Times New Roman"/>
          <w:sz w:val="24"/>
          <w:szCs w:val="24"/>
        </w:rPr>
      </w:pPr>
    </w:p>
    <w:sectPr w:rsidR="00B651A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8B5E" w14:textId="77777777" w:rsidR="001F4F80" w:rsidRDefault="001F4F80" w:rsidP="00007440">
      <w:pPr>
        <w:spacing w:after="0" w:line="240" w:lineRule="auto"/>
      </w:pPr>
      <w:r>
        <w:separator/>
      </w:r>
    </w:p>
  </w:endnote>
  <w:endnote w:type="continuationSeparator" w:id="0">
    <w:p w14:paraId="730CD6F0" w14:textId="77777777" w:rsidR="001F4F80" w:rsidRDefault="001F4F80" w:rsidP="0000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305637"/>
      <w:docPartObj>
        <w:docPartGallery w:val="Page Numbers (Bottom of Page)"/>
        <w:docPartUnique/>
      </w:docPartObj>
    </w:sdtPr>
    <w:sdtEndPr>
      <w:rPr>
        <w:rFonts w:ascii="Times New Roman" w:hAnsi="Times New Roman" w:cs="Times New Roman"/>
      </w:rPr>
    </w:sdtEndPr>
    <w:sdtContent>
      <w:p w14:paraId="091F6F59" w14:textId="00EB9F20" w:rsidR="00F506D4" w:rsidRPr="00F506D4" w:rsidRDefault="00F506D4">
        <w:pPr>
          <w:pStyle w:val="Piedepgina"/>
          <w:jc w:val="center"/>
          <w:rPr>
            <w:rFonts w:ascii="Times New Roman" w:hAnsi="Times New Roman" w:cs="Times New Roman"/>
          </w:rPr>
        </w:pPr>
        <w:r w:rsidRPr="00F506D4">
          <w:rPr>
            <w:rFonts w:ascii="Times New Roman" w:hAnsi="Times New Roman" w:cs="Times New Roman"/>
          </w:rPr>
          <w:fldChar w:fldCharType="begin"/>
        </w:r>
        <w:r w:rsidRPr="00F506D4">
          <w:rPr>
            <w:rFonts w:ascii="Times New Roman" w:hAnsi="Times New Roman" w:cs="Times New Roman"/>
          </w:rPr>
          <w:instrText>PAGE   \* MERGEFORMAT</w:instrText>
        </w:r>
        <w:r w:rsidRPr="00F506D4">
          <w:rPr>
            <w:rFonts w:ascii="Times New Roman" w:hAnsi="Times New Roman" w:cs="Times New Roman"/>
          </w:rPr>
          <w:fldChar w:fldCharType="separate"/>
        </w:r>
        <w:r w:rsidRPr="00F506D4">
          <w:rPr>
            <w:rFonts w:ascii="Times New Roman" w:hAnsi="Times New Roman" w:cs="Times New Roman"/>
            <w:lang w:val="es-ES"/>
          </w:rPr>
          <w:t>2</w:t>
        </w:r>
        <w:r w:rsidRPr="00F506D4">
          <w:rPr>
            <w:rFonts w:ascii="Times New Roman" w:hAnsi="Times New Roman" w:cs="Times New Roman"/>
          </w:rPr>
          <w:fldChar w:fldCharType="end"/>
        </w:r>
      </w:p>
    </w:sdtContent>
  </w:sdt>
  <w:p w14:paraId="66ED0F87" w14:textId="77777777" w:rsidR="00F506D4" w:rsidRDefault="00F506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50BB" w14:textId="77777777" w:rsidR="001F4F80" w:rsidRDefault="001F4F80" w:rsidP="00007440">
      <w:pPr>
        <w:spacing w:after="0" w:line="240" w:lineRule="auto"/>
      </w:pPr>
      <w:r>
        <w:separator/>
      </w:r>
    </w:p>
  </w:footnote>
  <w:footnote w:type="continuationSeparator" w:id="0">
    <w:p w14:paraId="4894FEB3" w14:textId="77777777" w:rsidR="001F4F80" w:rsidRDefault="001F4F80" w:rsidP="00007440">
      <w:pPr>
        <w:spacing w:after="0" w:line="240" w:lineRule="auto"/>
      </w:pPr>
      <w:r>
        <w:continuationSeparator/>
      </w:r>
    </w:p>
  </w:footnote>
  <w:footnote w:id="1">
    <w:p w14:paraId="7B58D0B7" w14:textId="77777777" w:rsidR="00F506D4" w:rsidRDefault="00007440" w:rsidP="00530D6D">
      <w:pPr>
        <w:pStyle w:val="Textonotapie"/>
        <w:ind w:right="49"/>
        <w:jc w:val="both"/>
        <w:rPr>
          <w:rFonts w:ascii="Times New Roman" w:hAnsi="Times New Roman" w:cs="Times New Roman"/>
          <w:sz w:val="18"/>
          <w:szCs w:val="18"/>
        </w:rPr>
      </w:pPr>
      <w:r w:rsidRPr="00EE0C5F">
        <w:rPr>
          <w:rStyle w:val="Refdenotaalpie"/>
          <w:rFonts w:ascii="Times New Roman" w:hAnsi="Times New Roman" w:cs="Times New Roman"/>
          <w:sz w:val="18"/>
          <w:szCs w:val="18"/>
        </w:rPr>
        <w:footnoteRef/>
      </w:r>
      <w:r w:rsidRPr="00EE0C5F">
        <w:rPr>
          <w:rFonts w:ascii="Times New Roman" w:hAnsi="Times New Roman" w:cs="Times New Roman"/>
          <w:sz w:val="18"/>
          <w:szCs w:val="18"/>
        </w:rPr>
        <w:t xml:space="preserve"> </w:t>
      </w:r>
      <w:r w:rsidRPr="00EE0C5F">
        <w:rPr>
          <w:rFonts w:ascii="Times New Roman" w:hAnsi="Times New Roman" w:cs="Times New Roman"/>
          <w:b/>
          <w:bCs/>
          <w:sz w:val="18"/>
          <w:szCs w:val="18"/>
        </w:rPr>
        <w:t>Artículo 24:</w:t>
      </w:r>
      <w:r w:rsidRPr="00EE0C5F">
        <w:rPr>
          <w:rFonts w:ascii="Times New Roman" w:hAnsi="Times New Roman" w:cs="Times New Roman"/>
          <w:sz w:val="18"/>
          <w:szCs w:val="18"/>
        </w:rPr>
        <w:t xml:space="preserve"> La procuraduría tiene las siguientes atribuciones</w:t>
      </w:r>
      <w:r w:rsidR="00615D7E" w:rsidRPr="00EE0C5F">
        <w:rPr>
          <w:rFonts w:ascii="Times New Roman" w:hAnsi="Times New Roman" w:cs="Times New Roman"/>
          <w:sz w:val="18"/>
          <w:szCs w:val="18"/>
        </w:rPr>
        <w:t>:</w:t>
      </w:r>
    </w:p>
    <w:p w14:paraId="74684AAA" w14:textId="7F665E1F" w:rsidR="00615D7E" w:rsidRPr="00EE0C5F" w:rsidRDefault="00F506D4" w:rsidP="00530D6D">
      <w:pPr>
        <w:pStyle w:val="Textonotapie"/>
        <w:ind w:right="49"/>
        <w:jc w:val="both"/>
        <w:rPr>
          <w:rFonts w:ascii="Times New Roman" w:hAnsi="Times New Roman" w:cs="Times New Roman"/>
          <w:sz w:val="18"/>
          <w:szCs w:val="18"/>
        </w:rPr>
      </w:pPr>
      <w:r w:rsidRPr="00EE0C5F">
        <w:rPr>
          <w:rFonts w:ascii="Times New Roman" w:hAnsi="Times New Roman" w:cs="Times New Roman"/>
          <w:sz w:val="18"/>
          <w:szCs w:val="18"/>
        </w:rPr>
        <w:t>[…]</w:t>
      </w:r>
      <w:r w:rsidR="00615D7E" w:rsidRPr="00EE0C5F">
        <w:rPr>
          <w:rFonts w:ascii="Times New Roman" w:hAnsi="Times New Roman" w:cs="Times New Roman"/>
          <w:sz w:val="18"/>
          <w:szCs w:val="18"/>
        </w:rPr>
        <w:t xml:space="preserve"> </w:t>
      </w:r>
    </w:p>
    <w:p w14:paraId="40F1CE46" w14:textId="3570E86A" w:rsidR="00007440" w:rsidRPr="00EE0C5F" w:rsidRDefault="00007440" w:rsidP="00530D6D">
      <w:pPr>
        <w:pStyle w:val="Textonotapie"/>
        <w:ind w:right="49"/>
        <w:jc w:val="both"/>
        <w:rPr>
          <w:rFonts w:ascii="Times New Roman" w:hAnsi="Times New Roman" w:cs="Times New Roman"/>
          <w:sz w:val="18"/>
          <w:szCs w:val="18"/>
        </w:rPr>
      </w:pPr>
      <w:r w:rsidRPr="00EE0C5F">
        <w:rPr>
          <w:rFonts w:ascii="Times New Roman" w:hAnsi="Times New Roman" w:cs="Times New Roman"/>
          <w:sz w:val="18"/>
          <w:szCs w:val="18"/>
        </w:rPr>
        <w:t>XXIII. Publicar, a través de cualquier medio, los productos y servicios que con motivo de sus verificaciones y los demás procedimientos previstos por la Ley sean detectados como riesgosos o en incumplimiento a las disposiciones jurídicas aplicables; emitir alertas dirigidas a los consumidores y dar a conocer las de otras autoridades o agencias sobre productos o prácticas en el abastecimiento de bienes, productos o servicios, defectuosos, dañinos o que pongan en riesgo la vida, la salud o la seguridad del consumidor; ordenar y difundir llamados a revisión dirigidos a proveedores y dar a conocer los de otras autoridades sobre productos o prácticas en el abastecimiento de bienes, productos o servicios, defectuosos, dañinos o que pongan en riesgo la vida, la salud, la seguridad o la economía del consumidor</w:t>
      </w:r>
      <w:r w:rsidR="00F25FBB" w:rsidRPr="00EE0C5F">
        <w:rPr>
          <w:rFonts w:ascii="Times New Roman" w:hAnsi="Times New Roman" w:cs="Times New Roman"/>
          <w:sz w:val="18"/>
          <w:szCs w:val="18"/>
        </w:rPr>
        <w:t>.</w:t>
      </w:r>
    </w:p>
    <w:p w14:paraId="6331F230" w14:textId="07045836" w:rsidR="00615D7E" w:rsidRDefault="00615D7E" w:rsidP="00530D6D">
      <w:pPr>
        <w:pStyle w:val="Textonotapie"/>
        <w:ind w:right="49"/>
        <w:jc w:val="both"/>
        <w:rPr>
          <w:rFonts w:ascii="Times New Roman" w:hAnsi="Times New Roman" w:cs="Times New Roman"/>
          <w:sz w:val="18"/>
          <w:szCs w:val="18"/>
        </w:rPr>
      </w:pPr>
      <w:r w:rsidRPr="00EE0C5F">
        <w:rPr>
          <w:rFonts w:ascii="Times New Roman" w:hAnsi="Times New Roman" w:cs="Times New Roman"/>
          <w:b/>
          <w:bCs/>
          <w:sz w:val="18"/>
          <w:szCs w:val="18"/>
        </w:rPr>
        <w:t>Artículo 25 Bis:</w:t>
      </w:r>
      <w:r w:rsidRPr="00EE0C5F">
        <w:rPr>
          <w:rFonts w:ascii="Times New Roman" w:hAnsi="Times New Roman" w:cs="Times New Roman"/>
          <w:sz w:val="18"/>
          <w:szCs w:val="18"/>
        </w:rPr>
        <w:t xml:space="preserve"> La Procuraduría podrá aplicar las siguientes medidas precautorias cuando se afecte o pueda afectar la vida, la salud, la seguridad o la economía de una colectividad de consumidores:</w:t>
      </w:r>
    </w:p>
    <w:p w14:paraId="4CB8B681" w14:textId="7E3E5B95" w:rsidR="00F506D4" w:rsidRPr="00EE0C5F" w:rsidRDefault="00F506D4" w:rsidP="00530D6D">
      <w:pPr>
        <w:pStyle w:val="Textonotapie"/>
        <w:ind w:right="49"/>
        <w:jc w:val="both"/>
        <w:rPr>
          <w:rFonts w:ascii="Times New Roman" w:hAnsi="Times New Roman" w:cs="Times New Roman"/>
          <w:sz w:val="18"/>
          <w:szCs w:val="18"/>
        </w:rPr>
      </w:pPr>
      <w:r w:rsidRPr="00EE0C5F">
        <w:rPr>
          <w:rFonts w:ascii="Times New Roman" w:hAnsi="Times New Roman" w:cs="Times New Roman"/>
          <w:sz w:val="18"/>
          <w:szCs w:val="18"/>
        </w:rPr>
        <w:t>[…]</w:t>
      </w:r>
    </w:p>
    <w:p w14:paraId="2B0F2B09" w14:textId="77777777" w:rsidR="00615D7E" w:rsidRPr="00EE0C5F" w:rsidRDefault="00615D7E" w:rsidP="00530D6D">
      <w:pPr>
        <w:pStyle w:val="Textonotapie"/>
        <w:ind w:right="49"/>
        <w:jc w:val="both"/>
        <w:rPr>
          <w:rFonts w:ascii="Times New Roman" w:hAnsi="Times New Roman" w:cs="Times New Roman"/>
          <w:sz w:val="18"/>
          <w:szCs w:val="18"/>
        </w:rPr>
      </w:pPr>
      <w:r w:rsidRPr="00EE0C5F">
        <w:rPr>
          <w:rFonts w:ascii="Times New Roman" w:hAnsi="Times New Roman" w:cs="Times New Roman"/>
          <w:sz w:val="18"/>
          <w:szCs w:val="18"/>
        </w:rPr>
        <w:t xml:space="preserve">V. Colocación de sellos e información de advertencia, y </w:t>
      </w:r>
    </w:p>
    <w:p w14:paraId="48D0DC40" w14:textId="7FF2D3C1" w:rsidR="00615D7E" w:rsidRPr="00EE0C5F" w:rsidRDefault="00615D7E" w:rsidP="00530D6D">
      <w:pPr>
        <w:pStyle w:val="Textonotapie"/>
        <w:ind w:right="49"/>
        <w:jc w:val="both"/>
        <w:rPr>
          <w:rFonts w:ascii="Times New Roman" w:hAnsi="Times New Roman" w:cs="Times New Roman"/>
          <w:sz w:val="18"/>
          <w:szCs w:val="18"/>
        </w:rPr>
      </w:pPr>
      <w:r w:rsidRPr="00EE0C5F">
        <w:rPr>
          <w:rFonts w:ascii="Times New Roman" w:hAnsi="Times New Roman" w:cs="Times New Roman"/>
          <w:sz w:val="18"/>
          <w:szCs w:val="18"/>
        </w:rPr>
        <w:t>VI. Ordenar la suspensión de información o publicidad a que se refiere el artículo 35 de esta Ley.</w:t>
      </w:r>
    </w:p>
    <w:p w14:paraId="21B28B00" w14:textId="2A31E776" w:rsidR="00615D7E" w:rsidRPr="00EE0C5F" w:rsidRDefault="00615D7E" w:rsidP="00530D6D">
      <w:pPr>
        <w:pStyle w:val="Textonotapie"/>
        <w:ind w:right="49"/>
        <w:jc w:val="both"/>
        <w:rPr>
          <w:rFonts w:ascii="Times New Roman" w:hAnsi="Times New Roman" w:cs="Times New Roman"/>
          <w:sz w:val="18"/>
          <w:szCs w:val="18"/>
        </w:rPr>
      </w:pPr>
      <w:r w:rsidRPr="00EE0C5F">
        <w:rPr>
          <w:rFonts w:ascii="Times New Roman" w:hAnsi="Times New Roman" w:cs="Times New Roman"/>
          <w:sz w:val="18"/>
          <w:szCs w:val="18"/>
        </w:rPr>
        <w:t>Las medidas precautorias se dictarán conforme a los criterios que al efecto expida la Procuraduría y dentro del procedimiento correspondiente en términos de lo dispuesto en el artículo 57 y demás relativos de la Ley Federal sobre Metrología y Normalización; así como cuando se advierta que se afecta o se puede afectar la economía de una colectividad de consumidores en los casos a que se refiere el artículo 128 TER o cuando se violen disposiciones de esta ley por diversas conductas o prácticas comerciales abusivas, tales como: el incumplimiento de precios o tarifas exhibidos; el condicionamiento de la venta de bienes o de servicios; el incumplimiento de ofertas y promociones; por conductas discriminatorias y por publicidad o información engañosa. En el caso de la medida precautoria a que se refiere la fracción IV de este precepto, previo a la colocación del sello e información respectiva, la Procuraduría aplicará la medida a que se refiere el artículo 25, fracción I, de esta ley, salvo el caso de que se encuentre en riesgo el principio señalado en la fracción X del artículo 1 de la presente ley. Tales medidas se levantarán una vez que se acredite el cese de las causas que hubieren originado su aplicación. En su caso, la Procuraduría hará del conocimiento de otras autoridades competentes la aplicación de la o las medidas a que se refiere este precepto.</w:t>
      </w:r>
    </w:p>
    <w:p w14:paraId="57897115" w14:textId="1BED97EC" w:rsidR="00615D7E" w:rsidRPr="00EE0C5F" w:rsidRDefault="00615D7E" w:rsidP="00530D6D">
      <w:pPr>
        <w:pStyle w:val="Textonotapie"/>
        <w:ind w:right="49"/>
        <w:jc w:val="both"/>
        <w:rPr>
          <w:rFonts w:ascii="Times New Roman" w:hAnsi="Times New Roman" w:cs="Times New Roman"/>
          <w:sz w:val="18"/>
          <w:szCs w:val="18"/>
        </w:rPr>
      </w:pPr>
      <w:r w:rsidRPr="00EE0C5F">
        <w:rPr>
          <w:rFonts w:ascii="Times New Roman" w:hAnsi="Times New Roman" w:cs="Times New Roman"/>
          <w:b/>
          <w:bCs/>
          <w:sz w:val="18"/>
          <w:szCs w:val="18"/>
        </w:rPr>
        <w:t>Artículo 32:</w:t>
      </w:r>
      <w:r w:rsidR="00F25FBB" w:rsidRPr="00EE0C5F">
        <w:rPr>
          <w:rFonts w:ascii="Times New Roman" w:hAnsi="Times New Roman" w:cs="Times New Roman"/>
          <w:sz w:val="18"/>
          <w:szCs w:val="18"/>
        </w:rPr>
        <w:t xml:space="preserve"> […]</w:t>
      </w:r>
      <w:r w:rsidR="00F506D4">
        <w:rPr>
          <w:rFonts w:ascii="Times New Roman" w:hAnsi="Times New Roman" w:cs="Times New Roman"/>
          <w:sz w:val="18"/>
          <w:szCs w:val="18"/>
        </w:rPr>
        <w:t xml:space="preserve"> </w:t>
      </w:r>
      <w:r w:rsidR="00F25FBB" w:rsidRPr="00EE0C5F">
        <w:rPr>
          <w:rFonts w:ascii="Times New Roman" w:hAnsi="Times New Roman" w:cs="Times New Roman"/>
          <w:sz w:val="18"/>
          <w:szCs w:val="18"/>
        </w:rPr>
        <w:t>La Procuraduría podrá emitir lineamientos para el análisis y verificación de dicha información o publicidad a fin de evitar que se induzca a error o confusión al consumidor, considerando el contexto temporal en que se difunde, el momento en que se transmite respecto de otros contenidos difundidos en el mismo medio y las circunstancias económicas o especiales del mercado.</w:t>
      </w:r>
    </w:p>
    <w:p w14:paraId="206F26DF" w14:textId="2FE3085B" w:rsidR="00F25FBB" w:rsidRPr="00EE0C5F" w:rsidRDefault="00F25FBB" w:rsidP="00530D6D">
      <w:pPr>
        <w:pStyle w:val="Textonotapie"/>
        <w:ind w:right="49"/>
        <w:jc w:val="both"/>
        <w:rPr>
          <w:rFonts w:ascii="Times New Roman" w:hAnsi="Times New Roman" w:cs="Times New Roman"/>
          <w:sz w:val="18"/>
          <w:szCs w:val="18"/>
        </w:rPr>
      </w:pPr>
      <w:r w:rsidRPr="00EE0C5F">
        <w:rPr>
          <w:rFonts w:ascii="Times New Roman" w:hAnsi="Times New Roman" w:cs="Times New Roman"/>
          <w:b/>
          <w:bCs/>
          <w:sz w:val="18"/>
          <w:szCs w:val="18"/>
        </w:rPr>
        <w:t>Artículo 97 Qu</w:t>
      </w:r>
      <w:r w:rsidR="002E31BD" w:rsidRPr="00EE0C5F">
        <w:rPr>
          <w:rFonts w:ascii="Times New Roman" w:hAnsi="Times New Roman" w:cs="Times New Roman"/>
          <w:b/>
          <w:bCs/>
          <w:sz w:val="18"/>
          <w:szCs w:val="18"/>
        </w:rPr>
        <w:t>á</w:t>
      </w:r>
      <w:r w:rsidRPr="00EE0C5F">
        <w:rPr>
          <w:rFonts w:ascii="Times New Roman" w:hAnsi="Times New Roman" w:cs="Times New Roman"/>
          <w:b/>
          <w:bCs/>
          <w:sz w:val="18"/>
          <w:szCs w:val="18"/>
        </w:rPr>
        <w:t>ter:</w:t>
      </w:r>
      <w:r w:rsidRPr="00EE0C5F">
        <w:rPr>
          <w:rFonts w:ascii="Times New Roman" w:hAnsi="Times New Roman" w:cs="Times New Roman"/>
          <w:sz w:val="18"/>
          <w:szCs w:val="18"/>
        </w:rPr>
        <w:t xml:space="preserve"> Si durante el procedimiento de verificación se detecta alguno de los supuestos previstos en el artículo 25 BIS de esta ley, se aplicarán, en su caso, las medidas precautorias que correspondan, asentándose dicha circunstancia en el acta respectiva. Lo anterior, sin perjuicio de iniciar el procedimiento previsto por el artículo 123 de esta ley.</w:t>
      </w:r>
    </w:p>
    <w:p w14:paraId="792938B8" w14:textId="2E4273E8" w:rsidR="00F25FBB" w:rsidRPr="00EE0C5F" w:rsidRDefault="00F25FBB" w:rsidP="00530D6D">
      <w:pPr>
        <w:pStyle w:val="Textonotapie"/>
        <w:ind w:right="49"/>
        <w:jc w:val="both"/>
        <w:rPr>
          <w:rFonts w:ascii="Times New Roman" w:hAnsi="Times New Roman" w:cs="Times New Roman"/>
          <w:sz w:val="18"/>
          <w:szCs w:val="18"/>
        </w:rPr>
      </w:pPr>
      <w:r w:rsidRPr="00EE0C5F">
        <w:rPr>
          <w:rFonts w:ascii="Times New Roman" w:hAnsi="Times New Roman" w:cs="Times New Roman"/>
          <w:b/>
          <w:bCs/>
          <w:sz w:val="18"/>
          <w:szCs w:val="18"/>
        </w:rPr>
        <w:t xml:space="preserve">Artículo 128 Bis: </w:t>
      </w:r>
      <w:r w:rsidRPr="00EE0C5F">
        <w:rPr>
          <w:rFonts w:ascii="Times New Roman" w:hAnsi="Times New Roman" w:cs="Times New Roman"/>
          <w:sz w:val="18"/>
          <w:szCs w:val="18"/>
        </w:rPr>
        <w:t>En casos particularmente graves, la Procuraduría podrá sancionar con clausura total o parcial, la cual podrá ser hasta de noventa días y con multa de $133,298.57 a $3’732,360.02.</w:t>
      </w:r>
    </w:p>
    <w:p w14:paraId="4665656B" w14:textId="1D34BDA5" w:rsidR="00F25FBB" w:rsidRPr="00EE0C5F" w:rsidRDefault="00F25FBB" w:rsidP="00530D6D">
      <w:pPr>
        <w:pStyle w:val="Textonotapie"/>
        <w:ind w:right="49"/>
        <w:jc w:val="both"/>
        <w:rPr>
          <w:rFonts w:ascii="Times New Roman" w:hAnsi="Times New Roman" w:cs="Times New Roman"/>
          <w:b/>
          <w:bCs/>
          <w:sz w:val="18"/>
          <w:szCs w:val="18"/>
        </w:rPr>
      </w:pPr>
      <w:r w:rsidRPr="00EE0C5F">
        <w:rPr>
          <w:rFonts w:ascii="Times New Roman" w:hAnsi="Times New Roman" w:cs="Times New Roman"/>
          <w:sz w:val="18"/>
          <w:szCs w:val="18"/>
        </w:rPr>
        <w:t>Las violaciones a lo establecido en el artículo 32 que se consideren particularmente graves conforme a lo establecido en el artículo 128 Ter de esta ley, serán sancionadas con la multa establecida en el párrafo anterior o bien con multa de hasta un 10% de los ingresos brutos anuales del infractor obtenidos por la comercialización del bien o los bienes, productos o servicios contenidos en la publicidad respectiva, correspondiente al último ejercicio fiscal en que se haya cometido la infracción, en caso de reincidencia.</w:t>
      </w:r>
    </w:p>
    <w:p w14:paraId="28FF272D" w14:textId="77777777" w:rsidR="00007440" w:rsidRPr="00EE0C5F" w:rsidRDefault="00007440" w:rsidP="00530D6D">
      <w:pPr>
        <w:pStyle w:val="Textonotapie"/>
        <w:ind w:right="49" w:firstLine="708"/>
        <w:rPr>
          <w:rFonts w:ascii="Times New Roman" w:hAnsi="Times New Roman" w:cs="Times New Roman"/>
          <w:b/>
          <w:b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672B4"/>
    <w:multiLevelType w:val="multilevel"/>
    <w:tmpl w:val="C696E410"/>
    <w:lvl w:ilvl="0">
      <w:start w:val="1"/>
      <w:numFmt w:val="decimal"/>
      <w:lvlText w:val="%1."/>
      <w:lvlJc w:val="left"/>
      <w:pPr>
        <w:ind w:left="502"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9D05E01"/>
    <w:multiLevelType w:val="hybridMultilevel"/>
    <w:tmpl w:val="24DC78B6"/>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2" w15:restartNumberingAfterBreak="0">
    <w:nsid w:val="5673308C"/>
    <w:multiLevelType w:val="hybridMultilevel"/>
    <w:tmpl w:val="A0347020"/>
    <w:lvl w:ilvl="0" w:tplc="080A0011">
      <w:start w:val="1"/>
      <w:numFmt w:val="decimal"/>
      <w:lvlText w:val="%1)"/>
      <w:lvlJc w:val="left"/>
      <w:pPr>
        <w:tabs>
          <w:tab w:val="num" w:pos="1069"/>
        </w:tabs>
        <w:ind w:left="1069" w:hanging="360"/>
      </w:pPr>
      <w:rPr>
        <w:rFonts w:hint="default"/>
      </w:rPr>
    </w:lvl>
    <w:lvl w:ilvl="1" w:tplc="080A0019">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6"/>
    <w:rsid w:val="00007440"/>
    <w:rsid w:val="0001078C"/>
    <w:rsid w:val="00016D13"/>
    <w:rsid w:val="000322AE"/>
    <w:rsid w:val="000A3882"/>
    <w:rsid w:val="000E7116"/>
    <w:rsid w:val="0012599E"/>
    <w:rsid w:val="0016044E"/>
    <w:rsid w:val="001706BD"/>
    <w:rsid w:val="001B3F41"/>
    <w:rsid w:val="001F4F80"/>
    <w:rsid w:val="00226F08"/>
    <w:rsid w:val="00267868"/>
    <w:rsid w:val="002B606E"/>
    <w:rsid w:val="002E31BD"/>
    <w:rsid w:val="003B4899"/>
    <w:rsid w:val="003E52C0"/>
    <w:rsid w:val="00431A46"/>
    <w:rsid w:val="0045327E"/>
    <w:rsid w:val="004E140D"/>
    <w:rsid w:val="004F2638"/>
    <w:rsid w:val="00530D6D"/>
    <w:rsid w:val="00541BFE"/>
    <w:rsid w:val="00566169"/>
    <w:rsid w:val="00574E5D"/>
    <w:rsid w:val="005B3F87"/>
    <w:rsid w:val="005E1FE4"/>
    <w:rsid w:val="005E6960"/>
    <w:rsid w:val="005F1697"/>
    <w:rsid w:val="00615D7E"/>
    <w:rsid w:val="00620DBD"/>
    <w:rsid w:val="00656618"/>
    <w:rsid w:val="007A471C"/>
    <w:rsid w:val="007B39D3"/>
    <w:rsid w:val="00815BFD"/>
    <w:rsid w:val="008763A9"/>
    <w:rsid w:val="008D7C09"/>
    <w:rsid w:val="00913AA3"/>
    <w:rsid w:val="00916EAC"/>
    <w:rsid w:val="00985DB5"/>
    <w:rsid w:val="009E34E0"/>
    <w:rsid w:val="009F5F57"/>
    <w:rsid w:val="00A23B4C"/>
    <w:rsid w:val="00A44D99"/>
    <w:rsid w:val="00A4544F"/>
    <w:rsid w:val="00B05495"/>
    <w:rsid w:val="00B46898"/>
    <w:rsid w:val="00B615F8"/>
    <w:rsid w:val="00B651AB"/>
    <w:rsid w:val="00BA7468"/>
    <w:rsid w:val="00BB41CE"/>
    <w:rsid w:val="00BD1450"/>
    <w:rsid w:val="00C1113A"/>
    <w:rsid w:val="00C5309B"/>
    <w:rsid w:val="00C67930"/>
    <w:rsid w:val="00CA5B33"/>
    <w:rsid w:val="00D07E66"/>
    <w:rsid w:val="00D158DB"/>
    <w:rsid w:val="00D34EAE"/>
    <w:rsid w:val="00D4787C"/>
    <w:rsid w:val="00D7673F"/>
    <w:rsid w:val="00D97DFA"/>
    <w:rsid w:val="00DC6574"/>
    <w:rsid w:val="00DE5259"/>
    <w:rsid w:val="00E11313"/>
    <w:rsid w:val="00E56ADD"/>
    <w:rsid w:val="00E76AB7"/>
    <w:rsid w:val="00EE0C5F"/>
    <w:rsid w:val="00F0239A"/>
    <w:rsid w:val="00F25FBB"/>
    <w:rsid w:val="00F506D4"/>
    <w:rsid w:val="00FA7AF4"/>
    <w:rsid w:val="00FD5593"/>
    <w:rsid w:val="00FD752E"/>
    <w:rsid w:val="00FE3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4514"/>
  <w15:chartTrackingRefBased/>
  <w15:docId w15:val="{59F8D3CD-9CCC-4F7A-97D0-9CF0413C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CarCarCarCarCar">
    <w:name w:val="corte4 fondo Car Car Car Car Car"/>
    <w:basedOn w:val="Normal"/>
    <w:link w:val="corte4fondoCarCarCarCarCarCar"/>
    <w:rsid w:val="00431A4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CarCarCar">
    <w:name w:val="corte4 fondo Car Car Car Car Car Car"/>
    <w:basedOn w:val="Fuentedeprrafopredeter"/>
    <w:link w:val="corte4fondoCarCarCarCarCar"/>
    <w:rsid w:val="00431A46"/>
    <w:rPr>
      <w:rFonts w:ascii="Arial" w:eastAsia="Times New Roman" w:hAnsi="Arial" w:cs="Times New Roman"/>
      <w:sz w:val="30"/>
      <w:szCs w:val="20"/>
      <w:lang w:val="es-ES_tradnl" w:eastAsia="es-MX"/>
    </w:rPr>
  </w:style>
  <w:style w:type="paragraph" w:customStyle="1" w:styleId="TEXTONORMAL">
    <w:name w:val="TEXTO NORMAL"/>
    <w:basedOn w:val="Normal"/>
    <w:link w:val="TEXTONORMALCar"/>
    <w:rsid w:val="0001078C"/>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basedOn w:val="Fuentedeprrafopredeter"/>
    <w:link w:val="TEXTONORMAL"/>
    <w:rsid w:val="0001078C"/>
    <w:rPr>
      <w:rFonts w:ascii="Arial" w:eastAsia="Times New Roman" w:hAnsi="Arial" w:cs="Arial"/>
      <w:sz w:val="28"/>
      <w:szCs w:val="28"/>
      <w:lang w:eastAsia="es-ES"/>
    </w:rPr>
  </w:style>
  <w:style w:type="paragraph" w:styleId="Textonotaalfinal">
    <w:name w:val="endnote text"/>
    <w:basedOn w:val="Normal"/>
    <w:link w:val="TextonotaalfinalCar"/>
    <w:uiPriority w:val="99"/>
    <w:semiHidden/>
    <w:unhideWhenUsed/>
    <w:rsid w:val="0000744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07440"/>
    <w:rPr>
      <w:sz w:val="20"/>
      <w:szCs w:val="20"/>
    </w:rPr>
  </w:style>
  <w:style w:type="character" w:styleId="Refdenotaalfinal">
    <w:name w:val="endnote reference"/>
    <w:basedOn w:val="Fuentedeprrafopredeter"/>
    <w:uiPriority w:val="99"/>
    <w:semiHidden/>
    <w:unhideWhenUsed/>
    <w:rsid w:val="00007440"/>
    <w:rPr>
      <w:vertAlign w:val="superscript"/>
    </w:rPr>
  </w:style>
  <w:style w:type="paragraph" w:styleId="Textonotapie">
    <w:name w:val="footnote text"/>
    <w:basedOn w:val="Normal"/>
    <w:link w:val="TextonotapieCar"/>
    <w:uiPriority w:val="99"/>
    <w:unhideWhenUsed/>
    <w:rsid w:val="00007440"/>
    <w:pPr>
      <w:spacing w:after="0" w:line="240" w:lineRule="auto"/>
    </w:pPr>
    <w:rPr>
      <w:sz w:val="20"/>
      <w:szCs w:val="20"/>
    </w:rPr>
  </w:style>
  <w:style w:type="character" w:customStyle="1" w:styleId="TextonotapieCar">
    <w:name w:val="Texto nota pie Car"/>
    <w:basedOn w:val="Fuentedeprrafopredeter"/>
    <w:link w:val="Textonotapie"/>
    <w:uiPriority w:val="99"/>
    <w:rsid w:val="00007440"/>
    <w:rPr>
      <w:sz w:val="20"/>
      <w:szCs w:val="20"/>
    </w:rPr>
  </w:style>
  <w:style w:type="character" w:styleId="Refdenotaalpie">
    <w:name w:val="footnote reference"/>
    <w:basedOn w:val="Fuentedeprrafopredeter"/>
    <w:uiPriority w:val="99"/>
    <w:semiHidden/>
    <w:unhideWhenUsed/>
    <w:rsid w:val="00007440"/>
    <w:rPr>
      <w:vertAlign w:val="superscript"/>
    </w:rPr>
  </w:style>
  <w:style w:type="character" w:customStyle="1" w:styleId="EstiloCar">
    <w:name w:val="Estilo Car"/>
    <w:link w:val="Estilo"/>
    <w:locked/>
    <w:rsid w:val="00007440"/>
    <w:rPr>
      <w:rFonts w:ascii="Arial" w:hAnsi="Arial" w:cs="Arial"/>
      <w:sz w:val="24"/>
    </w:rPr>
  </w:style>
  <w:style w:type="paragraph" w:customStyle="1" w:styleId="Estilo">
    <w:name w:val="Estilo"/>
    <w:basedOn w:val="Sinespaciado"/>
    <w:link w:val="EstiloCar"/>
    <w:qFormat/>
    <w:rsid w:val="00007440"/>
    <w:pPr>
      <w:jc w:val="both"/>
    </w:pPr>
    <w:rPr>
      <w:rFonts w:ascii="Arial" w:hAnsi="Arial" w:cs="Arial"/>
      <w:sz w:val="24"/>
    </w:rPr>
  </w:style>
  <w:style w:type="paragraph" w:styleId="Sinespaciado">
    <w:name w:val="No Spacing"/>
    <w:uiPriority w:val="1"/>
    <w:qFormat/>
    <w:rsid w:val="00007440"/>
    <w:pPr>
      <w:spacing w:after="0" w:line="240" w:lineRule="auto"/>
    </w:pPr>
  </w:style>
  <w:style w:type="table" w:styleId="Tablaconcuadrcula">
    <w:name w:val="Table Grid"/>
    <w:basedOn w:val="Tablanormal"/>
    <w:uiPriority w:val="39"/>
    <w:rsid w:val="00B651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E5259"/>
    <w:pPr>
      <w:spacing w:after="0" w:line="240" w:lineRule="auto"/>
    </w:pPr>
  </w:style>
  <w:style w:type="paragraph" w:styleId="Encabezado">
    <w:name w:val="header"/>
    <w:basedOn w:val="Normal"/>
    <w:link w:val="EncabezadoCar"/>
    <w:uiPriority w:val="99"/>
    <w:unhideWhenUsed/>
    <w:rsid w:val="00F50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06D4"/>
  </w:style>
  <w:style w:type="paragraph" w:styleId="Piedepgina">
    <w:name w:val="footer"/>
    <w:basedOn w:val="Normal"/>
    <w:link w:val="PiedepginaCar"/>
    <w:uiPriority w:val="99"/>
    <w:unhideWhenUsed/>
    <w:rsid w:val="00F506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A734-14BC-45CC-A828-64A5DE5F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856</Words>
  <Characters>4711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Camacho Godínez, Felipe</dc:creator>
  <cp:keywords/>
  <dc:description/>
  <cp:lastModifiedBy>BRUNO ALEJANDRO PATIÑO RENTERIA</cp:lastModifiedBy>
  <cp:revision>17</cp:revision>
  <dcterms:created xsi:type="dcterms:W3CDTF">2022-01-07T15:39:00Z</dcterms:created>
  <dcterms:modified xsi:type="dcterms:W3CDTF">2022-02-08T22:29:00Z</dcterms:modified>
</cp:coreProperties>
</file>