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38BA" w14:textId="77777777" w:rsidR="00DF490D" w:rsidRPr="006C19E5" w:rsidRDefault="00DF490D" w:rsidP="006C19E5">
      <w:pPr>
        <w:shd w:val="clear" w:color="auto" w:fill="668CD0"/>
        <w:spacing w:after="0" w:line="240" w:lineRule="auto"/>
        <w:jc w:val="center"/>
        <w:rPr>
          <w:rFonts w:ascii="Times New Roman" w:hAnsi="Times New Roman" w:cs="Times New Roman"/>
          <w:b/>
          <w:bCs/>
          <w:sz w:val="28"/>
          <w:szCs w:val="28"/>
          <w:lang w:val="es-419"/>
        </w:rPr>
      </w:pPr>
      <w:r w:rsidRPr="006C19E5">
        <w:rPr>
          <w:rFonts w:ascii="Times New Roman" w:hAnsi="Times New Roman" w:cs="Times New Roman"/>
          <w:b/>
          <w:bCs/>
          <w:sz w:val="28"/>
          <w:szCs w:val="28"/>
          <w:lang w:val="es-419"/>
        </w:rPr>
        <w:t>RESEÑAS DE LA PRIMERA SALA.</w:t>
      </w:r>
    </w:p>
    <w:p w14:paraId="4216F221" w14:textId="77777777" w:rsidR="006C19E5" w:rsidRPr="006C19E5" w:rsidRDefault="006C19E5" w:rsidP="006C19E5">
      <w:pPr>
        <w:spacing w:after="0" w:line="240" w:lineRule="auto"/>
        <w:jc w:val="center"/>
        <w:rPr>
          <w:rFonts w:ascii="Times New Roman" w:hAnsi="Times New Roman" w:cs="Times New Roman"/>
          <w:b/>
          <w:sz w:val="26"/>
          <w:szCs w:val="26"/>
          <w:lang w:val="es-419"/>
        </w:rPr>
      </w:pPr>
    </w:p>
    <w:p w14:paraId="230CE6B4" w14:textId="0CD1F064" w:rsidR="00DF490D" w:rsidRDefault="00DF490D" w:rsidP="006C19E5">
      <w:pPr>
        <w:spacing w:after="0" w:line="240" w:lineRule="auto"/>
        <w:jc w:val="center"/>
        <w:rPr>
          <w:rFonts w:ascii="Times New Roman" w:hAnsi="Times New Roman" w:cs="Times New Roman"/>
          <w:b/>
          <w:sz w:val="26"/>
          <w:szCs w:val="26"/>
          <w:lang w:val="es-419"/>
        </w:rPr>
      </w:pPr>
      <w:r w:rsidRPr="006C19E5">
        <w:rPr>
          <w:rFonts w:ascii="Times New Roman" w:hAnsi="Times New Roman" w:cs="Times New Roman"/>
          <w:b/>
          <w:sz w:val="26"/>
          <w:szCs w:val="26"/>
          <w:lang w:val="es-419"/>
        </w:rPr>
        <w:t>AMPARO EN REVISIÓN 308/2020</w:t>
      </w:r>
    </w:p>
    <w:p w14:paraId="6CFFF5D5" w14:textId="77777777" w:rsidR="006C19E5" w:rsidRPr="006C19E5" w:rsidRDefault="006C19E5" w:rsidP="006C19E5">
      <w:pPr>
        <w:spacing w:after="0" w:line="240" w:lineRule="auto"/>
        <w:jc w:val="center"/>
        <w:rPr>
          <w:rFonts w:ascii="Times New Roman" w:hAnsi="Times New Roman" w:cs="Times New Roman"/>
          <w:b/>
          <w:sz w:val="26"/>
          <w:szCs w:val="26"/>
          <w:lang w:val="es-419"/>
        </w:rPr>
      </w:pPr>
    </w:p>
    <w:p w14:paraId="2DE5D340" w14:textId="6BD7F3C4" w:rsidR="006C19E5" w:rsidRPr="0023400E" w:rsidRDefault="006C19E5" w:rsidP="006C19E5">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Interés legítimo para promover un juicio de amparo en contra de la Ley General de Comunicación Social.</w:t>
      </w:r>
    </w:p>
    <w:p w14:paraId="64E5FCD0" w14:textId="77777777" w:rsidR="006C19E5" w:rsidRDefault="006C19E5" w:rsidP="006C19E5">
      <w:pPr>
        <w:spacing w:after="0" w:line="240" w:lineRule="auto"/>
        <w:rPr>
          <w:rFonts w:ascii="Times New Roman" w:hAnsi="Times New Roman" w:cs="Times New Roman"/>
          <w:b/>
          <w:bCs/>
          <w:smallCaps/>
          <w:sz w:val="24"/>
          <w:szCs w:val="24"/>
          <w:lang w:val="es-419"/>
        </w:rPr>
      </w:pPr>
    </w:p>
    <w:p w14:paraId="6620AB1A" w14:textId="77777777" w:rsidR="006C19E5" w:rsidRPr="0023400E" w:rsidRDefault="006C19E5" w:rsidP="006C19E5">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0E50E1BC" w14:textId="04C873F7" w:rsidR="006C19E5" w:rsidRDefault="006C19E5" w:rsidP="00D670AE">
      <w:pPr>
        <w:spacing w:after="0" w:line="240" w:lineRule="auto"/>
        <w:jc w:val="both"/>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sidR="00576452">
        <w:rPr>
          <w:rFonts w:ascii="Times New Roman" w:hAnsi="Times New Roman" w:cs="Times New Roman"/>
          <w:smallCaps/>
          <w:sz w:val="24"/>
          <w:szCs w:val="24"/>
          <w:lang w:val="es-419"/>
        </w:rPr>
        <w:t>os</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Pablo Francisco Muñoz Díaz, Fernando Sosa Pastrana y Víctor Manuel Rocha Mercado.</w:t>
      </w:r>
    </w:p>
    <w:p w14:paraId="026A0AD0" w14:textId="77777777" w:rsidR="006C19E5" w:rsidRDefault="006C19E5" w:rsidP="006C19E5">
      <w:pPr>
        <w:spacing w:after="0" w:line="240" w:lineRule="auto"/>
        <w:rPr>
          <w:rFonts w:ascii="Times New Roman" w:hAnsi="Times New Roman" w:cs="Times New Roman"/>
          <w:smallCaps/>
          <w:sz w:val="24"/>
          <w:szCs w:val="24"/>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6C19E5" w:rsidRPr="004B3920" w14:paraId="7CA85084" w14:textId="77777777" w:rsidTr="006C19E5">
        <w:trPr>
          <w:trHeight w:val="2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09344" w14:textId="77777777" w:rsidR="006C19E5" w:rsidRPr="00F440E3" w:rsidRDefault="006C19E5" w:rsidP="00C9584A">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0A9E725F" w14:textId="77777777" w:rsidR="006C19E5" w:rsidRDefault="006C19E5" w:rsidP="00C9584A">
            <w:pPr>
              <w:spacing w:after="0" w:line="240" w:lineRule="auto"/>
              <w:jc w:val="both"/>
              <w:rPr>
                <w:rFonts w:ascii="Times New Roman" w:hAnsi="Times New Roman" w:cs="Times New Roman"/>
                <w:sz w:val="20"/>
                <w:szCs w:val="20"/>
                <w:lang w:val="es-419"/>
              </w:rPr>
            </w:pPr>
          </w:p>
          <w:p w14:paraId="1B41DA13" w14:textId="08BE3104" w:rsidR="006C19E5" w:rsidRDefault="006C19E5" w:rsidP="006C19E5">
            <w:pPr>
              <w:spacing w:after="0" w:line="240" w:lineRule="auto"/>
              <w:jc w:val="both"/>
              <w:rPr>
                <w:rFonts w:ascii="Times New Roman" w:hAnsi="Times New Roman" w:cs="Times New Roman"/>
                <w:sz w:val="20"/>
                <w:szCs w:val="20"/>
                <w:lang w:val="es-419"/>
              </w:rPr>
            </w:pPr>
            <w:r w:rsidRPr="006C19E5">
              <w:rPr>
                <w:rFonts w:ascii="Times New Roman" w:hAnsi="Times New Roman" w:cs="Times New Roman"/>
                <w:sz w:val="20"/>
                <w:szCs w:val="20"/>
                <w:lang w:val="es-419"/>
              </w:rPr>
              <w:t>Una asociación civil promovió un amparo porque consideraba que la Ley General de Comunicación Social transgredía el derecho a la libertad de expresión</w:t>
            </w:r>
            <w:r w:rsidR="00511010">
              <w:rPr>
                <w:rFonts w:ascii="Times New Roman" w:hAnsi="Times New Roman" w:cs="Times New Roman"/>
                <w:sz w:val="20"/>
                <w:szCs w:val="20"/>
                <w:lang w:val="es-419"/>
              </w:rPr>
              <w:t>, p</w:t>
            </w:r>
            <w:r w:rsidRPr="006C19E5">
              <w:rPr>
                <w:rFonts w:ascii="Times New Roman" w:hAnsi="Times New Roman" w:cs="Times New Roman"/>
                <w:sz w:val="20"/>
                <w:szCs w:val="20"/>
                <w:lang w:val="es-419"/>
              </w:rPr>
              <w:t>orque esta carecía de reglas claras para establecer los criterios de asignación al gasto de comunicación social en las instancias de gobierno.</w:t>
            </w:r>
          </w:p>
          <w:p w14:paraId="3E0DED47" w14:textId="77777777" w:rsidR="006C19E5" w:rsidRPr="006C19E5" w:rsidRDefault="006C19E5" w:rsidP="006C19E5">
            <w:pPr>
              <w:spacing w:after="0" w:line="240" w:lineRule="auto"/>
              <w:jc w:val="both"/>
              <w:rPr>
                <w:rFonts w:ascii="Times New Roman" w:hAnsi="Times New Roman" w:cs="Times New Roman"/>
                <w:sz w:val="20"/>
                <w:szCs w:val="20"/>
                <w:lang w:val="es-419"/>
              </w:rPr>
            </w:pPr>
          </w:p>
          <w:p w14:paraId="4857BB02" w14:textId="08B58F98" w:rsidR="006C19E5" w:rsidRDefault="006C19E5" w:rsidP="006C19E5">
            <w:pPr>
              <w:spacing w:after="0" w:line="240" w:lineRule="auto"/>
              <w:jc w:val="both"/>
              <w:rPr>
                <w:rFonts w:ascii="Times New Roman" w:hAnsi="Times New Roman" w:cs="Times New Roman"/>
                <w:sz w:val="20"/>
                <w:szCs w:val="20"/>
                <w:lang w:val="es-419"/>
              </w:rPr>
            </w:pPr>
            <w:r w:rsidRPr="006C19E5">
              <w:rPr>
                <w:rFonts w:ascii="Times New Roman" w:hAnsi="Times New Roman" w:cs="Times New Roman"/>
                <w:sz w:val="20"/>
                <w:szCs w:val="20"/>
                <w:lang w:val="es-419"/>
              </w:rPr>
              <w:t xml:space="preserve">El </w:t>
            </w:r>
            <w:r w:rsidR="002974D3">
              <w:rPr>
                <w:rFonts w:ascii="Times New Roman" w:hAnsi="Times New Roman" w:cs="Times New Roman"/>
                <w:sz w:val="20"/>
                <w:szCs w:val="20"/>
                <w:lang w:val="es-419"/>
              </w:rPr>
              <w:t>J</w:t>
            </w:r>
            <w:r w:rsidRPr="006C19E5">
              <w:rPr>
                <w:rFonts w:ascii="Times New Roman" w:hAnsi="Times New Roman" w:cs="Times New Roman"/>
                <w:sz w:val="20"/>
                <w:szCs w:val="20"/>
                <w:lang w:val="es-419"/>
              </w:rPr>
              <w:t>uez de Distrito sobreseyó el juicio porque consider</w:t>
            </w:r>
            <w:r w:rsidR="002974D3">
              <w:rPr>
                <w:rFonts w:ascii="Times New Roman" w:hAnsi="Times New Roman" w:cs="Times New Roman"/>
                <w:sz w:val="20"/>
                <w:szCs w:val="20"/>
                <w:lang w:val="es-419"/>
              </w:rPr>
              <w:t>ó</w:t>
            </w:r>
            <w:r w:rsidRPr="006C19E5">
              <w:rPr>
                <w:rFonts w:ascii="Times New Roman" w:hAnsi="Times New Roman" w:cs="Times New Roman"/>
                <w:sz w:val="20"/>
                <w:szCs w:val="20"/>
                <w:lang w:val="es-419"/>
              </w:rPr>
              <w:t xml:space="preserve"> que la asociación no acreditó tener interés jurídico ni legítimo para interponer el amparo.</w:t>
            </w:r>
          </w:p>
          <w:p w14:paraId="436B734A" w14:textId="77777777" w:rsidR="006C19E5" w:rsidRPr="006C19E5" w:rsidRDefault="006C19E5" w:rsidP="006C19E5">
            <w:pPr>
              <w:spacing w:after="0" w:line="240" w:lineRule="auto"/>
              <w:jc w:val="both"/>
              <w:rPr>
                <w:rFonts w:ascii="Times New Roman" w:hAnsi="Times New Roman" w:cs="Times New Roman"/>
                <w:sz w:val="20"/>
                <w:szCs w:val="20"/>
                <w:lang w:val="es-419"/>
              </w:rPr>
            </w:pPr>
          </w:p>
          <w:p w14:paraId="7B55223A" w14:textId="38525EB6" w:rsidR="006C19E5" w:rsidRDefault="006C19E5" w:rsidP="006C19E5">
            <w:pPr>
              <w:spacing w:after="0" w:line="240" w:lineRule="auto"/>
              <w:jc w:val="both"/>
              <w:rPr>
                <w:rFonts w:ascii="Times New Roman" w:hAnsi="Times New Roman" w:cs="Times New Roman"/>
                <w:sz w:val="20"/>
                <w:szCs w:val="20"/>
                <w:lang w:val="es-419"/>
              </w:rPr>
            </w:pPr>
            <w:r w:rsidRPr="006C19E5">
              <w:rPr>
                <w:rFonts w:ascii="Times New Roman" w:hAnsi="Times New Roman" w:cs="Times New Roman"/>
                <w:sz w:val="20"/>
                <w:szCs w:val="20"/>
                <w:lang w:val="es-419"/>
              </w:rPr>
              <w:t xml:space="preserve">Inconforme con esta determinación, la asociación promovió el recurso de revisión y le solicitó a la Suprema Corte de Justicia de la Nación que resolviera </w:t>
            </w:r>
            <w:r w:rsidR="00511010">
              <w:rPr>
                <w:rFonts w:ascii="Times New Roman" w:hAnsi="Times New Roman" w:cs="Times New Roman"/>
                <w:sz w:val="20"/>
                <w:szCs w:val="20"/>
                <w:lang w:val="es-419"/>
              </w:rPr>
              <w:t>c</w:t>
            </w:r>
            <w:r w:rsidRPr="006C19E5">
              <w:rPr>
                <w:rFonts w:ascii="Times New Roman" w:hAnsi="Times New Roman" w:cs="Times New Roman"/>
                <w:sz w:val="20"/>
                <w:szCs w:val="20"/>
                <w:lang w:val="es-419"/>
              </w:rPr>
              <w:t>uáles son los supuestos para acreditar el interés legítimo en un juicio de amparo en contra de la Ley General de Comunicación Social</w:t>
            </w:r>
            <w:r w:rsidR="00511010">
              <w:rPr>
                <w:rFonts w:ascii="Times New Roman" w:hAnsi="Times New Roman" w:cs="Times New Roman"/>
                <w:sz w:val="20"/>
                <w:szCs w:val="20"/>
                <w:lang w:val="es-419"/>
              </w:rPr>
              <w:t>.</w:t>
            </w:r>
          </w:p>
          <w:p w14:paraId="214C06A9" w14:textId="010D6E82" w:rsidR="006C19E5" w:rsidRPr="00F440E3" w:rsidRDefault="006C19E5" w:rsidP="006C19E5">
            <w:pPr>
              <w:spacing w:after="0" w:line="240" w:lineRule="auto"/>
              <w:jc w:val="both"/>
              <w:rPr>
                <w:rFonts w:ascii="Times New Roman" w:hAnsi="Times New Roman" w:cs="Times New Roman"/>
                <w:b/>
                <w:bCs/>
                <w:sz w:val="20"/>
                <w:szCs w:val="20"/>
                <w:lang w:val="es-419"/>
              </w:rPr>
            </w:pPr>
          </w:p>
        </w:tc>
      </w:tr>
      <w:bookmarkEnd w:id="0"/>
    </w:tbl>
    <w:p w14:paraId="70C14A87" w14:textId="42551CCC" w:rsidR="006C19E5" w:rsidRDefault="006C19E5" w:rsidP="006C19E5">
      <w:pPr>
        <w:spacing w:after="0" w:line="240" w:lineRule="auto"/>
        <w:rPr>
          <w:rFonts w:ascii="Times New Roman" w:hAnsi="Times New Roman" w:cs="Times New Roman"/>
          <w:smallCaps/>
          <w:sz w:val="24"/>
          <w:szCs w:val="24"/>
          <w:lang w:val="es-419"/>
        </w:rPr>
      </w:pPr>
    </w:p>
    <w:p w14:paraId="025E48EA" w14:textId="5D367FB7" w:rsidR="00DF490D" w:rsidRPr="006C19E5" w:rsidRDefault="00DF490D" w:rsidP="006C19E5">
      <w:pPr>
        <w:spacing w:after="0" w:line="240" w:lineRule="auto"/>
        <w:jc w:val="both"/>
        <w:rPr>
          <w:rFonts w:ascii="Times New Roman" w:hAnsi="Times New Roman" w:cs="Times New Roman"/>
          <w:b/>
          <w:bCs/>
          <w:sz w:val="24"/>
          <w:szCs w:val="24"/>
          <w:shd w:val="clear" w:color="auto" w:fill="BDD6EE" w:themeFill="accent1" w:themeFillTint="66"/>
          <w:lang w:val="es-419"/>
        </w:rPr>
      </w:pPr>
      <w:r w:rsidRPr="006C19E5">
        <w:rPr>
          <w:rFonts w:ascii="Times New Roman" w:hAnsi="Times New Roman" w:cs="Times New Roman"/>
          <w:b/>
          <w:bCs/>
          <w:sz w:val="24"/>
          <w:szCs w:val="24"/>
          <w:shd w:val="clear" w:color="auto" w:fill="BDD6EE" w:themeFill="accent1" w:themeFillTint="66"/>
          <w:lang w:val="es-419"/>
        </w:rPr>
        <w:t>Antecedentes del caso</w:t>
      </w:r>
      <w:r w:rsidR="006C19E5">
        <w:rPr>
          <w:rFonts w:ascii="Times New Roman" w:hAnsi="Times New Roman" w:cs="Times New Roman"/>
          <w:b/>
          <w:bCs/>
          <w:sz w:val="24"/>
          <w:szCs w:val="24"/>
          <w:shd w:val="clear" w:color="auto" w:fill="BDD6EE" w:themeFill="accent1" w:themeFillTint="66"/>
          <w:lang w:val="es-419"/>
        </w:rPr>
        <w:t>:</w:t>
      </w:r>
    </w:p>
    <w:p w14:paraId="416E743B" w14:textId="77777777" w:rsidR="006C19E5" w:rsidRDefault="006C19E5" w:rsidP="006C19E5">
      <w:pPr>
        <w:spacing w:after="0" w:line="240" w:lineRule="auto"/>
        <w:ind w:right="51"/>
        <w:jc w:val="both"/>
        <w:rPr>
          <w:rFonts w:ascii="Times New Roman" w:hAnsi="Times New Roman" w:cs="Times New Roman"/>
          <w:sz w:val="24"/>
          <w:szCs w:val="24"/>
        </w:rPr>
      </w:pPr>
    </w:p>
    <w:p w14:paraId="761FF8D8" w14:textId="6C11907D" w:rsidR="00DF490D" w:rsidRPr="006C19E5" w:rsidRDefault="00DF490D" w:rsidP="006C19E5">
      <w:pPr>
        <w:spacing w:after="0" w:line="240" w:lineRule="auto"/>
        <w:ind w:right="51"/>
        <w:jc w:val="both"/>
        <w:rPr>
          <w:rFonts w:ascii="Times New Roman" w:hAnsi="Times New Roman" w:cs="Times New Roman"/>
          <w:sz w:val="24"/>
          <w:szCs w:val="24"/>
        </w:rPr>
      </w:pPr>
      <w:r w:rsidRPr="006C19E5">
        <w:rPr>
          <w:rFonts w:ascii="Times New Roman" w:hAnsi="Times New Roman" w:cs="Times New Roman"/>
          <w:sz w:val="24"/>
          <w:szCs w:val="24"/>
        </w:rPr>
        <w:t>En 2019, una asociación civil dedicada a la protección de derechos humanos</w:t>
      </w:r>
      <w:r w:rsidR="00511010">
        <w:rPr>
          <w:rFonts w:ascii="Times New Roman" w:hAnsi="Times New Roman" w:cs="Times New Roman"/>
          <w:sz w:val="24"/>
          <w:szCs w:val="24"/>
        </w:rPr>
        <w:t>,</w:t>
      </w:r>
      <w:r w:rsidRPr="006C19E5">
        <w:rPr>
          <w:rFonts w:ascii="Times New Roman" w:hAnsi="Times New Roman" w:cs="Times New Roman"/>
          <w:sz w:val="24"/>
          <w:szCs w:val="24"/>
        </w:rPr>
        <w:t xml:space="preserve"> como la libertad de opinión, prensa, y acceso a la información</w:t>
      </w:r>
      <w:r w:rsidR="00511010">
        <w:rPr>
          <w:rFonts w:ascii="Times New Roman" w:hAnsi="Times New Roman" w:cs="Times New Roman"/>
          <w:sz w:val="24"/>
          <w:szCs w:val="24"/>
        </w:rPr>
        <w:t>,</w:t>
      </w:r>
      <w:r w:rsidRPr="006C19E5">
        <w:rPr>
          <w:rFonts w:ascii="Times New Roman" w:hAnsi="Times New Roman" w:cs="Times New Roman"/>
          <w:sz w:val="24"/>
          <w:szCs w:val="24"/>
        </w:rPr>
        <w:t xml:space="preserve"> promovió un juicio de amparo en contra de la discusión, aprobación, promulgación y publicación del decreto por el que se expidió la Ley General de Comunicación Social, ya que </w:t>
      </w:r>
      <w:r w:rsidR="006968B0" w:rsidRPr="006C19E5">
        <w:rPr>
          <w:rFonts w:ascii="Times New Roman" w:hAnsi="Times New Roman" w:cs="Times New Roman"/>
          <w:sz w:val="24"/>
          <w:szCs w:val="24"/>
        </w:rPr>
        <w:t xml:space="preserve">consideraba que esta transgredía </w:t>
      </w:r>
      <w:r w:rsidRPr="006C19E5">
        <w:rPr>
          <w:rFonts w:ascii="Times New Roman" w:hAnsi="Times New Roman" w:cs="Times New Roman"/>
          <w:sz w:val="24"/>
          <w:szCs w:val="24"/>
        </w:rPr>
        <w:t>derecho a la libertad de expresión.</w:t>
      </w:r>
    </w:p>
    <w:p w14:paraId="20E3B861" w14:textId="77777777" w:rsidR="006C19E5" w:rsidRDefault="006C19E5" w:rsidP="006C19E5">
      <w:pPr>
        <w:spacing w:after="0" w:line="240" w:lineRule="auto"/>
        <w:ind w:right="51"/>
        <w:jc w:val="both"/>
        <w:rPr>
          <w:rFonts w:ascii="Times New Roman" w:hAnsi="Times New Roman" w:cs="Times New Roman"/>
          <w:sz w:val="24"/>
          <w:szCs w:val="24"/>
        </w:rPr>
      </w:pPr>
    </w:p>
    <w:p w14:paraId="439A6D62" w14:textId="2A0DD9E3" w:rsidR="00DF490D" w:rsidRPr="006C19E5" w:rsidRDefault="00DF490D" w:rsidP="006C19E5">
      <w:pPr>
        <w:spacing w:after="0" w:line="240" w:lineRule="auto"/>
        <w:ind w:right="51"/>
        <w:jc w:val="both"/>
        <w:rPr>
          <w:rStyle w:val="Refdecomentario"/>
          <w:rFonts w:ascii="Times New Roman" w:hAnsi="Times New Roman" w:cs="Times New Roman"/>
        </w:rPr>
      </w:pPr>
      <w:r w:rsidRPr="006C19E5">
        <w:rPr>
          <w:rFonts w:ascii="Times New Roman" w:hAnsi="Times New Roman" w:cs="Times New Roman"/>
          <w:sz w:val="24"/>
          <w:szCs w:val="24"/>
        </w:rPr>
        <w:t xml:space="preserve">La asociación civil </w:t>
      </w:r>
      <w:r w:rsidR="006968B0" w:rsidRPr="006C19E5">
        <w:rPr>
          <w:rFonts w:ascii="Times New Roman" w:hAnsi="Times New Roman" w:cs="Times New Roman"/>
          <w:sz w:val="24"/>
          <w:szCs w:val="24"/>
        </w:rPr>
        <w:t>argument</w:t>
      </w:r>
      <w:r w:rsidRPr="006C19E5">
        <w:rPr>
          <w:rFonts w:ascii="Times New Roman" w:hAnsi="Times New Roman" w:cs="Times New Roman"/>
          <w:sz w:val="24"/>
          <w:szCs w:val="24"/>
        </w:rPr>
        <w:t>a</w:t>
      </w:r>
      <w:r w:rsidR="006968B0" w:rsidRPr="006C19E5">
        <w:rPr>
          <w:rFonts w:ascii="Times New Roman" w:hAnsi="Times New Roman" w:cs="Times New Roman"/>
          <w:sz w:val="24"/>
          <w:szCs w:val="24"/>
        </w:rPr>
        <w:t>ba</w:t>
      </w:r>
      <w:r w:rsidRPr="006C19E5">
        <w:rPr>
          <w:rFonts w:ascii="Times New Roman" w:hAnsi="Times New Roman" w:cs="Times New Roman"/>
          <w:sz w:val="24"/>
          <w:szCs w:val="24"/>
        </w:rPr>
        <w:t xml:space="preserve"> que la ley no contenía reglas claras ni transparentes que establecieran cuales eran los criterios para asignar el gasto en materia de comunicación social</w:t>
      </w:r>
      <w:r w:rsidR="00511010">
        <w:rPr>
          <w:rFonts w:ascii="Times New Roman" w:hAnsi="Times New Roman" w:cs="Times New Roman"/>
          <w:sz w:val="24"/>
          <w:szCs w:val="24"/>
        </w:rPr>
        <w:t>, p</w:t>
      </w:r>
      <w:r w:rsidRPr="006C19E5">
        <w:rPr>
          <w:rFonts w:ascii="Times New Roman" w:hAnsi="Times New Roman" w:cs="Times New Roman"/>
          <w:sz w:val="24"/>
          <w:szCs w:val="24"/>
        </w:rPr>
        <w:t>or lo que se transgredía lo dispuesto por el artículo 134 constitucional</w:t>
      </w:r>
      <w:r w:rsidRPr="006C19E5">
        <w:rPr>
          <w:rStyle w:val="Refdenotaalpie"/>
          <w:rFonts w:ascii="Times New Roman" w:hAnsi="Times New Roman" w:cs="Times New Roman"/>
          <w:sz w:val="24"/>
          <w:szCs w:val="24"/>
        </w:rPr>
        <w:footnoteReference w:id="1"/>
      </w:r>
      <w:r w:rsidRPr="006C19E5">
        <w:rPr>
          <w:rFonts w:ascii="Times New Roman" w:hAnsi="Times New Roman" w:cs="Times New Roman"/>
          <w:sz w:val="24"/>
          <w:szCs w:val="24"/>
        </w:rPr>
        <w:t xml:space="preserve"> que consagra los principios para el uso de los recursos públicos, como la economía, honradez, eficacia, transparencia y eficiencia.</w:t>
      </w:r>
    </w:p>
    <w:p w14:paraId="6817F916" w14:textId="77777777" w:rsidR="006C19E5" w:rsidRDefault="006C19E5" w:rsidP="006C19E5">
      <w:pPr>
        <w:spacing w:after="0" w:line="240" w:lineRule="auto"/>
        <w:ind w:right="51"/>
        <w:jc w:val="both"/>
        <w:rPr>
          <w:rFonts w:ascii="Times New Roman" w:hAnsi="Times New Roman" w:cs="Times New Roman"/>
          <w:sz w:val="24"/>
          <w:szCs w:val="24"/>
        </w:rPr>
      </w:pPr>
    </w:p>
    <w:p w14:paraId="16631D33" w14:textId="635F439E" w:rsidR="00DF490D" w:rsidRPr="006C19E5" w:rsidRDefault="00DF490D" w:rsidP="006C19E5">
      <w:pPr>
        <w:spacing w:after="0" w:line="240" w:lineRule="auto"/>
        <w:ind w:right="51"/>
        <w:jc w:val="both"/>
        <w:rPr>
          <w:rFonts w:ascii="Times New Roman" w:hAnsi="Times New Roman" w:cs="Times New Roman"/>
          <w:sz w:val="24"/>
          <w:szCs w:val="24"/>
        </w:rPr>
      </w:pPr>
      <w:r w:rsidRPr="006C19E5">
        <w:rPr>
          <w:rFonts w:ascii="Times New Roman" w:hAnsi="Times New Roman" w:cs="Times New Roman"/>
          <w:sz w:val="24"/>
          <w:szCs w:val="24"/>
        </w:rPr>
        <w:t xml:space="preserve">El </w:t>
      </w:r>
      <w:r w:rsidR="002974D3">
        <w:rPr>
          <w:rFonts w:ascii="Times New Roman" w:hAnsi="Times New Roman" w:cs="Times New Roman"/>
          <w:sz w:val="24"/>
          <w:szCs w:val="24"/>
        </w:rPr>
        <w:t>J</w:t>
      </w:r>
      <w:r w:rsidRPr="006C19E5">
        <w:rPr>
          <w:rFonts w:ascii="Times New Roman" w:hAnsi="Times New Roman" w:cs="Times New Roman"/>
          <w:sz w:val="24"/>
          <w:szCs w:val="24"/>
        </w:rPr>
        <w:t xml:space="preserve">uez de Distrito resolvió que la quejosa no acreditó tener interés jurídico ni legítimo para reclamar la inconstitucional de la ley. </w:t>
      </w:r>
      <w:r w:rsidR="00511010">
        <w:rPr>
          <w:rFonts w:ascii="Times New Roman" w:hAnsi="Times New Roman" w:cs="Times New Roman"/>
          <w:sz w:val="24"/>
          <w:szCs w:val="24"/>
        </w:rPr>
        <w:t>En su fallo, a</w:t>
      </w:r>
      <w:r w:rsidRPr="006C19E5">
        <w:rPr>
          <w:rFonts w:ascii="Times New Roman" w:hAnsi="Times New Roman" w:cs="Times New Roman"/>
          <w:sz w:val="24"/>
          <w:szCs w:val="24"/>
        </w:rPr>
        <w:t xml:space="preserve">rgumentó que la asociación no se </w:t>
      </w:r>
      <w:r w:rsidRPr="006C19E5">
        <w:rPr>
          <w:rFonts w:ascii="Times New Roman" w:hAnsi="Times New Roman" w:cs="Times New Roman"/>
          <w:sz w:val="24"/>
          <w:szCs w:val="24"/>
        </w:rPr>
        <w:lastRenderedPageBreak/>
        <w:t xml:space="preserve">encontraba constreñida a cumplir con las obligaciones contenidas en la ley, ni tampoco se emitió </w:t>
      </w:r>
      <w:r w:rsidR="00511010">
        <w:rPr>
          <w:rFonts w:ascii="Times New Roman" w:hAnsi="Times New Roman" w:cs="Times New Roman"/>
          <w:sz w:val="24"/>
          <w:szCs w:val="24"/>
        </w:rPr>
        <w:t>algún</w:t>
      </w:r>
      <w:r w:rsidR="00511010" w:rsidRPr="006C19E5">
        <w:rPr>
          <w:rFonts w:ascii="Times New Roman" w:hAnsi="Times New Roman" w:cs="Times New Roman"/>
          <w:sz w:val="24"/>
          <w:szCs w:val="24"/>
        </w:rPr>
        <w:t xml:space="preserve"> </w:t>
      </w:r>
      <w:r w:rsidRPr="006C19E5">
        <w:rPr>
          <w:rFonts w:ascii="Times New Roman" w:hAnsi="Times New Roman" w:cs="Times New Roman"/>
          <w:sz w:val="24"/>
          <w:szCs w:val="24"/>
        </w:rPr>
        <w:t>acto en su contra que vulnerara su esfera jurídica.</w:t>
      </w:r>
    </w:p>
    <w:p w14:paraId="10066BCE" w14:textId="77777777" w:rsidR="006C19E5" w:rsidRDefault="006C19E5" w:rsidP="006C19E5">
      <w:pPr>
        <w:spacing w:after="0" w:line="240" w:lineRule="auto"/>
        <w:ind w:right="51"/>
        <w:jc w:val="both"/>
        <w:rPr>
          <w:rFonts w:ascii="Times New Roman" w:hAnsi="Times New Roman" w:cs="Times New Roman"/>
          <w:bCs/>
          <w:sz w:val="24"/>
          <w:szCs w:val="24"/>
        </w:rPr>
      </w:pPr>
    </w:p>
    <w:p w14:paraId="7363E3C6" w14:textId="4E7D6C08" w:rsidR="00DF490D" w:rsidRPr="006C19E5" w:rsidRDefault="00511010" w:rsidP="006C19E5">
      <w:pPr>
        <w:spacing w:after="0" w:line="240" w:lineRule="auto"/>
        <w:ind w:right="51"/>
        <w:jc w:val="both"/>
        <w:rPr>
          <w:rFonts w:ascii="Times New Roman" w:hAnsi="Times New Roman" w:cs="Times New Roman"/>
          <w:bCs/>
          <w:sz w:val="24"/>
          <w:szCs w:val="24"/>
        </w:rPr>
      </w:pPr>
      <w:r>
        <w:rPr>
          <w:rFonts w:ascii="Times New Roman" w:hAnsi="Times New Roman" w:cs="Times New Roman"/>
          <w:bCs/>
          <w:sz w:val="24"/>
          <w:szCs w:val="24"/>
        </w:rPr>
        <w:t>Inconforme con esta decisión</w:t>
      </w:r>
      <w:r w:rsidR="00DF490D" w:rsidRPr="006C19E5">
        <w:rPr>
          <w:rFonts w:ascii="Times New Roman" w:hAnsi="Times New Roman" w:cs="Times New Roman"/>
          <w:bCs/>
          <w:sz w:val="24"/>
          <w:szCs w:val="24"/>
        </w:rPr>
        <w:t xml:space="preserve">, la asociación </w:t>
      </w:r>
      <w:r>
        <w:rPr>
          <w:rFonts w:ascii="Times New Roman" w:hAnsi="Times New Roman" w:cs="Times New Roman"/>
          <w:bCs/>
          <w:sz w:val="24"/>
          <w:szCs w:val="24"/>
        </w:rPr>
        <w:t xml:space="preserve">interpuso un recurso de revisión y </w:t>
      </w:r>
      <w:r w:rsidR="00DF490D" w:rsidRPr="006C19E5">
        <w:rPr>
          <w:rFonts w:ascii="Times New Roman" w:hAnsi="Times New Roman" w:cs="Times New Roman"/>
          <w:bCs/>
          <w:sz w:val="24"/>
          <w:szCs w:val="24"/>
        </w:rPr>
        <w:t>solicitó a la Suprema Corte de Justicia de la Nación que ejerciera su facultad de atracción para que conociera de este asunto.</w:t>
      </w:r>
    </w:p>
    <w:p w14:paraId="196552F1" w14:textId="77777777" w:rsidR="006C19E5" w:rsidRDefault="006C19E5" w:rsidP="006C19E5">
      <w:pPr>
        <w:spacing w:after="0" w:line="240" w:lineRule="auto"/>
        <w:jc w:val="both"/>
        <w:rPr>
          <w:rFonts w:ascii="Times New Roman" w:hAnsi="Times New Roman" w:cs="Times New Roman"/>
          <w:b/>
          <w:bCs/>
          <w:sz w:val="24"/>
          <w:szCs w:val="24"/>
        </w:rPr>
      </w:pPr>
    </w:p>
    <w:p w14:paraId="5203361A" w14:textId="22BDBEE5" w:rsidR="006C19E5" w:rsidRDefault="006C19E5" w:rsidP="006C19E5">
      <w:pPr>
        <w:spacing w:after="0" w:line="240" w:lineRule="auto"/>
        <w:jc w:val="both"/>
        <w:rPr>
          <w:rFonts w:ascii="Times New Roman" w:hAnsi="Times New Roman" w:cs="Times New Roman"/>
          <w:b/>
          <w:bCs/>
          <w:sz w:val="24"/>
          <w:szCs w:val="24"/>
        </w:rPr>
      </w:pPr>
      <w:bookmarkStart w:id="1" w:name="_Hlk92736300"/>
      <w:r w:rsidRPr="002A4BEC">
        <w:rPr>
          <w:rFonts w:ascii="Times New Roman" w:hAnsi="Times New Roman" w:cs="Times New Roman"/>
          <w:b/>
          <w:bCs/>
          <w:sz w:val="24"/>
          <w:szCs w:val="24"/>
          <w:shd w:val="clear" w:color="auto" w:fill="BDD6EE" w:themeFill="accent1" w:themeFillTint="66"/>
          <w:lang w:val="es-419"/>
        </w:rPr>
        <w:t>Resolución de la Primera Sala:</w:t>
      </w:r>
      <w:bookmarkEnd w:id="1"/>
    </w:p>
    <w:p w14:paraId="7A94238F" w14:textId="77777777" w:rsidR="006C19E5" w:rsidRDefault="006C19E5" w:rsidP="006C19E5">
      <w:pPr>
        <w:spacing w:after="0" w:line="240" w:lineRule="auto"/>
        <w:jc w:val="both"/>
        <w:rPr>
          <w:rFonts w:ascii="Times New Roman" w:hAnsi="Times New Roman" w:cs="Times New Roman"/>
          <w:b/>
          <w:bCs/>
          <w:sz w:val="24"/>
          <w:szCs w:val="24"/>
        </w:rPr>
      </w:pPr>
    </w:p>
    <w:p w14:paraId="014A41B1" w14:textId="58B1EB6C" w:rsidR="00DF490D" w:rsidRPr="006C19E5" w:rsidRDefault="00DF490D" w:rsidP="006C19E5">
      <w:pPr>
        <w:spacing w:after="0" w:line="240" w:lineRule="auto"/>
        <w:jc w:val="both"/>
        <w:rPr>
          <w:rFonts w:ascii="Times New Roman" w:hAnsi="Times New Roman" w:cs="Times New Roman"/>
          <w:b/>
          <w:bCs/>
          <w:sz w:val="24"/>
          <w:szCs w:val="24"/>
        </w:rPr>
      </w:pPr>
      <w:r w:rsidRPr="006C19E5">
        <w:rPr>
          <w:rFonts w:ascii="Times New Roman" w:hAnsi="Times New Roman" w:cs="Times New Roman"/>
          <w:bCs/>
          <w:sz w:val="24"/>
          <w:szCs w:val="24"/>
        </w:rPr>
        <w:t>La Primera Sala determinó cu</w:t>
      </w:r>
      <w:r w:rsidR="006C3442">
        <w:rPr>
          <w:rFonts w:ascii="Times New Roman" w:hAnsi="Times New Roman" w:cs="Times New Roman"/>
          <w:bCs/>
          <w:sz w:val="24"/>
          <w:szCs w:val="24"/>
        </w:rPr>
        <w:t>á</w:t>
      </w:r>
      <w:r w:rsidRPr="006C19E5">
        <w:rPr>
          <w:rFonts w:ascii="Times New Roman" w:hAnsi="Times New Roman" w:cs="Times New Roman"/>
          <w:bCs/>
          <w:sz w:val="24"/>
          <w:szCs w:val="24"/>
        </w:rPr>
        <w:t xml:space="preserve">les son los alcances del “interés legítimo”. </w:t>
      </w:r>
      <w:r w:rsidR="009B4583">
        <w:rPr>
          <w:rFonts w:ascii="Times New Roman" w:hAnsi="Times New Roman" w:cs="Times New Roman"/>
          <w:bCs/>
          <w:sz w:val="24"/>
          <w:szCs w:val="24"/>
        </w:rPr>
        <w:t>Al respecto, e</w:t>
      </w:r>
      <w:r w:rsidRPr="006C19E5">
        <w:rPr>
          <w:rFonts w:ascii="Times New Roman" w:hAnsi="Times New Roman" w:cs="Times New Roman"/>
          <w:bCs/>
          <w:sz w:val="24"/>
          <w:szCs w:val="24"/>
        </w:rPr>
        <w:t>stableció que solo se requiere demostrar una afectación a la esfera jurídica, ya sea porque dicha intromisión es directa, o porque la situación deriva de una posición particular que la persona tiene frente al ordenamiento jurídico.</w:t>
      </w:r>
    </w:p>
    <w:p w14:paraId="3C27E223" w14:textId="77777777" w:rsidR="006C19E5" w:rsidRDefault="006C19E5" w:rsidP="006C19E5">
      <w:pPr>
        <w:spacing w:after="0" w:line="240" w:lineRule="auto"/>
        <w:jc w:val="both"/>
        <w:rPr>
          <w:rFonts w:ascii="Times New Roman" w:hAnsi="Times New Roman" w:cs="Times New Roman"/>
          <w:bCs/>
          <w:sz w:val="24"/>
          <w:szCs w:val="24"/>
        </w:rPr>
      </w:pPr>
    </w:p>
    <w:p w14:paraId="18C6DFFF" w14:textId="72B289FE" w:rsidR="00DF490D"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 xml:space="preserve">También </w:t>
      </w:r>
      <w:r w:rsidR="0081498E" w:rsidRPr="006C19E5">
        <w:rPr>
          <w:rFonts w:ascii="Times New Roman" w:hAnsi="Times New Roman" w:cs="Times New Roman"/>
          <w:bCs/>
          <w:sz w:val="24"/>
          <w:szCs w:val="24"/>
        </w:rPr>
        <w:t xml:space="preserve">sostuvo </w:t>
      </w:r>
      <w:r w:rsidRPr="006C19E5">
        <w:rPr>
          <w:rFonts w:ascii="Times New Roman" w:hAnsi="Times New Roman" w:cs="Times New Roman"/>
          <w:bCs/>
          <w:sz w:val="24"/>
          <w:szCs w:val="24"/>
        </w:rPr>
        <w:t xml:space="preserve">que, para probar el interés legítimo, no es necesario que las normas impugnadas dentro de un juicio de amparo tengan forzosamente como destinatarios a los quejosos. Es decir, pueden ser terceras personas quienes recientan una afectación indirecta por los efectos que contraiga la norma. </w:t>
      </w:r>
    </w:p>
    <w:p w14:paraId="4664B99A" w14:textId="77777777" w:rsidR="006C19E5" w:rsidRPr="006C19E5" w:rsidRDefault="006C19E5" w:rsidP="006C19E5">
      <w:pPr>
        <w:spacing w:after="0" w:line="240" w:lineRule="auto"/>
        <w:jc w:val="both"/>
        <w:rPr>
          <w:rFonts w:ascii="Times New Roman" w:hAnsi="Times New Roman" w:cs="Times New Roman"/>
          <w:bCs/>
          <w:sz w:val="24"/>
          <w:szCs w:val="24"/>
        </w:rPr>
      </w:pPr>
    </w:p>
    <w:p w14:paraId="208BF210" w14:textId="3CA18512" w:rsidR="00DF490D" w:rsidRDefault="009B4583" w:rsidP="006C19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En ese sentido, l</w:t>
      </w:r>
      <w:r w:rsidR="00DF490D" w:rsidRPr="006C19E5">
        <w:rPr>
          <w:rFonts w:ascii="Times New Roman" w:hAnsi="Times New Roman" w:cs="Times New Roman"/>
          <w:bCs/>
          <w:sz w:val="24"/>
          <w:szCs w:val="24"/>
        </w:rPr>
        <w:t>a Suprema Corte fijó cu</w:t>
      </w:r>
      <w:r w:rsidR="006C3442">
        <w:rPr>
          <w:rFonts w:ascii="Times New Roman" w:hAnsi="Times New Roman" w:cs="Times New Roman"/>
          <w:bCs/>
          <w:sz w:val="24"/>
          <w:szCs w:val="24"/>
        </w:rPr>
        <w:t>á</w:t>
      </w:r>
      <w:r w:rsidR="00DF490D" w:rsidRPr="006C19E5">
        <w:rPr>
          <w:rFonts w:ascii="Times New Roman" w:hAnsi="Times New Roman" w:cs="Times New Roman"/>
          <w:bCs/>
          <w:sz w:val="24"/>
          <w:szCs w:val="24"/>
        </w:rPr>
        <w:t>les son los requisitos para acreditar el interés legítimo:</w:t>
      </w:r>
    </w:p>
    <w:p w14:paraId="76523C34" w14:textId="77777777" w:rsidR="006C19E5" w:rsidRPr="006C19E5" w:rsidRDefault="006C19E5" w:rsidP="006C19E5">
      <w:pPr>
        <w:spacing w:after="0" w:line="240" w:lineRule="auto"/>
        <w:jc w:val="both"/>
        <w:rPr>
          <w:rFonts w:ascii="Times New Roman" w:hAnsi="Times New Roman" w:cs="Times New Roman"/>
          <w:bCs/>
          <w:sz w:val="24"/>
          <w:szCs w:val="24"/>
        </w:rPr>
      </w:pPr>
    </w:p>
    <w:p w14:paraId="33D2062D" w14:textId="729E9914" w:rsidR="00DF490D" w:rsidRPr="006C19E5" w:rsidRDefault="00DF490D" w:rsidP="006C19E5">
      <w:pPr>
        <w:pStyle w:val="Prrafodelista"/>
        <w:numPr>
          <w:ilvl w:val="0"/>
          <w:numId w:val="1"/>
        </w:num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Que el interés esté garantizado por un derecho objetivo, es decir que se encuentre contemplado dentro de alguna ley u ordenamiento jurídico</w:t>
      </w:r>
      <w:r w:rsidR="00D670AE">
        <w:rPr>
          <w:rFonts w:ascii="Times New Roman" w:hAnsi="Times New Roman" w:cs="Times New Roman"/>
          <w:bCs/>
          <w:sz w:val="24"/>
          <w:szCs w:val="24"/>
        </w:rPr>
        <w:t>.</w:t>
      </w:r>
    </w:p>
    <w:p w14:paraId="1B43AA94" w14:textId="77777777" w:rsidR="00DF490D" w:rsidRPr="006C19E5" w:rsidRDefault="00DF490D" w:rsidP="006C19E5">
      <w:pPr>
        <w:pStyle w:val="Prrafodelista"/>
        <w:numPr>
          <w:ilvl w:val="0"/>
          <w:numId w:val="1"/>
        </w:num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Que el acto reclamado produzca una afectación en la esfera jurídica.</w:t>
      </w:r>
    </w:p>
    <w:p w14:paraId="0DF3B0C5" w14:textId="7AB828BD" w:rsidR="00DF490D" w:rsidRPr="006C19E5" w:rsidRDefault="00DF490D" w:rsidP="006C19E5">
      <w:pPr>
        <w:pStyle w:val="Prrafodelista"/>
        <w:numPr>
          <w:ilvl w:val="0"/>
          <w:numId w:val="1"/>
        </w:num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 xml:space="preserve">Que la anulación del acto que se </w:t>
      </w:r>
      <w:r w:rsidR="0081498E" w:rsidRPr="006C19E5">
        <w:rPr>
          <w:rFonts w:ascii="Times New Roman" w:hAnsi="Times New Roman" w:cs="Times New Roman"/>
          <w:bCs/>
          <w:sz w:val="24"/>
          <w:szCs w:val="24"/>
        </w:rPr>
        <w:t>reclama</w:t>
      </w:r>
      <w:r w:rsidRPr="006C19E5">
        <w:rPr>
          <w:rFonts w:ascii="Times New Roman" w:hAnsi="Times New Roman" w:cs="Times New Roman"/>
          <w:bCs/>
          <w:sz w:val="24"/>
          <w:szCs w:val="24"/>
        </w:rPr>
        <w:t xml:space="preserve"> pueda producir un beneficio ya sea actual o futuro. </w:t>
      </w:r>
    </w:p>
    <w:p w14:paraId="58D12BDA" w14:textId="77777777" w:rsidR="00DF490D" w:rsidRPr="006C19E5" w:rsidRDefault="00DF490D" w:rsidP="006C19E5">
      <w:pPr>
        <w:pStyle w:val="Prrafodelista"/>
        <w:numPr>
          <w:ilvl w:val="0"/>
          <w:numId w:val="1"/>
        </w:num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Que la afectación sea estudiada bajo parámetros razonables.</w:t>
      </w:r>
    </w:p>
    <w:p w14:paraId="6B8C27D1" w14:textId="77777777" w:rsidR="00DF490D" w:rsidRPr="006C19E5" w:rsidRDefault="00DF490D" w:rsidP="006C19E5">
      <w:pPr>
        <w:pStyle w:val="Prrafodelista"/>
        <w:numPr>
          <w:ilvl w:val="0"/>
          <w:numId w:val="1"/>
        </w:num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Que el interés sea armónico con los alcances del juicio de amparo.</w:t>
      </w:r>
    </w:p>
    <w:p w14:paraId="68F7F620" w14:textId="77777777" w:rsidR="006C19E5" w:rsidRDefault="006C19E5" w:rsidP="006C19E5">
      <w:pPr>
        <w:spacing w:after="0" w:line="240" w:lineRule="auto"/>
        <w:jc w:val="both"/>
        <w:rPr>
          <w:rFonts w:ascii="Times New Roman" w:hAnsi="Times New Roman" w:cs="Times New Roman"/>
          <w:bCs/>
          <w:sz w:val="24"/>
          <w:szCs w:val="24"/>
        </w:rPr>
      </w:pPr>
    </w:p>
    <w:p w14:paraId="7AE0685F" w14:textId="1B7AE087" w:rsidR="00DF490D" w:rsidRPr="006C19E5" w:rsidRDefault="009B4583" w:rsidP="006C19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esta manera, la Sala consideró que </w:t>
      </w:r>
      <w:r w:rsidR="00DF490D" w:rsidRPr="006C19E5">
        <w:rPr>
          <w:rFonts w:ascii="Times New Roman" w:hAnsi="Times New Roman" w:cs="Times New Roman"/>
          <w:bCs/>
          <w:sz w:val="24"/>
          <w:szCs w:val="24"/>
        </w:rPr>
        <w:t>la asociación civil sí acredito ser garante de un derecho objetivo</w:t>
      </w:r>
      <w:r>
        <w:rPr>
          <w:rFonts w:ascii="Times New Roman" w:hAnsi="Times New Roman" w:cs="Times New Roman"/>
          <w:bCs/>
          <w:sz w:val="24"/>
          <w:szCs w:val="24"/>
        </w:rPr>
        <w:t>, y</w:t>
      </w:r>
      <w:r w:rsidR="00DF490D" w:rsidRPr="006C19E5">
        <w:rPr>
          <w:rFonts w:ascii="Times New Roman" w:hAnsi="Times New Roman" w:cs="Times New Roman"/>
          <w:bCs/>
          <w:sz w:val="24"/>
          <w:szCs w:val="24"/>
        </w:rPr>
        <w:t>a que argument</w:t>
      </w:r>
      <w:r w:rsidR="00B54922">
        <w:rPr>
          <w:rFonts w:ascii="Times New Roman" w:hAnsi="Times New Roman" w:cs="Times New Roman"/>
          <w:bCs/>
          <w:sz w:val="24"/>
          <w:szCs w:val="24"/>
        </w:rPr>
        <w:t>ó</w:t>
      </w:r>
      <w:r w:rsidR="00DF490D" w:rsidRPr="006C19E5">
        <w:rPr>
          <w:rFonts w:ascii="Times New Roman" w:hAnsi="Times New Roman" w:cs="Times New Roman"/>
          <w:bCs/>
          <w:sz w:val="24"/>
          <w:szCs w:val="24"/>
        </w:rPr>
        <w:t xml:space="preserve"> que la Ley General de Comunicación Social era contraria al ejercicio del derecho a la libertad de expresión contemplado bajo ciertos principios en el artículo 134 constitucional.</w:t>
      </w:r>
    </w:p>
    <w:p w14:paraId="16B8025C" w14:textId="77777777" w:rsidR="006C19E5" w:rsidRDefault="006C19E5" w:rsidP="006C19E5">
      <w:pPr>
        <w:spacing w:after="0" w:line="240" w:lineRule="auto"/>
        <w:jc w:val="both"/>
        <w:rPr>
          <w:rFonts w:ascii="Times New Roman" w:hAnsi="Times New Roman" w:cs="Times New Roman"/>
          <w:bCs/>
          <w:sz w:val="24"/>
          <w:szCs w:val="24"/>
        </w:rPr>
      </w:pPr>
    </w:p>
    <w:p w14:paraId="0E10F0A3" w14:textId="14EFD1C6"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Así mismo</w:t>
      </w:r>
      <w:r w:rsidR="009B4583">
        <w:rPr>
          <w:rFonts w:ascii="Times New Roman" w:hAnsi="Times New Roman" w:cs="Times New Roman"/>
          <w:bCs/>
          <w:sz w:val="24"/>
          <w:szCs w:val="24"/>
        </w:rPr>
        <w:t>, el Alto Tribunal estimó que</w:t>
      </w:r>
      <w:r w:rsidRPr="006C19E5">
        <w:rPr>
          <w:rFonts w:ascii="Times New Roman" w:hAnsi="Times New Roman" w:cs="Times New Roman"/>
          <w:bCs/>
          <w:sz w:val="24"/>
          <w:szCs w:val="24"/>
        </w:rPr>
        <w:t xml:space="preserve"> la asociación civil cumplió el segundo requisito, ya que se demostró que </w:t>
      </w:r>
      <w:r w:rsidR="009B4583">
        <w:rPr>
          <w:rFonts w:ascii="Times New Roman" w:hAnsi="Times New Roman" w:cs="Times New Roman"/>
          <w:bCs/>
          <w:sz w:val="24"/>
          <w:szCs w:val="24"/>
        </w:rPr>
        <w:t>e</w:t>
      </w:r>
      <w:r w:rsidR="00EF49D9" w:rsidRPr="006C19E5">
        <w:rPr>
          <w:rFonts w:ascii="Times New Roman" w:hAnsi="Times New Roman" w:cs="Times New Roman"/>
          <w:bCs/>
          <w:sz w:val="24"/>
          <w:szCs w:val="24"/>
        </w:rPr>
        <w:t>sta</w:t>
      </w:r>
      <w:r w:rsidRPr="006C19E5">
        <w:rPr>
          <w:rFonts w:ascii="Times New Roman" w:hAnsi="Times New Roman" w:cs="Times New Roman"/>
          <w:bCs/>
          <w:sz w:val="24"/>
          <w:szCs w:val="24"/>
        </w:rPr>
        <w:t xml:space="preserve"> se dedica a la promoción y protección de la libertad de expresión. Por lo </w:t>
      </w:r>
      <w:r w:rsidR="0081498E" w:rsidRPr="006C19E5">
        <w:rPr>
          <w:rFonts w:ascii="Times New Roman" w:hAnsi="Times New Roman" w:cs="Times New Roman"/>
          <w:bCs/>
          <w:sz w:val="24"/>
          <w:szCs w:val="24"/>
        </w:rPr>
        <w:t>tanto,</w:t>
      </w:r>
      <w:r w:rsidRPr="006C19E5">
        <w:rPr>
          <w:rFonts w:ascii="Times New Roman" w:hAnsi="Times New Roman" w:cs="Times New Roman"/>
          <w:bCs/>
          <w:sz w:val="24"/>
          <w:szCs w:val="24"/>
        </w:rPr>
        <w:t xml:space="preserve"> la asociación se encuentra en una situación especial frente a la Ley General de Comunicación Social. </w:t>
      </w:r>
    </w:p>
    <w:p w14:paraId="10C8001E" w14:textId="77777777" w:rsidR="006C19E5" w:rsidRDefault="006C19E5" w:rsidP="006C19E5">
      <w:pPr>
        <w:spacing w:after="0" w:line="240" w:lineRule="auto"/>
        <w:jc w:val="both"/>
        <w:rPr>
          <w:rFonts w:ascii="Times New Roman" w:hAnsi="Times New Roman" w:cs="Times New Roman"/>
          <w:bCs/>
          <w:sz w:val="24"/>
          <w:szCs w:val="24"/>
        </w:rPr>
      </w:pPr>
    </w:p>
    <w:p w14:paraId="3AEC54E3" w14:textId="71E36DBC"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 xml:space="preserve">En cuanto al cumplimiento del tercer requisito, </w:t>
      </w:r>
      <w:r w:rsidR="009B4583">
        <w:rPr>
          <w:rFonts w:ascii="Times New Roman" w:hAnsi="Times New Roman" w:cs="Times New Roman"/>
          <w:bCs/>
          <w:sz w:val="24"/>
          <w:szCs w:val="24"/>
        </w:rPr>
        <w:t xml:space="preserve">la Primera Sala deliberó que, </w:t>
      </w:r>
      <w:r w:rsidRPr="006C19E5">
        <w:rPr>
          <w:rFonts w:ascii="Times New Roman" w:hAnsi="Times New Roman" w:cs="Times New Roman"/>
          <w:bCs/>
          <w:sz w:val="24"/>
          <w:szCs w:val="24"/>
        </w:rPr>
        <w:t xml:space="preserve">en caso de que se le concediera el amparo a la asociación, esta tendría un beneficio encaminado al fortalecimiento de su objeto social. Lo que también lo </w:t>
      </w:r>
      <w:r w:rsidR="0081498E" w:rsidRPr="006C19E5">
        <w:rPr>
          <w:rFonts w:ascii="Times New Roman" w:hAnsi="Times New Roman" w:cs="Times New Roman"/>
          <w:bCs/>
          <w:sz w:val="24"/>
          <w:szCs w:val="24"/>
        </w:rPr>
        <w:t>vuelve compatible</w:t>
      </w:r>
      <w:r w:rsidRPr="006C19E5">
        <w:rPr>
          <w:rFonts w:ascii="Times New Roman" w:hAnsi="Times New Roman" w:cs="Times New Roman"/>
          <w:bCs/>
          <w:sz w:val="24"/>
          <w:szCs w:val="24"/>
        </w:rPr>
        <w:t xml:space="preserve"> con el cuarto requisito, en virtud de las causas que representa. </w:t>
      </w:r>
    </w:p>
    <w:p w14:paraId="5344393E" w14:textId="77777777" w:rsidR="006C19E5" w:rsidRDefault="006C19E5" w:rsidP="006C19E5">
      <w:pPr>
        <w:spacing w:after="0" w:line="240" w:lineRule="auto"/>
        <w:jc w:val="both"/>
        <w:rPr>
          <w:rFonts w:ascii="Times New Roman" w:hAnsi="Times New Roman" w:cs="Times New Roman"/>
          <w:bCs/>
          <w:sz w:val="24"/>
          <w:szCs w:val="24"/>
        </w:rPr>
      </w:pPr>
    </w:p>
    <w:p w14:paraId="178160BC" w14:textId="2FD9E777" w:rsidR="00DF490D" w:rsidRPr="006C19E5" w:rsidRDefault="00DF490D" w:rsidP="006C19E5">
      <w:pPr>
        <w:spacing w:after="0" w:line="240" w:lineRule="auto"/>
        <w:jc w:val="both"/>
        <w:rPr>
          <w:rFonts w:ascii="Times New Roman" w:hAnsi="Times New Roman" w:cs="Times New Roman"/>
          <w:sz w:val="24"/>
          <w:szCs w:val="24"/>
        </w:rPr>
      </w:pPr>
      <w:r w:rsidRPr="006C19E5">
        <w:rPr>
          <w:rFonts w:ascii="Times New Roman" w:hAnsi="Times New Roman" w:cs="Times New Roman"/>
          <w:bCs/>
          <w:sz w:val="24"/>
          <w:szCs w:val="24"/>
        </w:rPr>
        <w:t xml:space="preserve">Bajo este orden de ideas, la Sala precisó que los jueces están obligados a considerar la dimensión de la afectación colectiva generable en los derechos de libertad de expresión y </w:t>
      </w:r>
      <w:r w:rsidRPr="006C19E5">
        <w:rPr>
          <w:rFonts w:ascii="Times New Roman" w:hAnsi="Times New Roman" w:cs="Times New Roman"/>
          <w:bCs/>
          <w:sz w:val="24"/>
          <w:szCs w:val="24"/>
        </w:rPr>
        <w:lastRenderedPageBreak/>
        <w:t xml:space="preserve">acceso a la información. </w:t>
      </w:r>
      <w:r w:rsidR="009B4583">
        <w:rPr>
          <w:rFonts w:ascii="Times New Roman" w:hAnsi="Times New Roman" w:cs="Times New Roman"/>
          <w:sz w:val="24"/>
          <w:szCs w:val="24"/>
        </w:rPr>
        <w:t>Esto</w:t>
      </w:r>
      <w:r w:rsidRPr="006C19E5">
        <w:rPr>
          <w:rFonts w:ascii="Times New Roman" w:hAnsi="Times New Roman" w:cs="Times New Roman"/>
          <w:sz w:val="24"/>
          <w:szCs w:val="24"/>
        </w:rPr>
        <w:t xml:space="preserve"> obliga al juzgador a trascender el ámbito analítico personal de afectación y observar las posibilidades de afectación de la norma impugnada en las posibilidades de desenvolvimiento de la persona que promueve un amparo en el espacio público de deliberación.</w:t>
      </w:r>
    </w:p>
    <w:p w14:paraId="047F0FCB" w14:textId="77777777" w:rsidR="006C19E5" w:rsidRDefault="006C19E5" w:rsidP="006C19E5">
      <w:pPr>
        <w:spacing w:after="0" w:line="240" w:lineRule="auto"/>
        <w:jc w:val="both"/>
        <w:rPr>
          <w:rFonts w:ascii="Times New Roman" w:hAnsi="Times New Roman" w:cs="Times New Roman"/>
          <w:bCs/>
          <w:sz w:val="24"/>
          <w:szCs w:val="24"/>
        </w:rPr>
      </w:pPr>
    </w:p>
    <w:p w14:paraId="5968BEB9" w14:textId="46A95A71"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 xml:space="preserve">En consecuencia, la libertad de expresión tiene un aspecto colectivo fundamental para mantener la deliberación democrática. </w:t>
      </w:r>
      <w:r w:rsidR="00201C66">
        <w:rPr>
          <w:rFonts w:ascii="Times New Roman" w:hAnsi="Times New Roman" w:cs="Times New Roman"/>
          <w:bCs/>
          <w:sz w:val="24"/>
          <w:szCs w:val="24"/>
        </w:rPr>
        <w:t>A partir de esta consideración</w:t>
      </w:r>
      <w:r w:rsidR="0081498E" w:rsidRPr="006C19E5">
        <w:rPr>
          <w:rFonts w:ascii="Times New Roman" w:hAnsi="Times New Roman" w:cs="Times New Roman"/>
          <w:bCs/>
          <w:sz w:val="24"/>
          <w:szCs w:val="24"/>
        </w:rPr>
        <w:t>,</w:t>
      </w:r>
      <w:r w:rsidRPr="006C19E5">
        <w:rPr>
          <w:rFonts w:ascii="Times New Roman" w:hAnsi="Times New Roman" w:cs="Times New Roman"/>
          <w:bCs/>
          <w:sz w:val="24"/>
          <w:szCs w:val="24"/>
        </w:rPr>
        <w:t xml:space="preserve"> la </w:t>
      </w:r>
      <w:r w:rsidR="009B4583">
        <w:rPr>
          <w:rFonts w:ascii="Times New Roman" w:hAnsi="Times New Roman" w:cs="Times New Roman"/>
          <w:bCs/>
          <w:sz w:val="24"/>
          <w:szCs w:val="24"/>
        </w:rPr>
        <w:t xml:space="preserve">Primera </w:t>
      </w:r>
      <w:r w:rsidRPr="006C19E5">
        <w:rPr>
          <w:rFonts w:ascii="Times New Roman" w:hAnsi="Times New Roman" w:cs="Times New Roman"/>
          <w:bCs/>
          <w:sz w:val="24"/>
          <w:szCs w:val="24"/>
        </w:rPr>
        <w:t>Sala determinó que la asociación, al contar con un objeto social vinculado con la defensa de esos derechos, tiene el interés jurídico para impugnar la Ley General de Comunicación Social.</w:t>
      </w:r>
    </w:p>
    <w:p w14:paraId="6671AEEA" w14:textId="77777777" w:rsidR="006C19E5" w:rsidRDefault="006C19E5" w:rsidP="006C19E5">
      <w:pPr>
        <w:spacing w:after="0" w:line="240" w:lineRule="auto"/>
        <w:jc w:val="both"/>
        <w:rPr>
          <w:rFonts w:ascii="Times New Roman" w:hAnsi="Times New Roman" w:cs="Times New Roman"/>
          <w:bCs/>
          <w:sz w:val="24"/>
          <w:szCs w:val="24"/>
        </w:rPr>
      </w:pPr>
    </w:p>
    <w:p w14:paraId="2269A26A" w14:textId="69FF7F02"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 xml:space="preserve">Por </w:t>
      </w:r>
      <w:r w:rsidR="004841C1">
        <w:rPr>
          <w:rFonts w:ascii="Times New Roman" w:hAnsi="Times New Roman" w:cs="Times New Roman"/>
          <w:bCs/>
          <w:sz w:val="24"/>
          <w:szCs w:val="24"/>
        </w:rPr>
        <w:t>otra parte</w:t>
      </w:r>
      <w:r w:rsidRPr="006C19E5">
        <w:rPr>
          <w:rFonts w:ascii="Times New Roman" w:hAnsi="Times New Roman" w:cs="Times New Roman"/>
          <w:bCs/>
          <w:sz w:val="24"/>
          <w:szCs w:val="24"/>
        </w:rPr>
        <w:t xml:space="preserve">, </w:t>
      </w:r>
      <w:r w:rsidR="009B4583">
        <w:rPr>
          <w:rFonts w:ascii="Times New Roman" w:hAnsi="Times New Roman" w:cs="Times New Roman"/>
          <w:bCs/>
          <w:sz w:val="24"/>
          <w:szCs w:val="24"/>
        </w:rPr>
        <w:t>la Sala</w:t>
      </w:r>
      <w:r w:rsidRPr="006C19E5">
        <w:rPr>
          <w:rFonts w:ascii="Times New Roman" w:hAnsi="Times New Roman" w:cs="Times New Roman"/>
          <w:bCs/>
          <w:sz w:val="24"/>
          <w:szCs w:val="24"/>
        </w:rPr>
        <w:t xml:space="preserve"> reconoció </w:t>
      </w:r>
      <w:r w:rsidR="009B4583">
        <w:rPr>
          <w:rFonts w:ascii="Times New Roman" w:hAnsi="Times New Roman" w:cs="Times New Roman"/>
          <w:bCs/>
          <w:sz w:val="24"/>
          <w:szCs w:val="24"/>
        </w:rPr>
        <w:t xml:space="preserve">en su sentencia </w:t>
      </w:r>
      <w:r w:rsidRPr="006C19E5">
        <w:rPr>
          <w:rFonts w:ascii="Times New Roman" w:hAnsi="Times New Roman" w:cs="Times New Roman"/>
          <w:bCs/>
          <w:sz w:val="24"/>
          <w:szCs w:val="24"/>
        </w:rPr>
        <w:t>la existencia de una omisión relativa en competencia de ejercicio obligatoria por parte del Congreso de la Unión</w:t>
      </w:r>
      <w:r w:rsidR="009B4583">
        <w:rPr>
          <w:rFonts w:ascii="Times New Roman" w:hAnsi="Times New Roman" w:cs="Times New Roman"/>
          <w:bCs/>
          <w:sz w:val="24"/>
          <w:szCs w:val="24"/>
        </w:rPr>
        <w:t>. Lo anterior, p</w:t>
      </w:r>
      <w:r w:rsidRPr="006C19E5">
        <w:rPr>
          <w:rFonts w:ascii="Times New Roman" w:hAnsi="Times New Roman" w:cs="Times New Roman"/>
          <w:bCs/>
          <w:sz w:val="24"/>
          <w:szCs w:val="24"/>
        </w:rPr>
        <w:t xml:space="preserve">uesto que la Ley General de Comunicación Social no cumple con los requisitos de precisión tutelados constitucionalmente. </w:t>
      </w:r>
    </w:p>
    <w:p w14:paraId="477BF155" w14:textId="77777777" w:rsidR="006C19E5" w:rsidRDefault="006C19E5" w:rsidP="006C19E5">
      <w:pPr>
        <w:spacing w:after="0" w:line="240" w:lineRule="auto"/>
        <w:jc w:val="both"/>
        <w:rPr>
          <w:rFonts w:ascii="Times New Roman" w:hAnsi="Times New Roman" w:cs="Times New Roman"/>
          <w:bCs/>
          <w:sz w:val="24"/>
          <w:szCs w:val="24"/>
        </w:rPr>
      </w:pPr>
    </w:p>
    <w:p w14:paraId="498882DD" w14:textId="182FF730"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Es decir, los principios que deben regir el gasto público en comunicación social no son exactos. Además</w:t>
      </w:r>
      <w:r w:rsidR="0081498E" w:rsidRPr="006C19E5">
        <w:rPr>
          <w:rFonts w:ascii="Times New Roman" w:hAnsi="Times New Roman" w:cs="Times New Roman"/>
          <w:bCs/>
          <w:sz w:val="24"/>
          <w:szCs w:val="24"/>
        </w:rPr>
        <w:t>,</w:t>
      </w:r>
      <w:r w:rsidRPr="006C19E5">
        <w:rPr>
          <w:rFonts w:ascii="Times New Roman" w:hAnsi="Times New Roman" w:cs="Times New Roman"/>
          <w:bCs/>
          <w:sz w:val="24"/>
          <w:szCs w:val="24"/>
        </w:rPr>
        <w:t xml:space="preserve"> la ley</w:t>
      </w:r>
      <w:r w:rsidR="0081498E" w:rsidRPr="006C19E5">
        <w:rPr>
          <w:rFonts w:ascii="Times New Roman" w:hAnsi="Times New Roman" w:cs="Times New Roman"/>
          <w:bCs/>
          <w:sz w:val="24"/>
          <w:szCs w:val="24"/>
        </w:rPr>
        <w:t xml:space="preserve"> </w:t>
      </w:r>
      <w:r w:rsidRPr="006C19E5">
        <w:rPr>
          <w:rFonts w:ascii="Times New Roman" w:hAnsi="Times New Roman" w:cs="Times New Roman"/>
          <w:bCs/>
          <w:sz w:val="24"/>
          <w:szCs w:val="24"/>
        </w:rPr>
        <w:t>concede a las autoridades ejecutoras enormes facultades discrecionales sobre el presupuesto.</w:t>
      </w:r>
    </w:p>
    <w:p w14:paraId="2E2EEFF3" w14:textId="77777777" w:rsidR="006C19E5" w:rsidRDefault="006C19E5" w:rsidP="006C19E5">
      <w:pPr>
        <w:spacing w:after="0" w:line="240" w:lineRule="auto"/>
        <w:jc w:val="both"/>
        <w:rPr>
          <w:rFonts w:ascii="Times New Roman" w:hAnsi="Times New Roman" w:cs="Times New Roman"/>
          <w:bCs/>
          <w:sz w:val="24"/>
          <w:szCs w:val="24"/>
        </w:rPr>
      </w:pPr>
    </w:p>
    <w:p w14:paraId="151147A2" w14:textId="58CD1BFC"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bCs/>
          <w:sz w:val="24"/>
          <w:szCs w:val="24"/>
        </w:rPr>
        <w:t>Finalmente, la Suprema Corte de Justicia de la Nación otorg</w:t>
      </w:r>
      <w:r w:rsidR="004841C1">
        <w:rPr>
          <w:rFonts w:ascii="Times New Roman" w:hAnsi="Times New Roman" w:cs="Times New Roman"/>
          <w:bCs/>
          <w:sz w:val="24"/>
          <w:szCs w:val="24"/>
        </w:rPr>
        <w:t>ó</w:t>
      </w:r>
      <w:r w:rsidRPr="006C19E5">
        <w:rPr>
          <w:rFonts w:ascii="Times New Roman" w:hAnsi="Times New Roman" w:cs="Times New Roman"/>
          <w:bCs/>
          <w:sz w:val="24"/>
          <w:szCs w:val="24"/>
        </w:rPr>
        <w:t xml:space="preserve"> el amparo a la asociación civil y ordenó al Congreso de la Unión que subsane las deficiencias contenidas en la Ley General de Comunicación Social.</w:t>
      </w:r>
    </w:p>
    <w:p w14:paraId="6EA25B2A" w14:textId="77777777" w:rsidR="006C19E5" w:rsidRDefault="006C19E5" w:rsidP="006C19E5">
      <w:pPr>
        <w:spacing w:after="0" w:line="240" w:lineRule="auto"/>
        <w:jc w:val="both"/>
        <w:rPr>
          <w:rFonts w:ascii="Times New Roman" w:hAnsi="Times New Roman" w:cs="Times New Roman"/>
          <w:b/>
          <w:color w:val="000000"/>
          <w:sz w:val="24"/>
          <w:szCs w:val="24"/>
        </w:rPr>
      </w:pPr>
    </w:p>
    <w:p w14:paraId="52F5C22E" w14:textId="67983902" w:rsidR="00DF490D" w:rsidRPr="006C19E5" w:rsidRDefault="00DF490D" w:rsidP="006C19E5">
      <w:pPr>
        <w:spacing w:after="0" w:line="240" w:lineRule="auto"/>
        <w:jc w:val="both"/>
        <w:rPr>
          <w:rFonts w:ascii="Times New Roman" w:hAnsi="Times New Roman" w:cs="Times New Roman"/>
          <w:b/>
          <w:bCs/>
          <w:sz w:val="24"/>
          <w:szCs w:val="24"/>
          <w:shd w:val="clear" w:color="auto" w:fill="BDD6EE" w:themeFill="accent1" w:themeFillTint="66"/>
          <w:lang w:val="es-419"/>
        </w:rPr>
      </w:pPr>
      <w:r w:rsidRPr="006C19E5">
        <w:rPr>
          <w:rFonts w:ascii="Times New Roman" w:hAnsi="Times New Roman" w:cs="Times New Roman"/>
          <w:b/>
          <w:bCs/>
          <w:sz w:val="24"/>
          <w:szCs w:val="24"/>
          <w:shd w:val="clear" w:color="auto" w:fill="BDD6EE" w:themeFill="accent1" w:themeFillTint="66"/>
          <w:lang w:val="es-419"/>
        </w:rPr>
        <w:t>Votación</w:t>
      </w:r>
      <w:r w:rsidR="006C19E5" w:rsidRPr="006C19E5">
        <w:rPr>
          <w:rFonts w:ascii="Times New Roman" w:hAnsi="Times New Roman" w:cs="Times New Roman"/>
          <w:b/>
          <w:bCs/>
          <w:sz w:val="24"/>
          <w:szCs w:val="24"/>
          <w:shd w:val="clear" w:color="auto" w:fill="BDD6EE" w:themeFill="accent1" w:themeFillTint="66"/>
          <w:lang w:val="es-419"/>
        </w:rPr>
        <w:t>:</w:t>
      </w:r>
    </w:p>
    <w:p w14:paraId="6B7E4E8C" w14:textId="77777777" w:rsidR="006C19E5" w:rsidRDefault="006C19E5" w:rsidP="006C19E5">
      <w:pPr>
        <w:spacing w:after="0" w:line="240" w:lineRule="auto"/>
        <w:jc w:val="both"/>
        <w:rPr>
          <w:rFonts w:ascii="Times New Roman" w:hAnsi="Times New Roman" w:cs="Times New Roman"/>
          <w:sz w:val="24"/>
          <w:szCs w:val="24"/>
        </w:rPr>
      </w:pPr>
    </w:p>
    <w:p w14:paraId="39273E9F" w14:textId="609E1ADB" w:rsidR="00DF490D" w:rsidRPr="006C19E5" w:rsidRDefault="00DF490D" w:rsidP="006C19E5">
      <w:pPr>
        <w:spacing w:after="0" w:line="240" w:lineRule="auto"/>
        <w:jc w:val="both"/>
        <w:rPr>
          <w:rFonts w:ascii="Times New Roman" w:hAnsi="Times New Roman" w:cs="Times New Roman"/>
          <w:bCs/>
          <w:sz w:val="24"/>
          <w:szCs w:val="24"/>
        </w:rPr>
      </w:pPr>
      <w:r w:rsidRPr="006C19E5">
        <w:rPr>
          <w:rFonts w:ascii="Times New Roman" w:hAnsi="Times New Roman" w:cs="Times New Roman"/>
          <w:sz w:val="24"/>
          <w:szCs w:val="24"/>
        </w:rPr>
        <w:t xml:space="preserve">El asunto fue aprobado </w:t>
      </w:r>
      <w:r w:rsidR="00511010">
        <w:rPr>
          <w:rFonts w:ascii="Times New Roman" w:hAnsi="Times New Roman" w:cs="Times New Roman"/>
          <w:sz w:val="24"/>
          <w:szCs w:val="24"/>
        </w:rPr>
        <w:t xml:space="preserve">en sesión de la Primera Sala del 8 de septiembre de 2021, </w:t>
      </w:r>
      <w:r w:rsidRPr="006C19E5">
        <w:rPr>
          <w:rFonts w:ascii="Times New Roman" w:hAnsi="Times New Roman" w:cs="Times New Roman"/>
          <w:sz w:val="24"/>
          <w:szCs w:val="24"/>
        </w:rPr>
        <w:t xml:space="preserve">por unanimidad de cuatro votos de los </w:t>
      </w:r>
      <w:proofErr w:type="gramStart"/>
      <w:r w:rsidRPr="006C19E5">
        <w:rPr>
          <w:rFonts w:ascii="Times New Roman" w:hAnsi="Times New Roman" w:cs="Times New Roman"/>
          <w:sz w:val="24"/>
          <w:szCs w:val="24"/>
        </w:rPr>
        <w:t>Ministros</w:t>
      </w:r>
      <w:proofErr w:type="gramEnd"/>
      <w:r w:rsidRPr="006C19E5">
        <w:rPr>
          <w:rFonts w:ascii="Times New Roman" w:hAnsi="Times New Roman" w:cs="Times New Roman"/>
          <w:sz w:val="24"/>
          <w:szCs w:val="24"/>
        </w:rPr>
        <w:t xml:space="preserve">: Norma Lucía Hernández Piña, quien está </w:t>
      </w:r>
      <w:r w:rsidRPr="006C19E5">
        <w:rPr>
          <w:rFonts w:ascii="Times New Roman" w:eastAsia="Calibri" w:hAnsi="Times New Roman" w:cs="Times New Roman"/>
          <w:bCs/>
          <w:sz w:val="24"/>
          <w:szCs w:val="24"/>
        </w:rPr>
        <w:t>con el sentido, pero en contra de las consideraciones y se reservó su derecho a formular voto concurrente</w:t>
      </w:r>
      <w:r w:rsidRPr="006C19E5">
        <w:rPr>
          <w:rFonts w:ascii="Times New Roman" w:hAnsi="Times New Roman" w:cs="Times New Roman"/>
          <w:sz w:val="24"/>
          <w:szCs w:val="24"/>
        </w:rPr>
        <w:t xml:space="preserve">; y de los Ministros: Juan Luis González Alcántara Carrancá (Ponente), Alfredo Gutiérrez Ortiz Mena y Ministra Presidenta Ana Margarita Ríos Farjat. Ausente el </w:t>
      </w:r>
      <w:proofErr w:type="gramStart"/>
      <w:r w:rsidRPr="006C19E5">
        <w:rPr>
          <w:rFonts w:ascii="Times New Roman" w:hAnsi="Times New Roman" w:cs="Times New Roman"/>
          <w:sz w:val="24"/>
          <w:szCs w:val="24"/>
        </w:rPr>
        <w:t>Ministro</w:t>
      </w:r>
      <w:proofErr w:type="gramEnd"/>
      <w:r w:rsidRPr="006C19E5">
        <w:rPr>
          <w:rFonts w:ascii="Times New Roman" w:hAnsi="Times New Roman" w:cs="Times New Roman"/>
          <w:sz w:val="24"/>
          <w:szCs w:val="24"/>
        </w:rPr>
        <w:t xml:space="preserve"> Jorge Mario Pardo Rebolledo.</w:t>
      </w:r>
    </w:p>
    <w:p w14:paraId="319A206C" w14:textId="7765B91E" w:rsidR="00DF490D" w:rsidRPr="006C19E5" w:rsidRDefault="00DF490D" w:rsidP="006C19E5">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6C19E5" w:rsidRPr="0023400E" w14:paraId="3391D55A" w14:textId="77777777" w:rsidTr="00C9584A">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10D25B38" w14:textId="77777777" w:rsidR="006C19E5" w:rsidRPr="0023400E" w:rsidRDefault="006C19E5" w:rsidP="00C9584A">
            <w:pPr>
              <w:jc w:val="both"/>
              <w:rPr>
                <w:rFonts w:ascii="Times New Roman" w:hAnsi="Times New Roman" w:cs="Times New Roman"/>
                <w:sz w:val="20"/>
                <w:szCs w:val="20"/>
                <w:lang w:val="es-419"/>
              </w:rPr>
            </w:pPr>
            <w:bookmarkStart w:id="2" w:name="_Hlk92736347"/>
          </w:p>
          <w:p w14:paraId="710234E7" w14:textId="77777777" w:rsidR="006C19E5" w:rsidRDefault="006C19E5" w:rsidP="00C9584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7CB47FA5" w14:textId="77777777" w:rsidR="006C19E5" w:rsidRPr="0023400E" w:rsidRDefault="006C19E5" w:rsidP="00C9584A">
            <w:pPr>
              <w:jc w:val="both"/>
              <w:rPr>
                <w:rFonts w:ascii="Times New Roman" w:hAnsi="Times New Roman" w:cs="Times New Roman"/>
                <w:sz w:val="20"/>
                <w:szCs w:val="20"/>
                <w:lang w:val="es-419"/>
              </w:rPr>
            </w:pPr>
          </w:p>
        </w:tc>
      </w:tr>
      <w:bookmarkEnd w:id="2"/>
    </w:tbl>
    <w:p w14:paraId="4F23B6BD" w14:textId="77777777" w:rsidR="00B43C8A" w:rsidRPr="006C19E5" w:rsidRDefault="00B43C8A" w:rsidP="006C19E5">
      <w:pPr>
        <w:spacing w:after="0" w:line="240" w:lineRule="auto"/>
        <w:rPr>
          <w:rFonts w:ascii="Times New Roman" w:hAnsi="Times New Roman" w:cs="Times New Roman"/>
        </w:rPr>
      </w:pPr>
    </w:p>
    <w:sectPr w:rsidR="00B43C8A" w:rsidRPr="006C19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A6BE" w14:textId="77777777" w:rsidR="00C77486" w:rsidRDefault="00C77486" w:rsidP="00DF490D">
      <w:pPr>
        <w:spacing w:after="0" w:line="240" w:lineRule="auto"/>
      </w:pPr>
      <w:r>
        <w:separator/>
      </w:r>
    </w:p>
  </w:endnote>
  <w:endnote w:type="continuationSeparator" w:id="0">
    <w:p w14:paraId="1F280AC9" w14:textId="77777777" w:rsidR="00C77486" w:rsidRDefault="00C77486" w:rsidP="00DF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C892" w14:textId="77777777" w:rsidR="00C77486" w:rsidRDefault="00C77486" w:rsidP="00DF490D">
      <w:pPr>
        <w:spacing w:after="0" w:line="240" w:lineRule="auto"/>
      </w:pPr>
      <w:r>
        <w:separator/>
      </w:r>
    </w:p>
  </w:footnote>
  <w:footnote w:type="continuationSeparator" w:id="0">
    <w:p w14:paraId="50128811" w14:textId="77777777" w:rsidR="00C77486" w:rsidRDefault="00C77486" w:rsidP="00DF490D">
      <w:pPr>
        <w:spacing w:after="0" w:line="240" w:lineRule="auto"/>
      </w:pPr>
      <w:r>
        <w:continuationSeparator/>
      </w:r>
    </w:p>
  </w:footnote>
  <w:footnote w:id="1">
    <w:p w14:paraId="0383EFBF" w14:textId="77777777" w:rsidR="00DF490D" w:rsidRPr="006C19E5" w:rsidRDefault="00DF490D" w:rsidP="00DF490D">
      <w:pPr>
        <w:pStyle w:val="Textonotapie"/>
        <w:jc w:val="both"/>
        <w:rPr>
          <w:rFonts w:ascii="Times New Roman" w:hAnsi="Times New Roman" w:cs="Times New Roman"/>
          <w:sz w:val="18"/>
          <w:szCs w:val="18"/>
        </w:rPr>
      </w:pPr>
      <w:r>
        <w:rPr>
          <w:rStyle w:val="Refdenotaalpie"/>
        </w:rPr>
        <w:footnoteRef/>
      </w:r>
      <w:r>
        <w:t xml:space="preserve"> </w:t>
      </w:r>
      <w:r w:rsidRPr="006C19E5">
        <w:rPr>
          <w:rFonts w:ascii="Times New Roman" w:hAnsi="Times New Roman" w:cs="Times New Roman"/>
          <w:b/>
          <w:sz w:val="18"/>
          <w:szCs w:val="18"/>
        </w:rPr>
        <w:t>Artículo 134.</w:t>
      </w:r>
      <w:r w:rsidRPr="006C19E5">
        <w:rPr>
          <w:rFonts w:ascii="Times New Roman" w:hAnsi="Times New Roman" w:cs="Times New Roman"/>
          <w:sz w:val="18"/>
          <w:szCs w:val="18"/>
        </w:rPr>
        <w:t xml:space="preserve"> </w:t>
      </w:r>
    </w:p>
    <w:p w14:paraId="7791214A" w14:textId="77777777" w:rsidR="00DF490D" w:rsidRPr="006C19E5" w:rsidRDefault="00DF490D" w:rsidP="00DF490D">
      <w:pPr>
        <w:pStyle w:val="Textonotapie"/>
        <w:jc w:val="both"/>
        <w:rPr>
          <w:rFonts w:ascii="Times New Roman" w:hAnsi="Times New Roman" w:cs="Times New Roman"/>
          <w:sz w:val="18"/>
          <w:szCs w:val="18"/>
        </w:rPr>
      </w:pPr>
      <w:r w:rsidRPr="006C19E5">
        <w:rPr>
          <w:rFonts w:ascii="Times New Roman" w:hAnsi="Times New Roman" w:cs="Times New Roman"/>
          <w:sz w:val="18"/>
          <w:szCs w:val="18"/>
        </w:rPr>
        <w:t xml:space="preserve">Los recursos económicos de que dispongan la Federación, las entidades federativas, los Municipios y las demarcaciones territoriales de la Ciudad de México, </w:t>
      </w:r>
      <w:r w:rsidRPr="006C19E5">
        <w:rPr>
          <w:rFonts w:ascii="Times New Roman" w:hAnsi="Times New Roman" w:cs="Times New Roman"/>
          <w:b/>
          <w:sz w:val="18"/>
          <w:szCs w:val="18"/>
        </w:rPr>
        <w:t>se administrarán con eficiencia, eficacia, economía, transparencia y honradez para satisfacer los objetivos a los que estén destinados</w:t>
      </w:r>
      <w:r w:rsidRPr="006C19E5">
        <w:rPr>
          <w:rFonts w:ascii="Times New Roman" w:hAnsi="Times New Roman" w:cs="Times New Roman"/>
          <w:sz w:val="18"/>
          <w:szCs w:val="18"/>
        </w:rPr>
        <w:t>.</w:t>
      </w:r>
    </w:p>
    <w:p w14:paraId="29DB3524" w14:textId="77365ED0" w:rsidR="00DF490D" w:rsidRPr="006C19E5" w:rsidRDefault="00DF490D" w:rsidP="00DF490D">
      <w:pPr>
        <w:pStyle w:val="Textonotapie"/>
        <w:jc w:val="both"/>
        <w:rPr>
          <w:rFonts w:ascii="Times New Roman" w:hAnsi="Times New Roman" w:cs="Times New Roman"/>
          <w:sz w:val="18"/>
          <w:szCs w:val="18"/>
        </w:rPr>
      </w:pPr>
      <w:r w:rsidRPr="006C19E5">
        <w:rPr>
          <w:rFonts w:ascii="Times New Roman" w:hAnsi="Times New Roman" w:cs="Times New Roman"/>
          <w:sz w:val="18"/>
          <w:szCs w:val="18"/>
        </w:rP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B2CD5"/>
    <w:multiLevelType w:val="hybridMultilevel"/>
    <w:tmpl w:val="63F87CE2"/>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0D"/>
    <w:rsid w:val="00201C66"/>
    <w:rsid w:val="002974D3"/>
    <w:rsid w:val="00302675"/>
    <w:rsid w:val="004841C1"/>
    <w:rsid w:val="00511010"/>
    <w:rsid w:val="00576452"/>
    <w:rsid w:val="006968B0"/>
    <w:rsid w:val="006C19E5"/>
    <w:rsid w:val="006C3442"/>
    <w:rsid w:val="00801F19"/>
    <w:rsid w:val="0081498E"/>
    <w:rsid w:val="00832BAD"/>
    <w:rsid w:val="00971F63"/>
    <w:rsid w:val="009B4583"/>
    <w:rsid w:val="009C5335"/>
    <w:rsid w:val="00B43C8A"/>
    <w:rsid w:val="00B54922"/>
    <w:rsid w:val="00C77486"/>
    <w:rsid w:val="00D062A0"/>
    <w:rsid w:val="00D670AE"/>
    <w:rsid w:val="00DF490D"/>
    <w:rsid w:val="00DF5940"/>
    <w:rsid w:val="00E26B43"/>
    <w:rsid w:val="00E326F1"/>
    <w:rsid w:val="00EF49D9"/>
    <w:rsid w:val="00F708D4"/>
    <w:rsid w:val="00F86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39F8"/>
  <w15:chartTrackingRefBased/>
  <w15:docId w15:val="{C6CC8C7A-6B91-441D-89B7-9118252C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F49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490D"/>
    <w:rPr>
      <w:sz w:val="20"/>
      <w:szCs w:val="20"/>
    </w:rPr>
  </w:style>
  <w:style w:type="character" w:styleId="Refdenotaalpie">
    <w:name w:val="footnote reference"/>
    <w:basedOn w:val="Fuentedeprrafopredeter"/>
    <w:uiPriority w:val="99"/>
    <w:semiHidden/>
    <w:unhideWhenUsed/>
    <w:rsid w:val="00DF490D"/>
    <w:rPr>
      <w:vertAlign w:val="superscript"/>
    </w:rPr>
  </w:style>
  <w:style w:type="paragraph" w:styleId="Prrafodelista">
    <w:name w:val="List Paragraph"/>
    <w:basedOn w:val="Normal"/>
    <w:uiPriority w:val="34"/>
    <w:qFormat/>
    <w:rsid w:val="00DF490D"/>
    <w:pPr>
      <w:ind w:left="720"/>
      <w:contextualSpacing/>
    </w:pPr>
  </w:style>
  <w:style w:type="character" w:styleId="Refdecomentario">
    <w:name w:val="annotation reference"/>
    <w:basedOn w:val="Fuentedeprrafopredeter"/>
    <w:uiPriority w:val="99"/>
    <w:semiHidden/>
    <w:unhideWhenUsed/>
    <w:rsid w:val="00DF490D"/>
    <w:rPr>
      <w:sz w:val="16"/>
      <w:szCs w:val="16"/>
    </w:rPr>
  </w:style>
  <w:style w:type="paragraph" w:styleId="Textocomentario">
    <w:name w:val="annotation text"/>
    <w:basedOn w:val="Normal"/>
    <w:link w:val="TextocomentarioCar"/>
    <w:uiPriority w:val="99"/>
    <w:semiHidden/>
    <w:unhideWhenUsed/>
    <w:rsid w:val="00DF49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90D"/>
    <w:rPr>
      <w:sz w:val="20"/>
      <w:szCs w:val="20"/>
    </w:rPr>
  </w:style>
  <w:style w:type="paragraph" w:styleId="Textodeglobo">
    <w:name w:val="Balloon Text"/>
    <w:basedOn w:val="Normal"/>
    <w:link w:val="TextodegloboCar"/>
    <w:uiPriority w:val="99"/>
    <w:semiHidden/>
    <w:unhideWhenUsed/>
    <w:rsid w:val="00DF49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90D"/>
    <w:rPr>
      <w:rFonts w:ascii="Segoe UI" w:hAnsi="Segoe UI" w:cs="Segoe UI"/>
      <w:sz w:val="18"/>
      <w:szCs w:val="18"/>
    </w:rPr>
  </w:style>
  <w:style w:type="table" w:styleId="Tablaconcuadrcula">
    <w:name w:val="Table Grid"/>
    <w:basedOn w:val="Tablanormal"/>
    <w:uiPriority w:val="39"/>
    <w:rsid w:val="006C19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11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8</cp:revision>
  <dcterms:created xsi:type="dcterms:W3CDTF">2022-01-21T15:56:00Z</dcterms:created>
  <dcterms:modified xsi:type="dcterms:W3CDTF">2022-02-02T20:27:00Z</dcterms:modified>
</cp:coreProperties>
</file>