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3645" w14:textId="77777777" w:rsidR="00331007" w:rsidRPr="000F47D8" w:rsidRDefault="00331007" w:rsidP="000F47D8">
      <w:pPr>
        <w:shd w:val="clear" w:color="auto" w:fill="668CD0"/>
        <w:jc w:val="center"/>
        <w:rPr>
          <w:rFonts w:ascii="Times New Roman" w:hAnsi="Times New Roman" w:cs="Times New Roman"/>
          <w:b/>
          <w:bCs/>
          <w:sz w:val="28"/>
          <w:szCs w:val="28"/>
          <w:lang w:val="es-419"/>
        </w:rPr>
      </w:pPr>
      <w:r w:rsidRPr="000F47D8">
        <w:rPr>
          <w:rFonts w:ascii="Times New Roman" w:hAnsi="Times New Roman" w:cs="Times New Roman"/>
          <w:b/>
          <w:bCs/>
          <w:sz w:val="28"/>
          <w:szCs w:val="28"/>
          <w:lang w:val="es-419"/>
        </w:rPr>
        <w:t xml:space="preserve">RESEÑAS DE LA PRIMERA SALA </w:t>
      </w:r>
    </w:p>
    <w:p w14:paraId="4E21E60F" w14:textId="77777777" w:rsidR="00331007" w:rsidRPr="000F47D8" w:rsidRDefault="00331007" w:rsidP="000F47D8">
      <w:pPr>
        <w:jc w:val="center"/>
        <w:rPr>
          <w:rFonts w:ascii="Times New Roman" w:hAnsi="Times New Roman" w:cs="Times New Roman"/>
          <w:b/>
          <w:sz w:val="26"/>
          <w:szCs w:val="26"/>
          <w:lang w:val="es-419"/>
        </w:rPr>
      </w:pPr>
    </w:p>
    <w:p w14:paraId="0583A3FF" w14:textId="77777777" w:rsidR="00331007" w:rsidRPr="000F47D8" w:rsidRDefault="00331007" w:rsidP="000F47D8">
      <w:pPr>
        <w:jc w:val="center"/>
        <w:rPr>
          <w:rFonts w:ascii="Times New Roman" w:hAnsi="Times New Roman" w:cs="Times New Roman"/>
          <w:b/>
          <w:sz w:val="26"/>
          <w:szCs w:val="26"/>
          <w:lang w:val="es-419"/>
        </w:rPr>
      </w:pPr>
      <w:r w:rsidRPr="000F47D8">
        <w:rPr>
          <w:rFonts w:ascii="Times New Roman" w:hAnsi="Times New Roman" w:cs="Times New Roman"/>
          <w:b/>
          <w:sz w:val="26"/>
          <w:szCs w:val="26"/>
          <w:lang w:val="es-419"/>
        </w:rPr>
        <w:t>CONTRADICCIÓN DE TESIS 391/2019</w:t>
      </w:r>
    </w:p>
    <w:p w14:paraId="2637193F" w14:textId="77777777" w:rsidR="00331007" w:rsidRPr="000F47D8" w:rsidRDefault="00331007" w:rsidP="000F47D8">
      <w:pPr>
        <w:jc w:val="center"/>
        <w:rPr>
          <w:rFonts w:ascii="Times New Roman" w:hAnsi="Times New Roman" w:cs="Times New Roman"/>
          <w:b/>
          <w:sz w:val="26"/>
          <w:szCs w:val="26"/>
          <w:lang w:val="es-419"/>
        </w:rPr>
      </w:pPr>
    </w:p>
    <w:p w14:paraId="07B7515B" w14:textId="4D469665" w:rsidR="000F47D8" w:rsidRPr="0023400E" w:rsidRDefault="000F47D8" w:rsidP="000F47D8">
      <w:pPr>
        <w:shd w:val="clear" w:color="auto" w:fill="DBDBDB" w:themeFill="accent3" w:themeFillTint="66"/>
        <w:jc w:val="center"/>
        <w:rPr>
          <w:rFonts w:ascii="Times New Roman" w:hAnsi="Times New Roman" w:cs="Times New Roman"/>
          <w:sz w:val="26"/>
          <w:szCs w:val="26"/>
          <w:lang w:val="es-419"/>
        </w:rPr>
      </w:pPr>
      <w:r>
        <w:rPr>
          <w:rFonts w:ascii="Times New Roman" w:hAnsi="Times New Roman" w:cs="Times New Roman"/>
          <w:smallCaps/>
          <w:spacing w:val="-2"/>
          <w:sz w:val="26"/>
          <w:szCs w:val="26"/>
          <w:lang w:val="es-419"/>
        </w:rPr>
        <w:t>El derecho a guardar silencio de las personas inculpadas en procesos penales.</w:t>
      </w:r>
    </w:p>
    <w:p w14:paraId="1EB8CBDB" w14:textId="77777777" w:rsidR="000F47D8" w:rsidRDefault="000F47D8" w:rsidP="000F47D8">
      <w:pPr>
        <w:rPr>
          <w:rFonts w:ascii="Times New Roman" w:hAnsi="Times New Roman" w:cs="Times New Roman"/>
          <w:b/>
          <w:bCs/>
          <w:smallCaps/>
          <w:lang w:val="es-419"/>
        </w:rPr>
      </w:pPr>
    </w:p>
    <w:p w14:paraId="32714216" w14:textId="77777777" w:rsidR="000F47D8" w:rsidRPr="0023400E" w:rsidRDefault="000F47D8" w:rsidP="000F47D8">
      <w:pPr>
        <w:rPr>
          <w:rFonts w:ascii="Times New Roman" w:hAnsi="Times New Roman" w:cs="Times New Roman"/>
          <w:b/>
          <w:bCs/>
          <w:smallCaps/>
          <w:lang w:val="es-419"/>
        </w:rPr>
      </w:pPr>
      <w:r w:rsidRPr="0023400E">
        <w:rPr>
          <w:rFonts w:ascii="Times New Roman" w:hAnsi="Times New Roman" w:cs="Times New Roman"/>
          <w:b/>
          <w:bCs/>
          <w:smallCaps/>
          <w:lang w:val="es-419"/>
        </w:rPr>
        <w:t>Ponente: Ministro Juan Luis González Alcántara Carrancá</w:t>
      </w:r>
      <w:r w:rsidRPr="00450267">
        <w:rPr>
          <w:rFonts w:ascii="Times New Roman" w:hAnsi="Times New Roman" w:cs="Times New Roman"/>
          <w:smallCaps/>
          <w:lang w:val="es-419"/>
        </w:rPr>
        <w:t>.</w:t>
      </w:r>
    </w:p>
    <w:p w14:paraId="3E01224E" w14:textId="0783D1CE" w:rsidR="000F47D8" w:rsidRDefault="000F47D8" w:rsidP="000F47D8">
      <w:pPr>
        <w:rPr>
          <w:rFonts w:ascii="Times New Roman" w:hAnsi="Times New Roman" w:cs="Times New Roman"/>
          <w:smallCaps/>
          <w:lang w:val="es-419"/>
        </w:rPr>
      </w:pPr>
      <w:r w:rsidRPr="0023400E">
        <w:rPr>
          <w:rFonts w:ascii="Times New Roman" w:hAnsi="Times New Roman" w:cs="Times New Roman"/>
          <w:smallCaps/>
          <w:lang w:val="es-419"/>
        </w:rPr>
        <w:t>Secretari</w:t>
      </w:r>
      <w:r>
        <w:rPr>
          <w:rFonts w:ascii="Times New Roman" w:hAnsi="Times New Roman" w:cs="Times New Roman"/>
          <w:smallCaps/>
          <w:lang w:val="es-419"/>
        </w:rPr>
        <w:t>a</w:t>
      </w:r>
      <w:r w:rsidRPr="0023400E">
        <w:rPr>
          <w:rFonts w:ascii="Times New Roman" w:hAnsi="Times New Roman" w:cs="Times New Roman"/>
          <w:smallCaps/>
          <w:lang w:val="es-419"/>
        </w:rPr>
        <w:t>:</w:t>
      </w:r>
      <w:r>
        <w:rPr>
          <w:rFonts w:ascii="Times New Roman" w:hAnsi="Times New Roman" w:cs="Times New Roman"/>
          <w:smallCaps/>
          <w:lang w:val="es-419"/>
        </w:rPr>
        <w:t xml:space="preserve"> Rosalba Rodríguez Mireles.</w:t>
      </w:r>
    </w:p>
    <w:p w14:paraId="4C8DDBC8" w14:textId="6AE9C1D8" w:rsidR="000F47D8" w:rsidRDefault="000F47D8" w:rsidP="000F47D8">
      <w:pPr>
        <w:rPr>
          <w:rFonts w:ascii="Times New Roman" w:hAnsi="Times New Roman" w:cs="Times New Roman"/>
          <w:b/>
          <w:sz w:val="26"/>
          <w:szCs w:val="26"/>
          <w:lang w:val="es-419"/>
        </w:rPr>
      </w:pPr>
    </w:p>
    <w:tbl>
      <w:tblPr>
        <w:tblW w:w="0" w:type="auto"/>
        <w:tblCellMar>
          <w:top w:w="15" w:type="dxa"/>
          <w:left w:w="15" w:type="dxa"/>
          <w:bottom w:w="15" w:type="dxa"/>
          <w:right w:w="15" w:type="dxa"/>
        </w:tblCellMar>
        <w:tblLook w:val="04A0" w:firstRow="1" w:lastRow="0" w:firstColumn="1" w:lastColumn="0" w:noHBand="0" w:noVBand="1"/>
      </w:tblPr>
      <w:tblGrid>
        <w:gridCol w:w="8818"/>
      </w:tblGrid>
      <w:tr w:rsidR="000F47D8" w:rsidRPr="004B3920" w14:paraId="3B92540D" w14:textId="77777777" w:rsidTr="00830EC0">
        <w:trPr>
          <w:trHeight w:val="264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9F9AA" w14:textId="77777777" w:rsidR="000F47D8" w:rsidRPr="00F440E3" w:rsidRDefault="000F47D8" w:rsidP="00830EC0">
            <w:pPr>
              <w:jc w:val="both"/>
              <w:rPr>
                <w:rFonts w:ascii="Times New Roman" w:hAnsi="Times New Roman" w:cs="Times New Roman"/>
                <w:b/>
                <w:bCs/>
                <w:sz w:val="20"/>
                <w:szCs w:val="20"/>
                <w:lang w:val="es-419"/>
              </w:rPr>
            </w:pPr>
            <w:bookmarkStart w:id="0" w:name="_Hlk92735955"/>
            <w:r w:rsidRPr="00F440E3">
              <w:rPr>
                <w:rFonts w:ascii="Times New Roman" w:hAnsi="Times New Roman" w:cs="Times New Roman"/>
                <w:b/>
                <w:bCs/>
                <w:sz w:val="20"/>
                <w:szCs w:val="20"/>
                <w:lang w:val="es-419"/>
              </w:rPr>
              <w:t>Resumen:</w:t>
            </w:r>
          </w:p>
          <w:p w14:paraId="710BB018" w14:textId="77777777" w:rsidR="000F47D8" w:rsidRDefault="000F47D8" w:rsidP="00830EC0">
            <w:pPr>
              <w:jc w:val="both"/>
              <w:rPr>
                <w:rFonts w:ascii="Times New Roman" w:hAnsi="Times New Roman" w:cs="Times New Roman"/>
                <w:sz w:val="20"/>
                <w:szCs w:val="20"/>
                <w:lang w:val="es-419"/>
              </w:rPr>
            </w:pPr>
          </w:p>
          <w:p w14:paraId="4F23B8B4" w14:textId="77777777" w:rsidR="000F47D8" w:rsidRDefault="000F47D8" w:rsidP="00830EC0">
            <w:pPr>
              <w:jc w:val="both"/>
              <w:rPr>
                <w:rFonts w:ascii="Times New Roman" w:hAnsi="Times New Roman" w:cs="Times New Roman"/>
                <w:sz w:val="20"/>
                <w:szCs w:val="20"/>
                <w:lang w:val="es-419"/>
              </w:rPr>
            </w:pPr>
            <w:r w:rsidRPr="000F47D8">
              <w:rPr>
                <w:rFonts w:ascii="Times New Roman" w:hAnsi="Times New Roman" w:cs="Times New Roman"/>
                <w:sz w:val="20"/>
                <w:szCs w:val="20"/>
                <w:lang w:val="es-419"/>
              </w:rPr>
              <w:t xml:space="preserve">Dos Tribunales Colegiados emitieron criterios diferentes en torno al análisis de un mismo tema, esto es, si el Ministerio Público en la averiguación previa –durante el procedimiento penal– puede cuestionar al inculpado respecto de los hechos que se le atribuyen pese a que éste se reservó su derecho de declarar, cuestión respecto de la cual concluyeron de manera distinta. </w:t>
            </w:r>
          </w:p>
          <w:p w14:paraId="2F661E35" w14:textId="77777777" w:rsidR="000F47D8" w:rsidRDefault="000F47D8" w:rsidP="00830EC0">
            <w:pPr>
              <w:jc w:val="both"/>
              <w:rPr>
                <w:rFonts w:ascii="Times New Roman" w:hAnsi="Times New Roman" w:cs="Times New Roman"/>
                <w:sz w:val="20"/>
                <w:szCs w:val="20"/>
                <w:lang w:val="es-419"/>
              </w:rPr>
            </w:pPr>
          </w:p>
          <w:p w14:paraId="00622D74" w14:textId="4289652D" w:rsidR="000F47D8" w:rsidRDefault="000F47D8" w:rsidP="00830EC0">
            <w:pPr>
              <w:jc w:val="both"/>
              <w:rPr>
                <w:rFonts w:ascii="Times New Roman" w:hAnsi="Times New Roman" w:cs="Times New Roman"/>
                <w:sz w:val="20"/>
                <w:szCs w:val="20"/>
                <w:lang w:val="es-419"/>
              </w:rPr>
            </w:pPr>
            <w:r w:rsidRPr="000F47D8">
              <w:rPr>
                <w:rFonts w:ascii="Times New Roman" w:hAnsi="Times New Roman" w:cs="Times New Roman"/>
                <w:sz w:val="20"/>
                <w:szCs w:val="20"/>
                <w:lang w:val="es-419"/>
              </w:rPr>
              <w:t xml:space="preserve">Por un lado, uno de los </w:t>
            </w:r>
            <w:r w:rsidR="00512918">
              <w:rPr>
                <w:rFonts w:ascii="Times New Roman" w:hAnsi="Times New Roman" w:cs="Times New Roman"/>
                <w:sz w:val="20"/>
                <w:szCs w:val="20"/>
                <w:lang w:val="es-419"/>
              </w:rPr>
              <w:t>t</w:t>
            </w:r>
            <w:r w:rsidRPr="000F47D8">
              <w:rPr>
                <w:rFonts w:ascii="Times New Roman" w:hAnsi="Times New Roman" w:cs="Times New Roman"/>
                <w:sz w:val="20"/>
                <w:szCs w:val="20"/>
                <w:lang w:val="es-419"/>
              </w:rPr>
              <w:t>ribunales determinó que, pese a que el inculpado se reservó su derecho de declarar, no se vulneraron sus derechos fundamentales a</w:t>
            </w:r>
            <w:r w:rsidR="00512918">
              <w:rPr>
                <w:rFonts w:ascii="Times New Roman" w:hAnsi="Times New Roman" w:cs="Times New Roman"/>
                <w:sz w:val="20"/>
                <w:szCs w:val="20"/>
                <w:lang w:val="es-419"/>
              </w:rPr>
              <w:t>u</w:t>
            </w:r>
            <w:r w:rsidRPr="000F47D8">
              <w:rPr>
                <w:rFonts w:ascii="Times New Roman" w:hAnsi="Times New Roman" w:cs="Times New Roman"/>
                <w:sz w:val="20"/>
                <w:szCs w:val="20"/>
                <w:lang w:val="es-419"/>
              </w:rPr>
              <w:t xml:space="preserve">n cuando el Ministerio Público le formuló preguntas relacionadas con los hechos que se investigaban. Mientras que, el otro </w:t>
            </w:r>
            <w:r w:rsidR="00512918">
              <w:rPr>
                <w:rFonts w:ascii="Times New Roman" w:hAnsi="Times New Roman" w:cs="Times New Roman"/>
                <w:sz w:val="20"/>
                <w:szCs w:val="20"/>
                <w:lang w:val="es-419"/>
              </w:rPr>
              <w:t>t</w:t>
            </w:r>
            <w:r w:rsidRPr="000F47D8">
              <w:rPr>
                <w:rFonts w:ascii="Times New Roman" w:hAnsi="Times New Roman" w:cs="Times New Roman"/>
                <w:sz w:val="20"/>
                <w:szCs w:val="20"/>
                <w:lang w:val="es-419"/>
              </w:rPr>
              <w:t xml:space="preserve">ribunal, consideró que cuando el inculpado se reserve su derecho a declarar, el Ministerio Público no puede cuestionarlo en ninguna circunstancia. </w:t>
            </w:r>
          </w:p>
          <w:p w14:paraId="46DD7C50" w14:textId="77777777" w:rsidR="000F47D8" w:rsidRDefault="000F47D8" w:rsidP="00830EC0">
            <w:pPr>
              <w:jc w:val="both"/>
              <w:rPr>
                <w:rFonts w:ascii="Times New Roman" w:hAnsi="Times New Roman" w:cs="Times New Roman"/>
                <w:sz w:val="20"/>
                <w:szCs w:val="20"/>
                <w:lang w:val="es-419"/>
              </w:rPr>
            </w:pPr>
          </w:p>
          <w:p w14:paraId="45BE8F65" w14:textId="3338A0E8" w:rsidR="000F47D8" w:rsidRDefault="000F47D8" w:rsidP="00830EC0">
            <w:pPr>
              <w:jc w:val="both"/>
              <w:rPr>
                <w:rFonts w:ascii="Times New Roman" w:hAnsi="Times New Roman" w:cs="Times New Roman"/>
                <w:sz w:val="20"/>
                <w:szCs w:val="20"/>
                <w:lang w:val="es-419"/>
              </w:rPr>
            </w:pPr>
            <w:r w:rsidRPr="000F47D8">
              <w:rPr>
                <w:rFonts w:ascii="Times New Roman" w:hAnsi="Times New Roman" w:cs="Times New Roman"/>
                <w:sz w:val="20"/>
                <w:szCs w:val="20"/>
                <w:lang w:val="es-419"/>
              </w:rPr>
              <w:t>Así, el problema jurídico que analiz</w:t>
            </w:r>
            <w:r w:rsidR="00C6498D">
              <w:rPr>
                <w:rFonts w:ascii="Times New Roman" w:hAnsi="Times New Roman" w:cs="Times New Roman"/>
                <w:sz w:val="20"/>
                <w:szCs w:val="20"/>
                <w:lang w:val="es-419"/>
              </w:rPr>
              <w:t>ó</w:t>
            </w:r>
            <w:r w:rsidRPr="000F47D8">
              <w:rPr>
                <w:rFonts w:ascii="Times New Roman" w:hAnsi="Times New Roman" w:cs="Times New Roman"/>
                <w:sz w:val="20"/>
                <w:szCs w:val="20"/>
                <w:lang w:val="es-419"/>
              </w:rPr>
              <w:t xml:space="preserve"> la Primera Sala consist</w:t>
            </w:r>
            <w:r w:rsidR="00C6498D">
              <w:rPr>
                <w:rFonts w:ascii="Times New Roman" w:hAnsi="Times New Roman" w:cs="Times New Roman"/>
                <w:sz w:val="20"/>
                <w:szCs w:val="20"/>
                <w:lang w:val="es-419"/>
              </w:rPr>
              <w:t>ió</w:t>
            </w:r>
            <w:r w:rsidRPr="000F47D8">
              <w:rPr>
                <w:rFonts w:ascii="Times New Roman" w:hAnsi="Times New Roman" w:cs="Times New Roman"/>
                <w:sz w:val="20"/>
                <w:szCs w:val="20"/>
                <w:lang w:val="es-419"/>
              </w:rPr>
              <w:t xml:space="preserve"> en determinar si el Ministerio Público, en la averiguación previa, puede formularle preguntas al inculpado relacionadas con los hechos que se le atribuyen, no obstante que éste se reservó su derecho a declarar.</w:t>
            </w:r>
          </w:p>
          <w:p w14:paraId="663FE072" w14:textId="6E2CBF94" w:rsidR="00512918" w:rsidRPr="00F440E3" w:rsidRDefault="00512918" w:rsidP="00830EC0">
            <w:pPr>
              <w:jc w:val="both"/>
              <w:rPr>
                <w:rFonts w:ascii="Times New Roman" w:hAnsi="Times New Roman" w:cs="Times New Roman"/>
                <w:b/>
                <w:bCs/>
                <w:sz w:val="20"/>
                <w:szCs w:val="20"/>
                <w:lang w:val="es-419"/>
              </w:rPr>
            </w:pPr>
          </w:p>
        </w:tc>
      </w:tr>
      <w:bookmarkEnd w:id="0"/>
    </w:tbl>
    <w:p w14:paraId="24BE58FB" w14:textId="6B11A71A" w:rsidR="000F47D8" w:rsidRDefault="000F47D8" w:rsidP="000F47D8">
      <w:pPr>
        <w:rPr>
          <w:rFonts w:ascii="Times New Roman" w:hAnsi="Times New Roman" w:cs="Times New Roman"/>
          <w:b/>
          <w:sz w:val="26"/>
          <w:szCs w:val="26"/>
          <w:lang w:val="es-419"/>
        </w:rPr>
      </w:pPr>
    </w:p>
    <w:p w14:paraId="4FF983EE" w14:textId="602B7B96" w:rsidR="00331007" w:rsidRPr="0026428E" w:rsidRDefault="00331007" w:rsidP="0026428E">
      <w:pPr>
        <w:jc w:val="both"/>
        <w:rPr>
          <w:rFonts w:ascii="Times New Roman" w:hAnsi="Times New Roman" w:cs="Times New Roman"/>
          <w:b/>
          <w:bCs/>
          <w:shd w:val="clear" w:color="auto" w:fill="B4C6E7" w:themeFill="accent1" w:themeFillTint="66"/>
          <w:lang w:val="es-419"/>
        </w:rPr>
      </w:pPr>
      <w:r w:rsidRPr="0026428E">
        <w:rPr>
          <w:rFonts w:ascii="Times New Roman" w:hAnsi="Times New Roman" w:cs="Times New Roman"/>
          <w:b/>
          <w:bCs/>
          <w:shd w:val="clear" w:color="auto" w:fill="B4C6E7" w:themeFill="accent1" w:themeFillTint="66"/>
          <w:lang w:val="es-419"/>
        </w:rPr>
        <w:t>Antecedentes del caso</w:t>
      </w:r>
      <w:r w:rsidR="000F47D8" w:rsidRPr="0026428E">
        <w:rPr>
          <w:rFonts w:ascii="Times New Roman" w:hAnsi="Times New Roman" w:cs="Times New Roman"/>
          <w:b/>
          <w:bCs/>
          <w:shd w:val="clear" w:color="auto" w:fill="B4C6E7" w:themeFill="accent1" w:themeFillTint="66"/>
          <w:lang w:val="es-419"/>
        </w:rPr>
        <w:t>:</w:t>
      </w:r>
    </w:p>
    <w:p w14:paraId="3247262A" w14:textId="77777777" w:rsidR="00331007" w:rsidRPr="000F47D8" w:rsidRDefault="00331007" w:rsidP="000F47D8">
      <w:pPr>
        <w:rPr>
          <w:rFonts w:ascii="Times New Roman" w:hAnsi="Times New Roman" w:cs="Times New Roman"/>
          <w:lang w:val="es-ES"/>
        </w:rPr>
      </w:pPr>
    </w:p>
    <w:p w14:paraId="6E8FF7E4" w14:textId="0E2C5845" w:rsidR="00331007" w:rsidRPr="000F47D8" w:rsidRDefault="00331007" w:rsidP="000F47D8">
      <w:pPr>
        <w:jc w:val="both"/>
        <w:rPr>
          <w:rFonts w:ascii="Times New Roman" w:hAnsi="Times New Roman" w:cs="Times New Roman"/>
          <w:lang w:val="es-ES"/>
        </w:rPr>
      </w:pPr>
      <w:r w:rsidRPr="000F47D8">
        <w:rPr>
          <w:rFonts w:ascii="Times New Roman" w:hAnsi="Times New Roman" w:cs="Times New Roman"/>
          <w:lang w:val="es-ES"/>
        </w:rPr>
        <w:t>El cinco de septiembre de dos mil diecinueve, la parte quejosa en el amparo en revisión, denunci</w:t>
      </w:r>
      <w:r w:rsidR="000C6EAC">
        <w:rPr>
          <w:rFonts w:ascii="Times New Roman" w:hAnsi="Times New Roman" w:cs="Times New Roman"/>
          <w:lang w:val="es-ES"/>
        </w:rPr>
        <w:t>ó</w:t>
      </w:r>
      <w:r w:rsidRPr="000F47D8">
        <w:rPr>
          <w:rFonts w:ascii="Times New Roman" w:hAnsi="Times New Roman" w:cs="Times New Roman"/>
          <w:lang w:val="es-ES"/>
        </w:rPr>
        <w:t xml:space="preserve"> la posible contradicción de criterios entre el Segundo Tribunal Colegiado en Materia Penal del Tercer Circuito y el Noveno Tribunal Colegiado en Materia Penal del Primer Circuito, en relación con el derecho humano a la “</w:t>
      </w:r>
      <w:r w:rsidRPr="000F47D8">
        <w:rPr>
          <w:rFonts w:ascii="Times New Roman" w:hAnsi="Times New Roman" w:cs="Times New Roman"/>
          <w:i/>
          <w:iCs/>
          <w:lang w:val="es-ES"/>
        </w:rPr>
        <w:t>no autoincriminación</w:t>
      </w:r>
      <w:r w:rsidRPr="000F47D8">
        <w:rPr>
          <w:rFonts w:ascii="Times New Roman" w:hAnsi="Times New Roman" w:cs="Times New Roman"/>
          <w:lang w:val="es-ES"/>
        </w:rPr>
        <w:t xml:space="preserve">” que consagra el apartado A, fracción II del artículo 20 constitucional. </w:t>
      </w:r>
    </w:p>
    <w:p w14:paraId="209B40C3" w14:textId="77777777" w:rsidR="000F47D8" w:rsidRDefault="000F47D8" w:rsidP="000F47D8">
      <w:pPr>
        <w:jc w:val="both"/>
        <w:rPr>
          <w:rFonts w:ascii="Times New Roman" w:hAnsi="Times New Roman" w:cs="Times New Roman"/>
          <w:lang w:val="es-ES"/>
        </w:rPr>
      </w:pPr>
    </w:p>
    <w:p w14:paraId="2425CF7B" w14:textId="5FCDB67A" w:rsidR="00331007" w:rsidRPr="000F47D8" w:rsidRDefault="00331007" w:rsidP="000F47D8">
      <w:pPr>
        <w:jc w:val="both"/>
        <w:rPr>
          <w:rFonts w:ascii="Times New Roman" w:hAnsi="Times New Roman" w:cs="Times New Roman"/>
          <w:lang w:val="es-ES"/>
        </w:rPr>
      </w:pPr>
      <w:r w:rsidRPr="000F47D8">
        <w:rPr>
          <w:rFonts w:ascii="Times New Roman" w:hAnsi="Times New Roman" w:cs="Times New Roman"/>
          <w:lang w:val="es-ES"/>
        </w:rPr>
        <w:t>Los órganos colegiados conocieron de este tema y concluyeron de manera distinta sobre si</w:t>
      </w:r>
      <w:r w:rsidR="0026428E">
        <w:rPr>
          <w:rFonts w:ascii="Times New Roman" w:hAnsi="Times New Roman" w:cs="Times New Roman"/>
          <w:lang w:val="es-ES"/>
        </w:rPr>
        <w:t>,</w:t>
      </w:r>
      <w:r w:rsidRPr="000F47D8">
        <w:rPr>
          <w:rFonts w:ascii="Times New Roman" w:hAnsi="Times New Roman" w:cs="Times New Roman"/>
          <w:lang w:val="es-ES"/>
        </w:rPr>
        <w:t xml:space="preserve"> durante la averiguación previa, puede cuestionar</w:t>
      </w:r>
      <w:r w:rsidR="00512918">
        <w:rPr>
          <w:rFonts w:ascii="Times New Roman" w:hAnsi="Times New Roman" w:cs="Times New Roman"/>
          <w:lang w:val="es-ES"/>
        </w:rPr>
        <w:t>se</w:t>
      </w:r>
      <w:r w:rsidRPr="000F47D8">
        <w:rPr>
          <w:rFonts w:ascii="Times New Roman" w:hAnsi="Times New Roman" w:cs="Times New Roman"/>
          <w:lang w:val="es-ES"/>
        </w:rPr>
        <w:t xml:space="preserve"> al inculpado respecto a los hechos que se le atribuyen, no obstante que éste reservó su derecho a declarar.</w:t>
      </w:r>
    </w:p>
    <w:p w14:paraId="2FB6B517" w14:textId="77777777" w:rsidR="000F47D8" w:rsidRDefault="000F47D8" w:rsidP="000F47D8">
      <w:pPr>
        <w:jc w:val="both"/>
        <w:rPr>
          <w:rFonts w:ascii="Times New Roman" w:hAnsi="Times New Roman" w:cs="Times New Roman"/>
          <w:lang w:val="es-ES"/>
        </w:rPr>
      </w:pPr>
    </w:p>
    <w:p w14:paraId="599559A7" w14:textId="3FFFDFCB" w:rsidR="00331007" w:rsidRPr="000F47D8" w:rsidRDefault="00331007" w:rsidP="000F47D8">
      <w:pPr>
        <w:jc w:val="both"/>
        <w:rPr>
          <w:rFonts w:ascii="Times New Roman" w:hAnsi="Times New Roman" w:cs="Times New Roman"/>
          <w:lang w:val="es-ES"/>
        </w:rPr>
      </w:pPr>
      <w:r w:rsidRPr="000F47D8">
        <w:rPr>
          <w:rFonts w:ascii="Times New Roman" w:hAnsi="Times New Roman" w:cs="Times New Roman"/>
          <w:lang w:val="es-ES"/>
        </w:rPr>
        <w:t xml:space="preserve">Es así </w:t>
      </w:r>
      <w:r w:rsidR="0026428E">
        <w:rPr>
          <w:rFonts w:ascii="Times New Roman" w:hAnsi="Times New Roman" w:cs="Times New Roman"/>
          <w:lang w:val="es-ES"/>
        </w:rPr>
        <w:t>como</w:t>
      </w:r>
      <w:r w:rsidRPr="000F47D8">
        <w:rPr>
          <w:rFonts w:ascii="Times New Roman" w:hAnsi="Times New Roman" w:cs="Times New Roman"/>
          <w:lang w:val="es-ES"/>
        </w:rPr>
        <w:t xml:space="preserve"> el Segundo Tribunal Colegiado en Materia Penal del Tercer Circuito determinó que, si bien el Ministerio Público formuló al quejoso –aquí denunciante– preguntas relacionadas con hechos que se le investigaban, aún y cuando éste se reservó su derecho a declarar, no se vulneraron sus derechos fundamentales. </w:t>
      </w:r>
      <w:r w:rsidR="0026428E">
        <w:rPr>
          <w:rFonts w:ascii="Times New Roman" w:hAnsi="Times New Roman" w:cs="Times New Roman"/>
          <w:lang w:val="es-ES"/>
        </w:rPr>
        <w:t>Esto, e</w:t>
      </w:r>
      <w:r w:rsidRPr="000F47D8">
        <w:rPr>
          <w:rFonts w:ascii="Times New Roman" w:hAnsi="Times New Roman" w:cs="Times New Roman"/>
          <w:lang w:val="es-ES"/>
        </w:rPr>
        <w:t xml:space="preserve">n virtud de que, durante la diligencia, fue asistido por su defensor, por lo que no se advertía que hubiese sido obligado a responder los cuestionamientos, más </w:t>
      </w:r>
      <w:r w:rsidR="0026428E">
        <w:rPr>
          <w:rFonts w:ascii="Times New Roman" w:hAnsi="Times New Roman" w:cs="Times New Roman"/>
          <w:lang w:val="es-ES"/>
        </w:rPr>
        <w:t xml:space="preserve">aún </w:t>
      </w:r>
      <w:r w:rsidRPr="000F47D8">
        <w:rPr>
          <w:rFonts w:ascii="Times New Roman" w:hAnsi="Times New Roman" w:cs="Times New Roman"/>
          <w:lang w:val="es-ES"/>
        </w:rPr>
        <w:t>cuando manifestó que no era su deseo contestar algunas de las preguntas.</w:t>
      </w:r>
    </w:p>
    <w:p w14:paraId="41377F02" w14:textId="77777777" w:rsidR="000F47D8" w:rsidRDefault="000F47D8" w:rsidP="000F47D8">
      <w:pPr>
        <w:jc w:val="both"/>
        <w:rPr>
          <w:rFonts w:ascii="Times New Roman" w:hAnsi="Times New Roman" w:cs="Times New Roman"/>
          <w:lang w:val="es-ES"/>
        </w:rPr>
      </w:pPr>
    </w:p>
    <w:p w14:paraId="1B0B8082" w14:textId="56394D01" w:rsidR="00331007" w:rsidRPr="000F47D8" w:rsidRDefault="00331007" w:rsidP="000F47D8">
      <w:pPr>
        <w:jc w:val="both"/>
        <w:rPr>
          <w:rFonts w:ascii="Times New Roman" w:hAnsi="Times New Roman" w:cs="Times New Roman"/>
          <w:lang w:val="es-ES"/>
        </w:rPr>
      </w:pPr>
      <w:r w:rsidRPr="000F47D8">
        <w:rPr>
          <w:rFonts w:ascii="Times New Roman" w:hAnsi="Times New Roman" w:cs="Times New Roman"/>
          <w:lang w:val="es-ES"/>
        </w:rPr>
        <w:lastRenderedPageBreak/>
        <w:t>Contrario a lo anterior, el Noveno Tribunal Colegiado en Materia Penal del Primer Circuito, determinó que cuando el inculpado se reserve su derecho a declarar en términos del artículo 20, apartado A, fracción II de la Constitución Federal, el Ministerio Público no puede cuestionarle las imputaciones en su contra bajo el argumento de “preguntas especiales o específicas” porque pese a ser una facultad que tiene de interrogar a los involucrados, bajo ninguna circunstancia, dicha atribución puede predominar sobre el derecho a no ser obligado a declarar.</w:t>
      </w:r>
    </w:p>
    <w:p w14:paraId="4FE05CFC" w14:textId="77777777" w:rsidR="000F47D8" w:rsidRDefault="000F47D8" w:rsidP="000F47D8">
      <w:pPr>
        <w:jc w:val="both"/>
        <w:rPr>
          <w:rFonts w:ascii="Times New Roman" w:hAnsi="Times New Roman" w:cs="Times New Roman"/>
          <w:lang w:val="es-ES"/>
        </w:rPr>
      </w:pPr>
    </w:p>
    <w:p w14:paraId="234DB992" w14:textId="6F4C0C88" w:rsidR="00331007" w:rsidRPr="000F47D8" w:rsidRDefault="00331007" w:rsidP="000F47D8">
      <w:pPr>
        <w:jc w:val="both"/>
        <w:rPr>
          <w:rFonts w:ascii="Times New Roman" w:hAnsi="Times New Roman" w:cs="Times New Roman"/>
          <w:bCs/>
          <w:lang w:eastAsia="es-MX"/>
        </w:rPr>
      </w:pPr>
      <w:r w:rsidRPr="000F47D8">
        <w:rPr>
          <w:rFonts w:ascii="Times New Roman" w:hAnsi="Times New Roman" w:cs="Times New Roman"/>
          <w:lang w:val="es-ES"/>
        </w:rPr>
        <w:t xml:space="preserve">Este criterio fue reiterado por el Noveno Tribunal Colegiado en otros cuatro asuntos. Por lo que emitió </w:t>
      </w:r>
      <w:r w:rsidR="0026428E">
        <w:rPr>
          <w:rFonts w:ascii="Times New Roman" w:hAnsi="Times New Roman" w:cs="Times New Roman"/>
          <w:lang w:val="es-ES"/>
        </w:rPr>
        <w:t>el siguiente criterio:</w:t>
      </w:r>
      <w:r w:rsidRPr="000F47D8">
        <w:rPr>
          <w:rFonts w:ascii="Times New Roman" w:hAnsi="Times New Roman" w:cs="Times New Roman"/>
          <w:lang w:val="es-ES"/>
        </w:rPr>
        <w:t xml:space="preserve"> “</w:t>
      </w:r>
      <w:r w:rsidR="00F70E0E" w:rsidRPr="000F47D8">
        <w:rPr>
          <w:rFonts w:ascii="Times New Roman" w:hAnsi="Times New Roman" w:cs="Times New Roman"/>
          <w:lang w:val="es-ES"/>
        </w:rPr>
        <w:t>DECLARACIÓN DE INCULPADO. SI SE</w:t>
      </w:r>
      <w:r w:rsidR="00F70E0E" w:rsidRPr="000F47D8">
        <w:rPr>
          <w:rFonts w:ascii="Times New Roman" w:hAnsi="Times New Roman" w:cs="Times New Roman"/>
          <w:b/>
          <w:sz w:val="26"/>
          <w:szCs w:val="26"/>
          <w:lang w:eastAsia="es-MX"/>
        </w:rPr>
        <w:t xml:space="preserve"> </w:t>
      </w:r>
      <w:r w:rsidR="00F70E0E" w:rsidRPr="000F47D8">
        <w:rPr>
          <w:rFonts w:ascii="Times New Roman" w:hAnsi="Times New Roman" w:cs="Times New Roman"/>
          <w:bCs/>
          <w:lang w:eastAsia="es-MX"/>
        </w:rPr>
        <w:t>RESERVA ESTE DERECHO EN TÉRMINOS DEL ARTÍCULO 20, APARTADO A, FRACCIÓN II, DE LA CONSTITUCIÓN FEDERAL, EN SU TEXTO ANTERIOR A LA REFORMA PUBLICADA EN EL DIARIO OFICIAL DE LA FEDERACIÓN EL 18 DE JUNIO DE 2008, EL MINISTERIO PÚBLICO NO PUEDE CUESTIONARLO BAJO EL ARGUMENTO DE "PREGUNTAS ESPECIALES O ESPECÍFICAS</w:t>
      </w:r>
      <w:r w:rsidRPr="000F47D8">
        <w:rPr>
          <w:rFonts w:ascii="Times New Roman" w:hAnsi="Times New Roman" w:cs="Times New Roman"/>
          <w:bCs/>
          <w:lang w:eastAsia="es-MX"/>
        </w:rPr>
        <w:t>".</w:t>
      </w:r>
    </w:p>
    <w:p w14:paraId="02A6C130" w14:textId="77777777" w:rsidR="000F47D8" w:rsidRDefault="000F47D8" w:rsidP="000F47D8">
      <w:pPr>
        <w:jc w:val="both"/>
        <w:rPr>
          <w:rFonts w:ascii="Times New Roman" w:hAnsi="Times New Roman" w:cs="Times New Roman"/>
          <w:bCs/>
          <w:lang w:eastAsia="es-MX"/>
        </w:rPr>
      </w:pPr>
    </w:p>
    <w:p w14:paraId="77D4CE4F" w14:textId="6D5C228F" w:rsidR="00331007" w:rsidRPr="000F47D8" w:rsidRDefault="00331007" w:rsidP="000F47D8">
      <w:pPr>
        <w:jc w:val="both"/>
        <w:rPr>
          <w:rFonts w:ascii="Times New Roman" w:hAnsi="Times New Roman" w:cs="Times New Roman"/>
          <w:lang w:val="es-ES"/>
        </w:rPr>
      </w:pPr>
      <w:r w:rsidRPr="000F47D8">
        <w:rPr>
          <w:rFonts w:ascii="Times New Roman" w:hAnsi="Times New Roman" w:cs="Times New Roman"/>
          <w:bCs/>
          <w:lang w:eastAsia="es-MX"/>
        </w:rPr>
        <w:t xml:space="preserve">De ahí que fuera procedente que la Suprema Corte resolviera la contradicción entre los criterios de ambos tribunales colegiados. </w:t>
      </w:r>
    </w:p>
    <w:p w14:paraId="39FB9659" w14:textId="77777777" w:rsidR="00331007" w:rsidRPr="000F47D8" w:rsidRDefault="00331007" w:rsidP="000F47D8">
      <w:pPr>
        <w:jc w:val="both"/>
        <w:rPr>
          <w:rFonts w:ascii="Times New Roman" w:hAnsi="Times New Roman" w:cs="Times New Roman"/>
          <w:lang w:val="es-ES"/>
        </w:rPr>
      </w:pPr>
    </w:p>
    <w:p w14:paraId="03C3B2AC" w14:textId="7C764469" w:rsidR="00331007" w:rsidRPr="0026428E" w:rsidRDefault="00331007" w:rsidP="0026428E">
      <w:pPr>
        <w:jc w:val="both"/>
        <w:rPr>
          <w:rFonts w:ascii="Times New Roman" w:hAnsi="Times New Roman" w:cs="Times New Roman"/>
          <w:b/>
          <w:bCs/>
          <w:shd w:val="clear" w:color="auto" w:fill="B4C6E7" w:themeFill="accent1" w:themeFillTint="66"/>
          <w:lang w:val="es-419"/>
        </w:rPr>
      </w:pPr>
      <w:r w:rsidRPr="0026428E">
        <w:rPr>
          <w:rFonts w:ascii="Times New Roman" w:hAnsi="Times New Roman" w:cs="Times New Roman"/>
          <w:b/>
          <w:bCs/>
          <w:shd w:val="clear" w:color="auto" w:fill="B4C6E7" w:themeFill="accent1" w:themeFillTint="66"/>
          <w:lang w:val="es-419"/>
        </w:rPr>
        <w:t>Resolución de la Primera Sala</w:t>
      </w:r>
      <w:r w:rsidR="000F47D8" w:rsidRPr="0026428E">
        <w:rPr>
          <w:rFonts w:ascii="Times New Roman" w:hAnsi="Times New Roman" w:cs="Times New Roman"/>
          <w:b/>
          <w:bCs/>
          <w:shd w:val="clear" w:color="auto" w:fill="B4C6E7" w:themeFill="accent1" w:themeFillTint="66"/>
          <w:lang w:val="es-419"/>
        </w:rPr>
        <w:t>:</w:t>
      </w:r>
    </w:p>
    <w:p w14:paraId="05AA17E7" w14:textId="77777777" w:rsidR="00331007" w:rsidRPr="000F47D8" w:rsidRDefault="00331007" w:rsidP="000F47D8">
      <w:pPr>
        <w:rPr>
          <w:rFonts w:ascii="Times New Roman" w:hAnsi="Times New Roman" w:cs="Times New Roman"/>
          <w:lang w:val="es-ES"/>
        </w:rPr>
      </w:pPr>
    </w:p>
    <w:p w14:paraId="69639ADC" w14:textId="7BC66067" w:rsidR="00331007" w:rsidRPr="000F47D8" w:rsidRDefault="00331007" w:rsidP="000F47D8">
      <w:pPr>
        <w:jc w:val="both"/>
        <w:rPr>
          <w:rFonts w:ascii="Times New Roman" w:hAnsi="Times New Roman" w:cs="Times New Roman"/>
          <w:lang w:val="es-ES"/>
        </w:rPr>
      </w:pPr>
      <w:r w:rsidRPr="000F47D8">
        <w:rPr>
          <w:rFonts w:ascii="Times New Roman" w:hAnsi="Times New Roman" w:cs="Times New Roman"/>
          <w:lang w:val="es-ES"/>
        </w:rPr>
        <w:t xml:space="preserve">La Primera Sala determinó que bajo ninguna condición el Ministerio Público puede realizar preguntas en relación con los hechos que se le imputan al inculpado de un delito que ejerció su derecho a no declarar. </w:t>
      </w:r>
      <w:r w:rsidR="0026428E">
        <w:rPr>
          <w:rFonts w:ascii="Times New Roman" w:hAnsi="Times New Roman" w:cs="Times New Roman"/>
          <w:lang w:val="es-ES"/>
        </w:rPr>
        <w:t>Lo anterior, p</w:t>
      </w:r>
      <w:r w:rsidRPr="000F47D8">
        <w:rPr>
          <w:rFonts w:ascii="Times New Roman" w:hAnsi="Times New Roman" w:cs="Times New Roman"/>
          <w:lang w:val="es-ES"/>
        </w:rPr>
        <w:t>ues ello debe entenderse como una forma de coacción para lograr la autoincriminación, con independencia de que el inculpado se encuentre asistido por un defenso</w:t>
      </w:r>
      <w:r w:rsidR="000C6EAC">
        <w:rPr>
          <w:rFonts w:ascii="Times New Roman" w:hAnsi="Times New Roman" w:cs="Times New Roman"/>
          <w:lang w:val="es-ES"/>
        </w:rPr>
        <w:t>r</w:t>
      </w:r>
      <w:r w:rsidR="00170ACD">
        <w:rPr>
          <w:rFonts w:ascii="Times New Roman" w:hAnsi="Times New Roman" w:cs="Times New Roman"/>
          <w:lang w:val="es-ES"/>
        </w:rPr>
        <w:t>, t</w:t>
      </w:r>
      <w:r w:rsidRPr="000F47D8">
        <w:rPr>
          <w:rFonts w:ascii="Times New Roman" w:hAnsi="Times New Roman" w:cs="Times New Roman"/>
          <w:lang w:val="es-ES"/>
        </w:rPr>
        <w:t>oda vez que está prohibido tanto por la Constitución General como por la Convención Americana sobre Derechos Humanos.</w:t>
      </w:r>
    </w:p>
    <w:p w14:paraId="25C6644A" w14:textId="77777777" w:rsidR="000F47D8" w:rsidRDefault="000F47D8" w:rsidP="000F47D8">
      <w:pPr>
        <w:jc w:val="both"/>
        <w:rPr>
          <w:rFonts w:ascii="Times New Roman" w:hAnsi="Times New Roman" w:cs="Times New Roman"/>
          <w:lang w:val="es-ES"/>
        </w:rPr>
      </w:pPr>
    </w:p>
    <w:p w14:paraId="2D38CEA1" w14:textId="3E1B4802" w:rsidR="00331007" w:rsidRPr="000F47D8" w:rsidRDefault="00331007" w:rsidP="000F47D8">
      <w:pPr>
        <w:jc w:val="both"/>
        <w:rPr>
          <w:rFonts w:ascii="Times New Roman" w:hAnsi="Times New Roman" w:cs="Times New Roman"/>
          <w:lang w:val="es-ES"/>
        </w:rPr>
      </w:pPr>
      <w:r w:rsidRPr="000F47D8">
        <w:rPr>
          <w:rFonts w:ascii="Times New Roman" w:hAnsi="Times New Roman" w:cs="Times New Roman"/>
          <w:lang w:val="es-ES"/>
        </w:rPr>
        <w:t>Para explicar lo anterior, la Primera Sala, al interpretar el artículo 20, apartado A, fracción II constitucional, señaló que los inculpados tienen derecho a la no autoincriminación, es decir, el derecho a no ser obligados a declarar ya sea confesando o negando los hechos que se le imputan</w:t>
      </w:r>
      <w:r w:rsidR="00A608E7" w:rsidRPr="000F47D8">
        <w:rPr>
          <w:rFonts w:ascii="Times New Roman" w:hAnsi="Times New Roman" w:cs="Times New Roman"/>
          <w:lang w:val="es-ES"/>
        </w:rPr>
        <w:t>,</w:t>
      </w:r>
      <w:r w:rsidR="0012314E" w:rsidRPr="000F47D8">
        <w:rPr>
          <w:rFonts w:ascii="Times New Roman" w:hAnsi="Times New Roman" w:cs="Times New Roman"/>
          <w:lang w:val="es-ES"/>
        </w:rPr>
        <w:t xml:space="preserve"> de manera </w:t>
      </w:r>
      <w:r w:rsidRPr="000F47D8">
        <w:rPr>
          <w:rFonts w:ascii="Times New Roman" w:hAnsi="Times New Roman" w:cs="Times New Roman"/>
          <w:lang w:val="es-ES"/>
        </w:rPr>
        <w:t xml:space="preserve">adversa o favorable. Esto es el </w:t>
      </w:r>
      <w:r w:rsidRPr="000F47D8">
        <w:rPr>
          <w:rFonts w:ascii="Times New Roman" w:hAnsi="Times New Roman" w:cs="Times New Roman"/>
          <w:i/>
          <w:iCs/>
          <w:lang w:val="es-ES"/>
        </w:rPr>
        <w:t>derecho a guardar silencio,</w:t>
      </w:r>
      <w:r w:rsidRPr="000F47D8">
        <w:rPr>
          <w:rFonts w:ascii="Times New Roman" w:hAnsi="Times New Roman" w:cs="Times New Roman"/>
          <w:lang w:val="es-ES"/>
        </w:rPr>
        <w:t xml:space="preserve"> es un acto de defensa del inculpado que presupone su libertad de declarar y del cual no se puede deducir su culpabilidad en los hechos ilícitos.</w:t>
      </w:r>
    </w:p>
    <w:p w14:paraId="3CCE41FC" w14:textId="77777777" w:rsidR="000F47D8" w:rsidRDefault="000F47D8" w:rsidP="000F47D8">
      <w:pPr>
        <w:jc w:val="both"/>
        <w:rPr>
          <w:rFonts w:ascii="Times New Roman" w:hAnsi="Times New Roman" w:cs="Times New Roman"/>
          <w:lang w:val="es-ES"/>
        </w:rPr>
      </w:pPr>
    </w:p>
    <w:p w14:paraId="775BAEC2" w14:textId="00DEF0D6" w:rsidR="00331007" w:rsidRPr="000F47D8" w:rsidRDefault="00170ACD" w:rsidP="000F47D8">
      <w:pPr>
        <w:jc w:val="both"/>
        <w:rPr>
          <w:rFonts w:ascii="Times New Roman" w:hAnsi="Times New Roman" w:cs="Times New Roman"/>
          <w:lang w:val="es-ES"/>
        </w:rPr>
      </w:pPr>
      <w:r>
        <w:rPr>
          <w:rFonts w:ascii="Times New Roman" w:hAnsi="Times New Roman" w:cs="Times New Roman"/>
          <w:lang w:val="es-ES"/>
        </w:rPr>
        <w:t>De manera que l</w:t>
      </w:r>
      <w:r w:rsidR="00331007" w:rsidRPr="000F47D8">
        <w:rPr>
          <w:rFonts w:ascii="Times New Roman" w:hAnsi="Times New Roman" w:cs="Times New Roman"/>
          <w:lang w:val="es-ES"/>
        </w:rPr>
        <w:t>a decisión de ejercer el derecho al silencio no solo debe ser respetada y garantizada, sino que no puede, por ninguna circunstancia, ser utilizada en perjuicio de la persona.</w:t>
      </w:r>
    </w:p>
    <w:p w14:paraId="003C965A" w14:textId="77777777" w:rsidR="000F47D8" w:rsidRDefault="000F47D8" w:rsidP="000F47D8">
      <w:pPr>
        <w:jc w:val="both"/>
        <w:rPr>
          <w:rFonts w:ascii="Times New Roman" w:hAnsi="Times New Roman" w:cs="Times New Roman"/>
          <w:lang w:val="es-ES"/>
        </w:rPr>
      </w:pPr>
    </w:p>
    <w:p w14:paraId="134C3221" w14:textId="56431439" w:rsidR="00331007" w:rsidRPr="000F47D8" w:rsidRDefault="00331007" w:rsidP="000F47D8">
      <w:pPr>
        <w:jc w:val="both"/>
        <w:rPr>
          <w:rFonts w:ascii="Times New Roman" w:hAnsi="Times New Roman" w:cs="Times New Roman"/>
          <w:lang w:val="es-ES"/>
        </w:rPr>
      </w:pPr>
      <w:r w:rsidRPr="000F47D8">
        <w:rPr>
          <w:rFonts w:ascii="Times New Roman" w:hAnsi="Times New Roman" w:cs="Times New Roman"/>
          <w:lang w:val="es-ES"/>
        </w:rPr>
        <w:t>Por tanto, la Sala indicó que aquella persona sujeta a un proceso no est</w:t>
      </w:r>
      <w:r w:rsidR="000C6EAC">
        <w:rPr>
          <w:rFonts w:ascii="Times New Roman" w:hAnsi="Times New Roman" w:cs="Times New Roman"/>
          <w:lang w:val="es-ES"/>
        </w:rPr>
        <w:t>á</w:t>
      </w:r>
      <w:r w:rsidRPr="000F47D8">
        <w:rPr>
          <w:rFonts w:ascii="Times New Roman" w:hAnsi="Times New Roman" w:cs="Times New Roman"/>
          <w:lang w:val="es-ES"/>
        </w:rPr>
        <w:t xml:space="preserve"> obligada a declarar y ello implica que no puede verse obligada a</w:t>
      </w:r>
      <w:r w:rsidR="00170ACD">
        <w:rPr>
          <w:rFonts w:ascii="Times New Roman" w:hAnsi="Times New Roman" w:cs="Times New Roman"/>
          <w:lang w:val="es-ES"/>
        </w:rPr>
        <w:t>:</w:t>
      </w:r>
      <w:r w:rsidRPr="000F47D8">
        <w:rPr>
          <w:rFonts w:ascii="Times New Roman" w:hAnsi="Times New Roman" w:cs="Times New Roman"/>
          <w:lang w:val="es-ES"/>
        </w:rPr>
        <w:t xml:space="preserve"> I) </w:t>
      </w:r>
      <w:proofErr w:type="spellStart"/>
      <w:r w:rsidRPr="000F47D8">
        <w:rPr>
          <w:rFonts w:ascii="Times New Roman" w:hAnsi="Times New Roman" w:cs="Times New Roman"/>
          <w:lang w:val="es-ES"/>
        </w:rPr>
        <w:t>autoinculparse</w:t>
      </w:r>
      <w:proofErr w:type="spellEnd"/>
      <w:r w:rsidRPr="000F47D8">
        <w:rPr>
          <w:rFonts w:ascii="Times New Roman" w:hAnsi="Times New Roman" w:cs="Times New Roman"/>
          <w:lang w:val="es-ES"/>
        </w:rPr>
        <w:t xml:space="preserve"> y/o II) defenderse y declarar en su favor, hasta en tanto lo considere necesario de acuerdo con el óptimo ejercicio de su defensa. Por lo que “no declarar” incluye la posibilidad de reservarse cualquier expresión incluso no verbal, lo que obliga a la autoridad responsable a no forzar a una persona, bajo ningún medio, a emitir una confesión o declaración que esté encaminada a aceptar su responsabilidad.</w:t>
      </w:r>
    </w:p>
    <w:p w14:paraId="2A152A86" w14:textId="77777777" w:rsidR="000F47D8" w:rsidRDefault="000F47D8" w:rsidP="000F47D8">
      <w:pPr>
        <w:jc w:val="both"/>
        <w:rPr>
          <w:rFonts w:ascii="Times New Roman" w:hAnsi="Times New Roman" w:cs="Times New Roman"/>
          <w:lang w:val="es-ES"/>
        </w:rPr>
      </w:pPr>
    </w:p>
    <w:p w14:paraId="6D2BD3F5" w14:textId="5129E56C" w:rsidR="00331007" w:rsidRPr="000F47D8" w:rsidRDefault="00331007" w:rsidP="000F47D8">
      <w:pPr>
        <w:jc w:val="both"/>
        <w:rPr>
          <w:rFonts w:ascii="Times New Roman" w:hAnsi="Times New Roman" w:cs="Times New Roman"/>
          <w:lang w:val="es-ES"/>
        </w:rPr>
      </w:pPr>
      <w:r w:rsidRPr="000F47D8">
        <w:rPr>
          <w:rFonts w:ascii="Times New Roman" w:hAnsi="Times New Roman" w:cs="Times New Roman"/>
          <w:lang w:val="es-ES"/>
        </w:rPr>
        <w:lastRenderedPageBreak/>
        <w:t xml:space="preserve">Para la </w:t>
      </w:r>
      <w:r w:rsidR="00170ACD">
        <w:rPr>
          <w:rFonts w:ascii="Times New Roman" w:hAnsi="Times New Roman" w:cs="Times New Roman"/>
          <w:lang w:val="es-ES"/>
        </w:rPr>
        <w:t>P</w:t>
      </w:r>
      <w:r w:rsidRPr="000F47D8">
        <w:rPr>
          <w:rFonts w:ascii="Times New Roman" w:hAnsi="Times New Roman" w:cs="Times New Roman"/>
          <w:lang w:val="es-ES"/>
        </w:rPr>
        <w:t xml:space="preserve">rimera Sala, el derecho a no declarar del acusado subsiste en el proceso penal mixto, aun cuando se le cite como testigo por sus </w:t>
      </w:r>
      <w:r w:rsidRPr="000F47D8">
        <w:rPr>
          <w:rFonts w:ascii="Times New Roman" w:hAnsi="Times New Roman" w:cs="Times New Roman"/>
        </w:rPr>
        <w:t>coprocesados,</w:t>
      </w:r>
      <w:r w:rsidRPr="000F47D8">
        <w:rPr>
          <w:rFonts w:ascii="Times New Roman" w:hAnsi="Times New Roman" w:cs="Times New Roman"/>
          <w:lang w:val="es-ES"/>
        </w:rPr>
        <w:t xml:space="preserve"> </w:t>
      </w:r>
      <w:r w:rsidR="00170ACD">
        <w:rPr>
          <w:rFonts w:ascii="Times New Roman" w:hAnsi="Times New Roman" w:cs="Times New Roman"/>
          <w:lang w:val="es-ES"/>
        </w:rPr>
        <w:t xml:space="preserve">por lo tanto, </w:t>
      </w:r>
      <w:r w:rsidRPr="000F47D8">
        <w:rPr>
          <w:rFonts w:ascii="Times New Roman" w:hAnsi="Times New Roman" w:cs="Times New Roman"/>
          <w:lang w:val="es-ES"/>
        </w:rPr>
        <w:t>el Juez y las partes en el juicio no podrán obligar al procesado a declarar en su contra. En ese orden de ideas, la Sala sost</w:t>
      </w:r>
      <w:r w:rsidR="00170ACD">
        <w:rPr>
          <w:rFonts w:ascii="Times New Roman" w:hAnsi="Times New Roman" w:cs="Times New Roman"/>
          <w:lang w:val="es-ES"/>
        </w:rPr>
        <w:t>uvo</w:t>
      </w:r>
      <w:r w:rsidRPr="000F47D8">
        <w:rPr>
          <w:rFonts w:ascii="Times New Roman" w:hAnsi="Times New Roman" w:cs="Times New Roman"/>
          <w:lang w:val="es-ES"/>
        </w:rPr>
        <w:t xml:space="preserve"> que el derecho de no autoincriminación del inculpado rige todo el proceso penal, incluida la averiguación previa sin que la ley secundaria pueda establecer limitaciones a este derecho, tal como lo establece el artículo 20 constitucional, apartado A, en su último párrafo.</w:t>
      </w:r>
    </w:p>
    <w:p w14:paraId="456F5225" w14:textId="77777777" w:rsidR="00331007" w:rsidRPr="000F47D8" w:rsidRDefault="00331007" w:rsidP="000F47D8">
      <w:pPr>
        <w:jc w:val="both"/>
        <w:rPr>
          <w:rFonts w:ascii="Times New Roman" w:hAnsi="Times New Roman" w:cs="Times New Roman"/>
          <w:lang w:val="es-ES"/>
        </w:rPr>
      </w:pPr>
    </w:p>
    <w:p w14:paraId="5AAF1DE5" w14:textId="4C0C3B34" w:rsidR="00331007" w:rsidRPr="000F47D8" w:rsidRDefault="00331007" w:rsidP="000F47D8">
      <w:pPr>
        <w:jc w:val="both"/>
        <w:rPr>
          <w:rFonts w:ascii="Times New Roman" w:hAnsi="Times New Roman" w:cs="Times New Roman"/>
          <w:lang w:val="es-ES"/>
        </w:rPr>
      </w:pPr>
      <w:r w:rsidRPr="000F47D8">
        <w:rPr>
          <w:rFonts w:ascii="Times New Roman" w:hAnsi="Times New Roman" w:cs="Times New Roman"/>
          <w:lang w:val="es-ES"/>
        </w:rPr>
        <w:t>De lo expuesto, puede concluirse que, en la etapa de averiguación previa, cuando el inculpado se reserve el derecho a declarar de acuerdo con la normativa constitucional anterior</w:t>
      </w:r>
      <w:r w:rsidR="00170ACD">
        <w:rPr>
          <w:rFonts w:ascii="Times New Roman" w:hAnsi="Times New Roman" w:cs="Times New Roman"/>
          <w:lang w:val="es-ES"/>
        </w:rPr>
        <w:t xml:space="preserve"> a la reforma que implementó el sistema acusatorio y oral</w:t>
      </w:r>
      <w:r w:rsidRPr="000F47D8">
        <w:rPr>
          <w:rFonts w:ascii="Times New Roman" w:hAnsi="Times New Roman" w:cs="Times New Roman"/>
          <w:lang w:val="es-ES"/>
        </w:rPr>
        <w:t xml:space="preserve">, el </w:t>
      </w:r>
      <w:r w:rsidRPr="000F47D8">
        <w:rPr>
          <w:rFonts w:ascii="Times New Roman" w:hAnsi="Times New Roman" w:cs="Times New Roman"/>
          <w:lang w:eastAsia="es-MX"/>
        </w:rPr>
        <w:t xml:space="preserve">Ministerio Público </w:t>
      </w:r>
      <w:r w:rsidRPr="000F47D8">
        <w:rPr>
          <w:rFonts w:ascii="Times New Roman" w:hAnsi="Times New Roman" w:cs="Times New Roman"/>
          <w:bCs/>
          <w:lang w:eastAsia="es-MX"/>
        </w:rPr>
        <w:t>no</w:t>
      </w:r>
      <w:r w:rsidRPr="000F47D8">
        <w:rPr>
          <w:rFonts w:ascii="Times New Roman" w:hAnsi="Times New Roman" w:cs="Times New Roman"/>
          <w:lang w:eastAsia="es-MX"/>
        </w:rPr>
        <w:t xml:space="preserve"> puede formularle preguntas relacionadas con los hechos que se le imputan, porque ello implica una violación al </w:t>
      </w:r>
      <w:r w:rsidRPr="000F47D8">
        <w:rPr>
          <w:rFonts w:ascii="Times New Roman" w:hAnsi="Times New Roman" w:cs="Times New Roman"/>
          <w:bCs/>
          <w:lang w:eastAsia="es-MX"/>
        </w:rPr>
        <w:t>derecho fundamental de la no autoincriminación. Por lo que, la Primera Sala concluy</w:t>
      </w:r>
      <w:r w:rsidR="00170ACD">
        <w:rPr>
          <w:rFonts w:ascii="Times New Roman" w:hAnsi="Times New Roman" w:cs="Times New Roman"/>
          <w:bCs/>
          <w:lang w:eastAsia="es-MX"/>
        </w:rPr>
        <w:t>ó</w:t>
      </w:r>
      <w:r w:rsidRPr="000F47D8">
        <w:rPr>
          <w:rFonts w:ascii="Times New Roman" w:hAnsi="Times New Roman" w:cs="Times New Roman"/>
          <w:bCs/>
          <w:lang w:eastAsia="es-MX"/>
        </w:rPr>
        <w:t xml:space="preserve"> que debe prevalecer con carác</w:t>
      </w:r>
      <w:r w:rsidR="00170ACD">
        <w:rPr>
          <w:rFonts w:ascii="Times New Roman" w:hAnsi="Times New Roman" w:cs="Times New Roman"/>
          <w:bCs/>
          <w:lang w:eastAsia="es-MX"/>
        </w:rPr>
        <w:t>t</w:t>
      </w:r>
      <w:r w:rsidRPr="000F47D8">
        <w:rPr>
          <w:rFonts w:ascii="Times New Roman" w:hAnsi="Times New Roman" w:cs="Times New Roman"/>
          <w:bCs/>
          <w:lang w:eastAsia="es-MX"/>
        </w:rPr>
        <w:t xml:space="preserve">er jurisprudencial el </w:t>
      </w:r>
      <w:r w:rsidR="00170ACD">
        <w:rPr>
          <w:rFonts w:ascii="Times New Roman" w:hAnsi="Times New Roman" w:cs="Times New Roman"/>
          <w:bCs/>
          <w:lang w:eastAsia="es-MX"/>
        </w:rPr>
        <w:t xml:space="preserve">siguiente </w:t>
      </w:r>
      <w:r w:rsidRPr="000F47D8">
        <w:rPr>
          <w:rFonts w:ascii="Times New Roman" w:hAnsi="Times New Roman" w:cs="Times New Roman"/>
          <w:bCs/>
          <w:lang w:eastAsia="es-MX"/>
        </w:rPr>
        <w:t>criterio</w:t>
      </w:r>
      <w:r w:rsidR="00170ACD">
        <w:rPr>
          <w:rFonts w:ascii="Times New Roman" w:hAnsi="Times New Roman" w:cs="Times New Roman"/>
          <w:bCs/>
          <w:lang w:eastAsia="es-MX"/>
        </w:rPr>
        <w:t xml:space="preserve">: </w:t>
      </w:r>
      <w:r w:rsidR="00F70E0E">
        <w:rPr>
          <w:rFonts w:ascii="Times New Roman" w:hAnsi="Times New Roman" w:cs="Times New Roman"/>
          <w:bCs/>
          <w:lang w:eastAsia="es-MX"/>
        </w:rPr>
        <w:t>“</w:t>
      </w:r>
      <w:r w:rsidR="00170ACD" w:rsidRPr="000F47D8">
        <w:rPr>
          <w:rFonts w:ascii="Times New Roman" w:hAnsi="Times New Roman" w:cs="Times New Roman"/>
          <w:bCs/>
          <w:lang w:eastAsia="es-MX"/>
        </w:rPr>
        <w:t xml:space="preserve">DERECHO </w:t>
      </w:r>
      <w:r w:rsidR="00170ACD" w:rsidRPr="000F47D8">
        <w:rPr>
          <w:rFonts w:ascii="Times New Roman" w:hAnsi="Times New Roman" w:cs="Times New Roman"/>
          <w:bCs/>
        </w:rPr>
        <w:t>DEL INCULPADO A NO DECLARAR EN LA ETAPA DE AVERIGUACIÓN PREVIA. EL MINISTERIO PÚBLICO NO PUEDE FORMULARLE PREGUNTAS SOBRE LOS HECHOS QUE SE LE IMPUTAN, SI EJERCIÓ ESE DERECHO (ARTÍCULO 20, APARTADO A, FRACCIÓN II, DE LA CONSTITUCIÓN FEDERAL, EN SU</w:t>
      </w:r>
      <w:r w:rsidR="00170ACD" w:rsidRPr="000F47D8">
        <w:rPr>
          <w:rFonts w:ascii="Times New Roman" w:hAnsi="Times New Roman" w:cs="Times New Roman"/>
          <w:bCs/>
          <w:lang w:eastAsia="es-MX"/>
        </w:rPr>
        <w:t xml:space="preserve"> TEXTO ANTERIOR A LA REFORMA PUBLICADA EN EL DIARIO OFICIAL DE LA FEDERACIÓN EL 18 DE JUNIO DE 2008)</w:t>
      </w:r>
      <w:r w:rsidR="00F70E0E">
        <w:rPr>
          <w:rFonts w:ascii="Times New Roman" w:hAnsi="Times New Roman" w:cs="Times New Roman"/>
          <w:bCs/>
          <w:lang w:eastAsia="es-MX"/>
        </w:rPr>
        <w:t>”</w:t>
      </w:r>
      <w:r w:rsidRPr="000F47D8">
        <w:rPr>
          <w:rFonts w:ascii="Times New Roman" w:hAnsi="Times New Roman" w:cs="Times New Roman"/>
          <w:bCs/>
        </w:rPr>
        <w:t>.</w:t>
      </w:r>
    </w:p>
    <w:p w14:paraId="1E30DDC6" w14:textId="77777777" w:rsidR="00331007" w:rsidRPr="000F47D8" w:rsidRDefault="00331007" w:rsidP="000F47D8">
      <w:pPr>
        <w:rPr>
          <w:rFonts w:ascii="Times New Roman" w:hAnsi="Times New Roman" w:cs="Times New Roman"/>
          <w:lang w:val="es-ES"/>
        </w:rPr>
      </w:pPr>
    </w:p>
    <w:p w14:paraId="53B8B8F7" w14:textId="37DEF4A2" w:rsidR="00331007" w:rsidRPr="0026428E" w:rsidRDefault="00331007" w:rsidP="0026428E">
      <w:pPr>
        <w:jc w:val="both"/>
        <w:rPr>
          <w:rFonts w:ascii="Times New Roman" w:hAnsi="Times New Roman" w:cs="Times New Roman"/>
          <w:b/>
          <w:bCs/>
          <w:shd w:val="clear" w:color="auto" w:fill="B4C6E7" w:themeFill="accent1" w:themeFillTint="66"/>
          <w:lang w:val="es-419"/>
        </w:rPr>
      </w:pPr>
      <w:r w:rsidRPr="0026428E">
        <w:rPr>
          <w:rFonts w:ascii="Times New Roman" w:hAnsi="Times New Roman" w:cs="Times New Roman"/>
          <w:b/>
          <w:bCs/>
          <w:shd w:val="clear" w:color="auto" w:fill="B4C6E7" w:themeFill="accent1" w:themeFillTint="66"/>
          <w:lang w:val="es-419"/>
        </w:rPr>
        <w:t>Votación</w:t>
      </w:r>
      <w:r w:rsidR="000F47D8" w:rsidRPr="0026428E">
        <w:rPr>
          <w:rFonts w:ascii="Times New Roman" w:hAnsi="Times New Roman" w:cs="Times New Roman"/>
          <w:b/>
          <w:bCs/>
          <w:shd w:val="clear" w:color="auto" w:fill="B4C6E7" w:themeFill="accent1" w:themeFillTint="66"/>
          <w:lang w:val="es-419"/>
        </w:rPr>
        <w:t>:</w:t>
      </w:r>
    </w:p>
    <w:p w14:paraId="709CB2DF" w14:textId="77777777" w:rsidR="00331007" w:rsidRPr="000F47D8" w:rsidRDefault="00331007" w:rsidP="000F47D8">
      <w:pPr>
        <w:rPr>
          <w:rFonts w:ascii="Times New Roman" w:hAnsi="Times New Roman" w:cs="Times New Roman"/>
          <w:lang w:val="es-ES"/>
        </w:rPr>
      </w:pPr>
    </w:p>
    <w:p w14:paraId="4686F85E" w14:textId="23EE0CF5" w:rsidR="00331007" w:rsidRDefault="00331007" w:rsidP="000F47D8">
      <w:pPr>
        <w:jc w:val="both"/>
        <w:rPr>
          <w:rFonts w:ascii="Times New Roman" w:hAnsi="Times New Roman" w:cs="Times New Roman"/>
        </w:rPr>
      </w:pPr>
      <w:r w:rsidRPr="000F47D8">
        <w:rPr>
          <w:rFonts w:ascii="Times New Roman" w:hAnsi="Times New Roman" w:cs="Times New Roman"/>
        </w:rPr>
        <w:t xml:space="preserve">El asunto fue resuelto </w:t>
      </w:r>
      <w:r w:rsidR="00512918">
        <w:rPr>
          <w:rFonts w:ascii="Times New Roman" w:hAnsi="Times New Roman" w:cs="Times New Roman"/>
        </w:rPr>
        <w:t xml:space="preserve">en sesión de la Primera Sala del 22 de enero de 2020, </w:t>
      </w:r>
      <w:r w:rsidRPr="000F47D8">
        <w:rPr>
          <w:rFonts w:ascii="Times New Roman" w:hAnsi="Times New Roman" w:cs="Times New Roman"/>
        </w:rPr>
        <w:t xml:space="preserve">por mayoría de tres votos de la Señora </w:t>
      </w:r>
      <w:proofErr w:type="gramStart"/>
      <w:r w:rsidRPr="000F47D8">
        <w:rPr>
          <w:rFonts w:ascii="Times New Roman" w:hAnsi="Times New Roman" w:cs="Times New Roman"/>
        </w:rPr>
        <w:t>Ministra</w:t>
      </w:r>
      <w:proofErr w:type="gramEnd"/>
      <w:r w:rsidRPr="000F47D8">
        <w:rPr>
          <w:rFonts w:ascii="Times New Roman" w:hAnsi="Times New Roman" w:cs="Times New Roman"/>
        </w:rPr>
        <w:t xml:space="preserve"> Ana Margarita Ríos Farjat y de los Señores Ministros Alfredo Gutiérrez Ortiz Mena y Presidente </w:t>
      </w:r>
      <w:r w:rsidRPr="000F47D8">
        <w:rPr>
          <w:rFonts w:ascii="Times New Roman" w:hAnsi="Times New Roman" w:cs="Times New Roman"/>
          <w:iCs/>
        </w:rPr>
        <w:t>Juan Luis González Alcántara Carrancá</w:t>
      </w:r>
      <w:r w:rsidRPr="000F47D8">
        <w:rPr>
          <w:rFonts w:ascii="Times New Roman" w:hAnsi="Times New Roman" w:cs="Times New Roman"/>
        </w:rPr>
        <w:t>; y dos en contra emitidos por la Ministra Norma Lucía Piña Hernández y el Señor Ministro Jorge Mario Pardo Rebolledo, quienes se reservan el derecho de formular voto de minoría.</w:t>
      </w:r>
    </w:p>
    <w:p w14:paraId="18001FDA" w14:textId="57D2BDD8" w:rsidR="00AC58A8" w:rsidRDefault="00AC58A8" w:rsidP="000F47D8">
      <w:pPr>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8808"/>
      </w:tblGrid>
      <w:tr w:rsidR="00AC58A8" w:rsidRPr="0023400E" w14:paraId="1CE3E46A" w14:textId="77777777" w:rsidTr="00830EC0">
        <w:tc>
          <w:tcPr>
            <w:tcW w:w="8828" w:type="dxa"/>
            <w:tcBorders>
              <w:top w:val="single" w:sz="12" w:space="0" w:color="2E74B5" w:themeColor="accent5" w:themeShade="BF"/>
              <w:left w:val="single" w:sz="12" w:space="0" w:color="2E74B5" w:themeColor="accent5" w:themeShade="BF"/>
              <w:bottom w:val="single" w:sz="12" w:space="0" w:color="2E74B5" w:themeColor="accent5" w:themeShade="BF"/>
              <w:right w:val="single" w:sz="12" w:space="0" w:color="2E74B5" w:themeColor="accent5" w:themeShade="BF"/>
            </w:tcBorders>
            <w:shd w:val="clear" w:color="auto" w:fill="auto"/>
          </w:tcPr>
          <w:p w14:paraId="24B7E045" w14:textId="77777777" w:rsidR="00AC58A8" w:rsidRPr="0023400E" w:rsidRDefault="00AC58A8" w:rsidP="00830EC0">
            <w:pPr>
              <w:jc w:val="both"/>
              <w:rPr>
                <w:rFonts w:ascii="Times New Roman" w:hAnsi="Times New Roman" w:cs="Times New Roman"/>
                <w:sz w:val="20"/>
                <w:szCs w:val="20"/>
                <w:lang w:val="es-419"/>
              </w:rPr>
            </w:pPr>
            <w:bookmarkStart w:id="1" w:name="_Hlk92736347"/>
          </w:p>
          <w:p w14:paraId="3D237B67" w14:textId="77777777" w:rsidR="00AC58A8" w:rsidRDefault="00AC58A8" w:rsidP="00830EC0">
            <w:pPr>
              <w:jc w:val="both"/>
              <w:rPr>
                <w:rFonts w:ascii="Times New Roman" w:hAnsi="Times New Roman" w:cs="Times New Roman"/>
                <w:sz w:val="20"/>
                <w:szCs w:val="20"/>
                <w:lang w:val="es-419"/>
              </w:rPr>
            </w:pPr>
            <w:r w:rsidRPr="0023400E">
              <w:rPr>
                <w:rFonts w:ascii="Times New Roman" w:hAnsi="Times New Roman" w:cs="Times New Roman"/>
                <w:sz w:val="20"/>
                <w:szCs w:val="20"/>
                <w:lang w:val="es-419"/>
              </w:rPr>
              <w:t>Documento con fines de difusión. Las únicas fuentes oficiales son las sentencias emitidas por la Suprema Corte de Justicia de la Nación, así como el Semanario Judicial de la Federación y su Gaceta.</w:t>
            </w:r>
          </w:p>
          <w:p w14:paraId="1541EB13" w14:textId="77777777" w:rsidR="00AC58A8" w:rsidRPr="0023400E" w:rsidRDefault="00AC58A8" w:rsidP="00830EC0">
            <w:pPr>
              <w:jc w:val="both"/>
              <w:rPr>
                <w:rFonts w:ascii="Times New Roman" w:hAnsi="Times New Roman" w:cs="Times New Roman"/>
                <w:sz w:val="20"/>
                <w:szCs w:val="20"/>
                <w:lang w:val="es-419"/>
              </w:rPr>
            </w:pPr>
          </w:p>
        </w:tc>
      </w:tr>
      <w:bookmarkEnd w:id="1"/>
    </w:tbl>
    <w:p w14:paraId="0300B84E" w14:textId="77777777" w:rsidR="00D22117" w:rsidRPr="000F47D8" w:rsidRDefault="00D22117" w:rsidP="00AC58A8">
      <w:pPr>
        <w:jc w:val="both"/>
        <w:rPr>
          <w:rFonts w:ascii="Times New Roman" w:hAnsi="Times New Roman" w:cs="Times New Roman"/>
          <w:lang w:val="es-ES"/>
        </w:rPr>
      </w:pPr>
    </w:p>
    <w:sectPr w:rsidR="00D22117" w:rsidRPr="000F47D8" w:rsidSect="00F519FF">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2564" w14:textId="77777777" w:rsidR="00A844AC" w:rsidRDefault="00A844AC" w:rsidP="000F47D8">
      <w:r>
        <w:separator/>
      </w:r>
    </w:p>
  </w:endnote>
  <w:endnote w:type="continuationSeparator" w:id="0">
    <w:p w14:paraId="7C0CA8D7" w14:textId="77777777" w:rsidR="00A844AC" w:rsidRDefault="00A844AC" w:rsidP="000F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007913"/>
      <w:docPartObj>
        <w:docPartGallery w:val="Page Numbers (Bottom of Page)"/>
        <w:docPartUnique/>
      </w:docPartObj>
    </w:sdtPr>
    <w:sdtEndPr>
      <w:rPr>
        <w:rFonts w:ascii="Times New Roman" w:hAnsi="Times New Roman" w:cs="Times New Roman"/>
        <w:sz w:val="22"/>
        <w:szCs w:val="22"/>
      </w:rPr>
    </w:sdtEndPr>
    <w:sdtContent>
      <w:p w14:paraId="54893A8B" w14:textId="6AB7C08D" w:rsidR="000F47D8" w:rsidRPr="000F47D8" w:rsidRDefault="000F47D8">
        <w:pPr>
          <w:pStyle w:val="Piedepgina"/>
          <w:jc w:val="center"/>
          <w:rPr>
            <w:rFonts w:ascii="Times New Roman" w:hAnsi="Times New Roman" w:cs="Times New Roman"/>
            <w:sz w:val="22"/>
            <w:szCs w:val="22"/>
          </w:rPr>
        </w:pPr>
        <w:r w:rsidRPr="000F47D8">
          <w:rPr>
            <w:rFonts w:ascii="Times New Roman" w:hAnsi="Times New Roman" w:cs="Times New Roman"/>
            <w:sz w:val="22"/>
            <w:szCs w:val="22"/>
          </w:rPr>
          <w:fldChar w:fldCharType="begin"/>
        </w:r>
        <w:r w:rsidRPr="000F47D8">
          <w:rPr>
            <w:rFonts w:ascii="Times New Roman" w:hAnsi="Times New Roman" w:cs="Times New Roman"/>
            <w:sz w:val="22"/>
            <w:szCs w:val="22"/>
          </w:rPr>
          <w:instrText>PAGE   \* MERGEFORMAT</w:instrText>
        </w:r>
        <w:r w:rsidRPr="000F47D8">
          <w:rPr>
            <w:rFonts w:ascii="Times New Roman" w:hAnsi="Times New Roman" w:cs="Times New Roman"/>
            <w:sz w:val="22"/>
            <w:szCs w:val="22"/>
          </w:rPr>
          <w:fldChar w:fldCharType="separate"/>
        </w:r>
        <w:r w:rsidRPr="000F47D8">
          <w:rPr>
            <w:rFonts w:ascii="Times New Roman" w:hAnsi="Times New Roman" w:cs="Times New Roman"/>
            <w:sz w:val="22"/>
            <w:szCs w:val="22"/>
            <w:lang w:val="es-ES"/>
          </w:rPr>
          <w:t>2</w:t>
        </w:r>
        <w:r w:rsidRPr="000F47D8">
          <w:rPr>
            <w:rFonts w:ascii="Times New Roman" w:hAnsi="Times New Roman" w:cs="Times New Roman"/>
            <w:sz w:val="22"/>
            <w:szCs w:val="22"/>
          </w:rPr>
          <w:fldChar w:fldCharType="end"/>
        </w:r>
      </w:p>
    </w:sdtContent>
  </w:sdt>
  <w:p w14:paraId="7B314E4A" w14:textId="77777777" w:rsidR="000F47D8" w:rsidRDefault="000F47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DC65F" w14:textId="77777777" w:rsidR="00A844AC" w:rsidRDefault="00A844AC" w:rsidP="000F47D8">
      <w:r>
        <w:separator/>
      </w:r>
    </w:p>
  </w:footnote>
  <w:footnote w:type="continuationSeparator" w:id="0">
    <w:p w14:paraId="30EA2A00" w14:textId="77777777" w:rsidR="00A844AC" w:rsidRDefault="00A844AC" w:rsidP="000F4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07"/>
    <w:rsid w:val="000C6EAC"/>
    <w:rsid w:val="000F47D8"/>
    <w:rsid w:val="0012314E"/>
    <w:rsid w:val="00143B8F"/>
    <w:rsid w:val="00170ACD"/>
    <w:rsid w:val="0026428E"/>
    <w:rsid w:val="00325C66"/>
    <w:rsid w:val="00331007"/>
    <w:rsid w:val="00512918"/>
    <w:rsid w:val="005E3BE8"/>
    <w:rsid w:val="00A608E7"/>
    <w:rsid w:val="00A844AC"/>
    <w:rsid w:val="00AC58A8"/>
    <w:rsid w:val="00C420B8"/>
    <w:rsid w:val="00C6498D"/>
    <w:rsid w:val="00D13CFB"/>
    <w:rsid w:val="00D22117"/>
    <w:rsid w:val="00F45B2D"/>
    <w:rsid w:val="00F519FF"/>
    <w:rsid w:val="00F70E0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D4E7"/>
  <w15:chartTrackingRefBased/>
  <w15:docId w15:val="{4F6B49C4-AAF8-5C4F-A90E-855472EF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0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47D8"/>
    <w:pPr>
      <w:tabs>
        <w:tab w:val="center" w:pos="4419"/>
        <w:tab w:val="right" w:pos="8838"/>
      </w:tabs>
    </w:pPr>
  </w:style>
  <w:style w:type="character" w:customStyle="1" w:styleId="EncabezadoCar">
    <w:name w:val="Encabezado Car"/>
    <w:basedOn w:val="Fuentedeprrafopredeter"/>
    <w:link w:val="Encabezado"/>
    <w:uiPriority w:val="99"/>
    <w:rsid w:val="000F47D8"/>
  </w:style>
  <w:style w:type="paragraph" w:styleId="Piedepgina">
    <w:name w:val="footer"/>
    <w:basedOn w:val="Normal"/>
    <w:link w:val="PiedepginaCar"/>
    <w:uiPriority w:val="99"/>
    <w:unhideWhenUsed/>
    <w:rsid w:val="000F47D8"/>
    <w:pPr>
      <w:tabs>
        <w:tab w:val="center" w:pos="4419"/>
        <w:tab w:val="right" w:pos="8838"/>
      </w:tabs>
    </w:pPr>
  </w:style>
  <w:style w:type="character" w:customStyle="1" w:styleId="PiedepginaCar">
    <w:name w:val="Pie de página Car"/>
    <w:basedOn w:val="Fuentedeprrafopredeter"/>
    <w:link w:val="Piedepgina"/>
    <w:uiPriority w:val="99"/>
    <w:rsid w:val="000F47D8"/>
  </w:style>
  <w:style w:type="table" w:styleId="Tablaconcuadrcula">
    <w:name w:val="Table Grid"/>
    <w:basedOn w:val="Tablanormal"/>
    <w:uiPriority w:val="39"/>
    <w:rsid w:val="00AC58A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1177</Words>
  <Characters>6474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HERRERA MORENO</dc:creator>
  <cp:keywords/>
  <dc:description/>
  <cp:lastModifiedBy>BRUNO ALEJANDRO PATIÑO RENTERIA</cp:lastModifiedBy>
  <cp:revision>10</cp:revision>
  <dcterms:created xsi:type="dcterms:W3CDTF">2022-04-26T15:55:00Z</dcterms:created>
  <dcterms:modified xsi:type="dcterms:W3CDTF">2022-04-28T22:48:00Z</dcterms:modified>
</cp:coreProperties>
</file>