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A92C6" w14:textId="77777777" w:rsidR="006060D8" w:rsidRPr="006060D8" w:rsidRDefault="006060D8" w:rsidP="006060D8">
      <w:pPr>
        <w:spacing w:after="0" w:line="240" w:lineRule="auto"/>
        <w:jc w:val="both"/>
        <w:rPr>
          <w:rFonts w:ascii="Arial Nova" w:hAnsi="Arial Nova" w:cs="Times New Roman"/>
        </w:rPr>
      </w:pPr>
    </w:p>
    <w:p w14:paraId="6DED911D" w14:textId="77777777" w:rsidR="006060D8" w:rsidRPr="006060D8" w:rsidRDefault="006060D8" w:rsidP="006060D8">
      <w:pPr>
        <w:spacing w:after="0" w:line="240" w:lineRule="auto"/>
        <w:jc w:val="both"/>
        <w:rPr>
          <w:rFonts w:ascii="Arial Nova" w:hAnsi="Arial Nova" w:cs="Times New Roman"/>
        </w:rPr>
      </w:pPr>
    </w:p>
    <w:p w14:paraId="588354EE" w14:textId="525CC941" w:rsidR="00973CBC" w:rsidRPr="00046D48" w:rsidRDefault="006060D8" w:rsidP="00973CBC">
      <w:pPr>
        <w:shd w:val="clear" w:color="auto" w:fill="E7E6E6" w:themeFill="background2"/>
        <w:spacing w:after="0" w:line="276" w:lineRule="auto"/>
        <w:ind w:right="49"/>
        <w:jc w:val="center"/>
        <w:rPr>
          <w:rFonts w:ascii="Arial Nova" w:hAnsi="Arial Nova" w:cs="Times New Roman"/>
          <w:b/>
          <w:bCs/>
          <w:smallCaps/>
          <w:color w:val="002060"/>
        </w:rPr>
      </w:pPr>
      <w:r w:rsidRPr="006060D8">
        <w:rPr>
          <w:rFonts w:ascii="Arial Nova" w:hAnsi="Arial Nova" w:cs="Times New Roman"/>
          <w:b/>
          <w:bCs/>
          <w:smallCaps/>
          <w:color w:val="002060"/>
        </w:rPr>
        <w:t>LAS PERSONAS SUJETAS A PRISIÓN PREVENTIVA NO GOZAN DE LA PRERROGATIVA DE SER RECLUIDAS EN UN CENTRO DE INTERNAMIENTO CERCANO A SU DOMICILIO DURANTE SU JUICIO, ESPECIALMENTE CUANDO SON PROCESADAS POR DELITOS DE DELINCUENCIA ORGANIZADA</w:t>
      </w:r>
    </w:p>
    <w:p w14:paraId="415E1CFB" w14:textId="77777777" w:rsidR="00973CBC" w:rsidRPr="006060D8" w:rsidRDefault="00973CBC" w:rsidP="00973CBC">
      <w:pPr>
        <w:spacing w:after="0" w:line="240" w:lineRule="auto"/>
        <w:jc w:val="both"/>
        <w:rPr>
          <w:rFonts w:ascii="Arial Nova" w:hAnsi="Arial Nova" w:cs="Times New Roman"/>
        </w:rPr>
      </w:pPr>
    </w:p>
    <w:p w14:paraId="528A9FF3" w14:textId="77777777" w:rsidR="00973CBC" w:rsidRPr="006060D8" w:rsidRDefault="00973CBC" w:rsidP="00973CBC">
      <w:pPr>
        <w:spacing w:after="0" w:line="240" w:lineRule="auto"/>
        <w:jc w:val="both"/>
        <w:rPr>
          <w:rFonts w:ascii="Arial Nova" w:hAnsi="Arial Nova" w:cs="Times New Roman"/>
        </w:rPr>
      </w:pPr>
    </w:p>
    <w:p w14:paraId="2B271428" w14:textId="77777777" w:rsidR="00973CBC" w:rsidRPr="001624A8" w:rsidRDefault="00973CBC" w:rsidP="00AB4729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bookmarkStart w:id="0" w:name="_Hlk133506787"/>
      <w:bookmarkStart w:id="1" w:name="_Hlk133506760"/>
      <w:r w:rsidRPr="001624A8">
        <w:rPr>
          <w:rFonts w:ascii="Arial Nova" w:hAnsi="Arial Nova" w:cs="Times New Roman"/>
          <w:b/>
          <w:bCs/>
          <w:smallCaps/>
          <w:color w:val="002060"/>
        </w:rPr>
        <w:t>Ponente: Ministr</w:t>
      </w:r>
      <w:r>
        <w:rPr>
          <w:rFonts w:ascii="Arial Nova" w:hAnsi="Arial Nova" w:cs="Times New Roman"/>
          <w:b/>
          <w:bCs/>
          <w:smallCaps/>
          <w:color w:val="002060"/>
        </w:rPr>
        <w:t>o Juan Luis González Alcántara Carrancá</w:t>
      </w:r>
      <w:r w:rsidRPr="001624A8">
        <w:rPr>
          <w:rFonts w:ascii="Arial Nova" w:hAnsi="Arial Nova" w:cs="Times New Roman"/>
          <w:smallCaps/>
          <w:color w:val="002060"/>
        </w:rPr>
        <w:t>.</w:t>
      </w:r>
    </w:p>
    <w:p w14:paraId="60F84267" w14:textId="3630C32F" w:rsidR="00973CBC" w:rsidRDefault="00973CBC" w:rsidP="00AB4729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  <w:color w:val="002060"/>
        </w:rPr>
      </w:pPr>
      <w:bookmarkStart w:id="2" w:name="_Hlk133506801"/>
      <w:bookmarkEnd w:id="0"/>
      <w:r w:rsidRPr="001624A8">
        <w:rPr>
          <w:rFonts w:ascii="Arial Nova" w:hAnsi="Arial Nova" w:cs="Times New Roman"/>
          <w:smallCaps/>
          <w:color w:val="002060"/>
        </w:rPr>
        <w:t>Secretari</w:t>
      </w:r>
      <w:r>
        <w:rPr>
          <w:rFonts w:ascii="Arial Nova" w:hAnsi="Arial Nova" w:cs="Times New Roman"/>
          <w:smallCaps/>
          <w:color w:val="002060"/>
        </w:rPr>
        <w:t>a</w:t>
      </w:r>
      <w:r w:rsidRPr="001624A8">
        <w:rPr>
          <w:rFonts w:ascii="Arial Nova" w:hAnsi="Arial Nova" w:cs="Times New Roman"/>
          <w:smallCaps/>
          <w:color w:val="002060"/>
        </w:rPr>
        <w:t xml:space="preserve">: </w:t>
      </w:r>
      <w:bookmarkEnd w:id="2"/>
      <w:r>
        <w:rPr>
          <w:rFonts w:ascii="Arial Nova" w:hAnsi="Arial Nova" w:cs="Times New Roman"/>
          <w:smallCaps/>
          <w:color w:val="002060"/>
        </w:rPr>
        <w:t>Rosalba Rodríguez Mireles</w:t>
      </w:r>
    </w:p>
    <w:p w14:paraId="53209265" w14:textId="4655039A" w:rsidR="00973CBC" w:rsidRPr="004C2D17" w:rsidRDefault="00973CBC" w:rsidP="00AB4729">
      <w:pPr>
        <w:shd w:val="clear" w:color="auto" w:fill="EDEDED" w:themeFill="accent3" w:themeFillTint="33"/>
        <w:spacing w:after="0" w:line="240" w:lineRule="auto"/>
        <w:ind w:left="2552"/>
        <w:jc w:val="right"/>
        <w:rPr>
          <w:rFonts w:ascii="Arial Nova" w:hAnsi="Arial Nova" w:cs="Times New Roman"/>
          <w:smallCaps/>
        </w:rPr>
      </w:pPr>
      <w:bookmarkStart w:id="3" w:name="_Hlk133506816"/>
      <w:r w:rsidRPr="001624A8">
        <w:rPr>
          <w:rFonts w:ascii="Arial Nova" w:hAnsi="Arial Nova" w:cs="Times New Roman"/>
          <w:smallCaps/>
          <w:color w:val="002060"/>
        </w:rPr>
        <w:t xml:space="preserve">Expediente: Amparo en </w:t>
      </w:r>
      <w:r>
        <w:rPr>
          <w:rFonts w:ascii="Arial Nova" w:hAnsi="Arial Nova" w:cs="Times New Roman"/>
          <w:smallCaps/>
          <w:color w:val="002060"/>
        </w:rPr>
        <w:t>Revisión 248/2021</w:t>
      </w:r>
      <w:r w:rsidRPr="004C2D17">
        <w:rPr>
          <w:rFonts w:ascii="Arial Nova" w:hAnsi="Arial Nova" w:cs="Times New Roman"/>
          <w:smallCaps/>
        </w:rPr>
        <w:t>.</w:t>
      </w:r>
      <w:bookmarkEnd w:id="1"/>
      <w:bookmarkEnd w:id="3"/>
    </w:p>
    <w:p w14:paraId="239D0D80" w14:textId="77777777" w:rsidR="00973CBC" w:rsidRDefault="00973CBC" w:rsidP="00973CBC">
      <w:pPr>
        <w:spacing w:after="0" w:line="240" w:lineRule="auto"/>
        <w:jc w:val="center"/>
        <w:rPr>
          <w:rFonts w:ascii="Arial Nova" w:hAnsi="Arial Nova" w:cs="Times New Roman"/>
          <w:sz w:val="20"/>
          <w:szCs w:val="20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973CBC" w14:paraId="26E96114" w14:textId="77777777" w:rsidTr="00005FCF">
        <w:tc>
          <w:tcPr>
            <w:tcW w:w="8828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  <w:shd w:val="clear" w:color="auto" w:fill="auto"/>
          </w:tcPr>
          <w:p w14:paraId="5B1BB50D" w14:textId="77777777" w:rsidR="00973CBC" w:rsidRPr="00046D48" w:rsidRDefault="00973CBC" w:rsidP="00005FCF">
            <w:pPr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  <w:p w14:paraId="50FD8D7C" w14:textId="77777777" w:rsidR="00973CBC" w:rsidRPr="00B323DA" w:rsidRDefault="00973CBC" w:rsidP="00005FCF">
            <w:pPr>
              <w:shd w:val="clear" w:color="auto" w:fill="FFFFFF" w:themeFill="background1"/>
              <w:spacing w:line="276" w:lineRule="auto"/>
              <w:rPr>
                <w:rFonts w:ascii="Arial Nova" w:hAnsi="Arial Nova" w:cs="Times New Roman"/>
                <w:smallCaps/>
                <w:color w:val="002060"/>
                <w:sz w:val="24"/>
                <w:szCs w:val="24"/>
              </w:rPr>
            </w:pPr>
            <w:r w:rsidRPr="00B323DA">
              <w:rPr>
                <w:rFonts w:ascii="Arial Nova" w:hAnsi="Arial Nova" w:cs="Times New Roman"/>
                <w:b/>
                <w:bCs/>
                <w:smallCaps/>
                <w:color w:val="000F2E"/>
                <w:sz w:val="28"/>
                <w:szCs w:val="28"/>
              </w:rPr>
              <w:t>R</w:t>
            </w:r>
            <w:r w:rsidRPr="00B323DA">
              <w:rPr>
                <w:rFonts w:ascii="Arial Nova" w:hAnsi="Arial Nova" w:cs="Times New Roman"/>
                <w:b/>
                <w:bCs/>
                <w:smallCaps/>
                <w:color w:val="000F2E"/>
                <w:sz w:val="24"/>
                <w:szCs w:val="24"/>
              </w:rPr>
              <w:t>esumen:</w:t>
            </w:r>
          </w:p>
          <w:p w14:paraId="7FA1D4A0" w14:textId="77777777" w:rsidR="006060D8" w:rsidRDefault="006060D8" w:rsidP="00973CBC">
            <w:pPr>
              <w:jc w:val="both"/>
              <w:rPr>
                <w:rFonts w:ascii="Arial Nova" w:hAnsi="Arial Nova" w:cs="Arial"/>
                <w:lang w:val="es-419"/>
              </w:rPr>
            </w:pPr>
          </w:p>
          <w:p w14:paraId="0B760C22" w14:textId="5FB240AA" w:rsidR="00973CBC" w:rsidRDefault="00973CBC" w:rsidP="00973CBC">
            <w:pPr>
              <w:jc w:val="both"/>
              <w:rPr>
                <w:rFonts w:ascii="Arial Nova" w:hAnsi="Arial Nova" w:cs="Arial"/>
                <w:lang w:val="es-419"/>
              </w:rPr>
            </w:pPr>
            <w:r w:rsidRPr="00973CBC">
              <w:rPr>
                <w:rFonts w:ascii="Arial Nova" w:hAnsi="Arial Nova" w:cs="Arial"/>
                <w:lang w:val="es-419"/>
              </w:rPr>
              <w:t xml:space="preserve">Una persona sujeta a prisión preventiva por el delito de delincuencia organizada promovió amparo indirecto en contra de la determinación que negó su solicitud </w:t>
            </w:r>
            <w:r w:rsidR="006060D8">
              <w:rPr>
                <w:rFonts w:ascii="Arial Nova" w:hAnsi="Arial Nova" w:cs="Arial"/>
                <w:lang w:val="es-419"/>
              </w:rPr>
              <w:t>par</w:t>
            </w:r>
            <w:r w:rsidRPr="00973CBC">
              <w:rPr>
                <w:rFonts w:ascii="Arial Nova" w:hAnsi="Arial Nova" w:cs="Arial"/>
                <w:lang w:val="es-419"/>
              </w:rPr>
              <w:t>a ser trasladado al Centro Federal de Readaptación Social más cercano a su domicilio.</w:t>
            </w:r>
          </w:p>
          <w:p w14:paraId="0D2D9A23" w14:textId="77777777" w:rsidR="00973CBC" w:rsidRPr="00973CBC" w:rsidRDefault="00973CBC" w:rsidP="00973CBC">
            <w:pPr>
              <w:jc w:val="both"/>
              <w:rPr>
                <w:rFonts w:ascii="Arial Nova" w:hAnsi="Arial Nova" w:cs="Arial"/>
                <w:lang w:val="es-419"/>
              </w:rPr>
            </w:pPr>
          </w:p>
          <w:p w14:paraId="0B878090" w14:textId="069C8DA5" w:rsidR="00973CBC" w:rsidRDefault="00973CBC" w:rsidP="00973CBC">
            <w:pPr>
              <w:jc w:val="both"/>
              <w:rPr>
                <w:rFonts w:ascii="Arial Nova" w:hAnsi="Arial Nova" w:cs="Arial"/>
              </w:rPr>
            </w:pPr>
            <w:r w:rsidRPr="00973CBC">
              <w:rPr>
                <w:rFonts w:ascii="Arial Nova" w:hAnsi="Arial Nova" w:cs="Arial"/>
                <w:lang w:val="es-419"/>
              </w:rPr>
              <w:t>La Primera Sala analizó si la prerrogativa que permite a las personas privadas de la libertad a ser recluidas en un centro de internamiento más cercano a su domicilio es extensiva para aquellas personas procesadas por el delito de delincuencia organizada.</w:t>
            </w:r>
          </w:p>
          <w:p w14:paraId="685BDAE5" w14:textId="77777777" w:rsidR="00973CBC" w:rsidRPr="00346469" w:rsidRDefault="00973CBC" w:rsidP="00005FCF">
            <w:pPr>
              <w:pStyle w:val="corte4fondo"/>
              <w:spacing w:after="240" w:line="240" w:lineRule="auto"/>
              <w:ind w:firstLine="0"/>
              <w:rPr>
                <w:rFonts w:ascii="Arial Nova" w:hAnsi="Arial Nova" w:cs="Arial"/>
                <w:bCs/>
                <w:sz w:val="22"/>
                <w:szCs w:val="22"/>
                <w:lang w:val="es-MX"/>
              </w:rPr>
            </w:pPr>
          </w:p>
        </w:tc>
      </w:tr>
    </w:tbl>
    <w:p w14:paraId="623E0698" w14:textId="77777777" w:rsidR="00973CBC" w:rsidRDefault="00973CBC" w:rsidP="00973CBC"/>
    <w:p w14:paraId="008FD641" w14:textId="77777777" w:rsidR="00973CBC" w:rsidRPr="00642B2A" w:rsidRDefault="00973CBC" w:rsidP="006060D8">
      <w:pPr>
        <w:shd w:val="clear" w:color="auto" w:fill="B4C6E7" w:themeFill="accent1" w:themeFillTint="66"/>
        <w:spacing w:after="0" w:line="240" w:lineRule="auto"/>
        <w:jc w:val="right"/>
        <w:rPr>
          <w:rFonts w:ascii="Arial Nova" w:hAnsi="Arial Nova" w:cs="Times New Roman"/>
          <w:smallCaps/>
          <w:color w:val="000F2E"/>
          <w:sz w:val="24"/>
          <w:szCs w:val="24"/>
        </w:rPr>
      </w:pPr>
      <w:r w:rsidRPr="00B323DA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A</w:t>
      </w:r>
      <w:r w:rsidRPr="00B323DA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>ntecedentes:</w:t>
      </w:r>
    </w:p>
    <w:p w14:paraId="291B37B5" w14:textId="77777777" w:rsidR="00973CBC" w:rsidRPr="00E32435" w:rsidRDefault="00973CBC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6CB807FE" w14:textId="58FA0AF1" w:rsidR="002C2B58" w:rsidRPr="002C2B58" w:rsidRDefault="002C2B58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  <w:lang w:val="es-419"/>
        </w:rPr>
      </w:pP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Un </w:t>
      </w:r>
      <w:r>
        <w:rPr>
          <w:rFonts w:ascii="Arial Nova" w:hAnsi="Arial Nova" w:cs="Times New Roman"/>
          <w:sz w:val="24"/>
          <w:szCs w:val="24"/>
          <w:lang w:val="es-419"/>
        </w:rPr>
        <w:t xml:space="preserve">hombre 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>en prisión preventiva</w:t>
      </w:r>
      <w:r w:rsidR="00DB5B85">
        <w:rPr>
          <w:rFonts w:ascii="Arial Nova" w:hAnsi="Arial Nova" w:cs="Times New Roman"/>
          <w:sz w:val="24"/>
          <w:szCs w:val="24"/>
          <w:lang w:val="es-419"/>
        </w:rPr>
        <w:t xml:space="preserve">, 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>procesad</w:t>
      </w:r>
      <w:r>
        <w:rPr>
          <w:rFonts w:ascii="Arial Nova" w:hAnsi="Arial Nova" w:cs="Times New Roman"/>
          <w:sz w:val="24"/>
          <w:szCs w:val="24"/>
          <w:lang w:val="es-419"/>
        </w:rPr>
        <w:t>o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 por el delito de delincuencia organizada</w:t>
      </w:r>
      <w:r w:rsidR="00DB5B85">
        <w:rPr>
          <w:rFonts w:ascii="Arial Nova" w:hAnsi="Arial Nova" w:cs="Times New Roman"/>
          <w:sz w:val="24"/>
          <w:szCs w:val="24"/>
          <w:lang w:val="es-419"/>
        </w:rPr>
        <w:t>,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 solicitó </w:t>
      </w:r>
      <w:r>
        <w:rPr>
          <w:rFonts w:ascii="Arial Nova" w:hAnsi="Arial Nova" w:cs="Times New Roman"/>
          <w:sz w:val="24"/>
          <w:szCs w:val="24"/>
          <w:lang w:val="es-419"/>
        </w:rPr>
        <w:t>que lo trasladaran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 a un Centro Federal de Readaptación Social más cercano a su domicilio. El Juez de Distrito de Procesos Penales Federales </w:t>
      </w:r>
      <w:r>
        <w:rPr>
          <w:rFonts w:ascii="Arial Nova" w:hAnsi="Arial Nova" w:cs="Times New Roman"/>
          <w:sz w:val="24"/>
          <w:szCs w:val="24"/>
          <w:lang w:val="es-419"/>
        </w:rPr>
        <w:t xml:space="preserve">le negó la solicitud de traslado, por lo que 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>el inculpado apeló</w:t>
      </w:r>
      <w:r w:rsidR="00BE1E6D">
        <w:rPr>
          <w:rFonts w:ascii="Arial Nova" w:hAnsi="Arial Nova" w:cs="Times New Roman"/>
          <w:sz w:val="24"/>
          <w:szCs w:val="24"/>
          <w:lang w:val="es-419"/>
        </w:rPr>
        <w:t>; si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n embargo, la sentencia de segunda instancia confirmó la determinación del </w:t>
      </w:r>
      <w:r>
        <w:rPr>
          <w:rFonts w:ascii="Arial Nova" w:hAnsi="Arial Nova" w:cs="Times New Roman"/>
          <w:sz w:val="24"/>
          <w:szCs w:val="24"/>
          <w:lang w:val="es-419"/>
        </w:rPr>
        <w:t>J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>uez de Distrito.</w:t>
      </w:r>
    </w:p>
    <w:p w14:paraId="2A42BD47" w14:textId="77777777" w:rsidR="006060D8" w:rsidRDefault="006060D8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  <w:lang w:val="es-419"/>
        </w:rPr>
      </w:pPr>
    </w:p>
    <w:p w14:paraId="6B17963A" w14:textId="6101E476" w:rsidR="002C2B58" w:rsidRPr="002C2B58" w:rsidRDefault="002C2B58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  <w:lang w:val="es-419"/>
        </w:rPr>
      </w:pP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Inconforme con esto, el procesado promovió juicio de amparo. El Tribunal Unitario </w:t>
      </w:r>
      <w:r w:rsidR="003B5FAB">
        <w:rPr>
          <w:rFonts w:ascii="Arial Nova" w:hAnsi="Arial Nova" w:cs="Times New Roman"/>
          <w:sz w:val="24"/>
          <w:szCs w:val="24"/>
          <w:lang w:val="es-419"/>
        </w:rPr>
        <w:t>del conocimiento</w:t>
      </w:r>
      <w:r>
        <w:rPr>
          <w:rFonts w:ascii="Arial Nova" w:hAnsi="Arial Nova" w:cs="Times New Roman"/>
          <w:sz w:val="24"/>
          <w:szCs w:val="24"/>
          <w:lang w:val="es-419"/>
        </w:rPr>
        <w:t xml:space="preserve"> le negó el amparo,</w:t>
      </w:r>
      <w:r w:rsidR="006060D8">
        <w:rPr>
          <w:rFonts w:ascii="Arial Nova" w:hAnsi="Arial Nova" w:cs="Times New Roman"/>
          <w:sz w:val="24"/>
          <w:szCs w:val="24"/>
          <w:lang w:val="es-419"/>
        </w:rPr>
        <w:t xml:space="preserve"> decisión contra la cual</w:t>
      </w:r>
      <w:r>
        <w:rPr>
          <w:rFonts w:ascii="Arial Nova" w:hAnsi="Arial Nova" w:cs="Times New Roman"/>
          <w:sz w:val="24"/>
          <w:szCs w:val="24"/>
          <w:lang w:val="es-419"/>
        </w:rPr>
        <w:t xml:space="preserve"> 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>el imputado interpuso recurso de revisión</w:t>
      </w:r>
      <w:r w:rsidR="006060D8">
        <w:rPr>
          <w:rFonts w:ascii="Arial Nova" w:hAnsi="Arial Nova" w:cs="Times New Roman"/>
          <w:sz w:val="24"/>
          <w:szCs w:val="24"/>
          <w:lang w:val="es-419"/>
        </w:rPr>
        <w:t>, mismo que fue remitido a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 la Suprema Corte de Justicia de la Nación.</w:t>
      </w:r>
    </w:p>
    <w:p w14:paraId="62B2AE7C" w14:textId="77777777" w:rsidR="006060D8" w:rsidRDefault="006060D8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  <w:lang w:val="es-419"/>
        </w:rPr>
      </w:pPr>
    </w:p>
    <w:p w14:paraId="5979A806" w14:textId="5D640F7A" w:rsidR="002C2B58" w:rsidRPr="002C2B58" w:rsidRDefault="002C2B58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  <w:lang w:val="es-419"/>
        </w:rPr>
      </w:pP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La Primera Sala de la Suprema Corte conoció del asunto para determinar si la prerrogativa que permite a las personas privadas de la libertad compurgar su pena en un centro de reclusión más cercano a su domicilio es aplicable a aquellas </w:t>
      </w:r>
      <w:r w:rsidRPr="002C2B58">
        <w:rPr>
          <w:rFonts w:ascii="Arial Nova" w:hAnsi="Arial Nova" w:cs="Times New Roman"/>
          <w:sz w:val="24"/>
          <w:szCs w:val="24"/>
          <w:lang w:val="es-419"/>
        </w:rPr>
        <w:lastRenderedPageBreak/>
        <w:t xml:space="preserve">personas </w:t>
      </w:r>
      <w:r w:rsidR="009459EC">
        <w:rPr>
          <w:rFonts w:ascii="Arial Nova" w:hAnsi="Arial Nova" w:cs="Times New Roman"/>
          <w:sz w:val="24"/>
          <w:szCs w:val="24"/>
          <w:lang w:val="es-419"/>
        </w:rPr>
        <w:t>que estén siendo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 procesadas por el delito de delincuencia organizada</w:t>
      </w:r>
      <w:r w:rsidR="009459EC">
        <w:rPr>
          <w:rFonts w:ascii="Arial Nova" w:hAnsi="Arial Nova" w:cs="Times New Roman"/>
          <w:sz w:val="24"/>
          <w:szCs w:val="24"/>
          <w:lang w:val="es-419"/>
        </w:rPr>
        <w:t xml:space="preserve"> o ya hayan recibido una sentencia condenatoria por la comisión de dicho delito</w:t>
      </w:r>
      <w:r>
        <w:rPr>
          <w:rFonts w:ascii="Arial Nova" w:hAnsi="Arial Nova" w:cs="Times New Roman"/>
          <w:sz w:val="24"/>
          <w:szCs w:val="24"/>
          <w:lang w:val="es-419"/>
        </w:rPr>
        <w:t>.</w:t>
      </w:r>
    </w:p>
    <w:p w14:paraId="4F513F2A" w14:textId="77777777" w:rsidR="00973CBC" w:rsidRDefault="00973CBC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7AF10698" w14:textId="77777777" w:rsidR="00973CBC" w:rsidRPr="008B0FEE" w:rsidRDefault="00973CBC" w:rsidP="006060D8">
      <w:pPr>
        <w:shd w:val="clear" w:color="auto" w:fill="B4C6E7" w:themeFill="accent1" w:themeFillTint="66"/>
        <w:spacing w:after="0" w:line="240" w:lineRule="auto"/>
        <w:jc w:val="right"/>
        <w:rPr>
          <w:rFonts w:ascii="Arial Nova" w:hAnsi="Arial Nova" w:cs="Times New Roman"/>
          <w:smallCaps/>
          <w:color w:val="000F2E"/>
          <w:sz w:val="24"/>
          <w:szCs w:val="24"/>
        </w:rPr>
      </w:pPr>
      <w:r w:rsidRPr="00B323DA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D</w:t>
      </w:r>
      <w:r w:rsidRPr="00B323DA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 xml:space="preserve">ecisión de la </w:t>
      </w:r>
      <w:r w:rsidRPr="00B323DA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S</w:t>
      </w:r>
      <w:r w:rsidRPr="00B323DA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>ala:</w:t>
      </w:r>
    </w:p>
    <w:p w14:paraId="5BB9BE1C" w14:textId="77777777" w:rsidR="006060D8" w:rsidRDefault="006060D8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</w:p>
    <w:p w14:paraId="018C9F1A" w14:textId="7BDCABDA" w:rsidR="002C2B58" w:rsidRPr="002C2B58" w:rsidRDefault="002C2B58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  <w:r w:rsidRPr="002C2B58">
        <w:rPr>
          <w:rFonts w:ascii="Arial Nova" w:hAnsi="Arial Nova" w:cs="Arial"/>
          <w:sz w:val="24"/>
          <w:szCs w:val="24"/>
          <w:lang w:val="es-419"/>
        </w:rPr>
        <w:t xml:space="preserve">La Primera Sala consideró que las personas en prisión preventiva </w:t>
      </w:r>
      <w:r w:rsidR="00BC5A7B">
        <w:rPr>
          <w:rFonts w:ascii="Arial Nova" w:hAnsi="Arial Nova" w:cs="Arial"/>
          <w:sz w:val="24"/>
          <w:szCs w:val="24"/>
          <w:lang w:val="es-419"/>
        </w:rPr>
        <w:t xml:space="preserve">están sujetas a </w:t>
      </w:r>
      <w:r w:rsidRPr="002C2B58">
        <w:rPr>
          <w:rFonts w:ascii="Arial Nova" w:hAnsi="Arial Nova" w:cs="Arial"/>
          <w:sz w:val="24"/>
          <w:szCs w:val="24"/>
          <w:lang w:val="es-419"/>
        </w:rPr>
        <w:t>una regulación especial en atención a que la finalidad de esa medida consiste en asegurar la presencia del inculpado, la ejecución de la pena</w:t>
      </w:r>
      <w:r w:rsidR="00D61CD4">
        <w:rPr>
          <w:rFonts w:ascii="Arial Nova" w:hAnsi="Arial Nova" w:cs="Arial"/>
          <w:sz w:val="24"/>
          <w:szCs w:val="24"/>
          <w:lang w:val="es-419"/>
        </w:rPr>
        <w:t xml:space="preserve">, </w:t>
      </w:r>
      <w:r w:rsidRPr="002C2B58">
        <w:rPr>
          <w:rFonts w:ascii="Arial Nova" w:hAnsi="Arial Nova" w:cs="Arial"/>
          <w:sz w:val="24"/>
          <w:szCs w:val="24"/>
          <w:lang w:val="es-419"/>
        </w:rPr>
        <w:t>preservar la integridad de la víctima u ofendid</w:t>
      </w:r>
      <w:r w:rsidR="00D61CD4">
        <w:rPr>
          <w:rFonts w:ascii="Arial Nova" w:hAnsi="Arial Nova" w:cs="Arial"/>
          <w:sz w:val="24"/>
          <w:szCs w:val="24"/>
          <w:lang w:val="es-419"/>
        </w:rPr>
        <w:t>o y privilegiar</w:t>
      </w:r>
      <w:r w:rsidRPr="002C2B58">
        <w:rPr>
          <w:rFonts w:ascii="Arial Nova" w:hAnsi="Arial Nova" w:cs="Arial"/>
          <w:sz w:val="24"/>
          <w:szCs w:val="24"/>
          <w:lang w:val="es-419"/>
        </w:rPr>
        <w:t xml:space="preserve"> la tranquilidad social.</w:t>
      </w:r>
      <w:r w:rsidR="00A85EBF">
        <w:rPr>
          <w:rFonts w:ascii="Arial Nova" w:hAnsi="Arial Nova" w:cs="Arial"/>
          <w:sz w:val="24"/>
          <w:szCs w:val="24"/>
          <w:lang w:val="es-419"/>
        </w:rPr>
        <w:t xml:space="preserve"> Sobre este punto se destacó que l</w:t>
      </w:r>
      <w:r w:rsidRPr="002C2B58">
        <w:rPr>
          <w:rFonts w:ascii="Arial Nova" w:hAnsi="Arial Nova" w:cs="Arial"/>
          <w:sz w:val="24"/>
          <w:szCs w:val="24"/>
          <w:lang w:val="es-419"/>
        </w:rPr>
        <w:t>a prisión preventiva se fija conforme a la cercanía al lugar donde se desarrolla su procedimiento.</w:t>
      </w:r>
    </w:p>
    <w:p w14:paraId="6022CEC3" w14:textId="77777777" w:rsidR="006060D8" w:rsidRDefault="006060D8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</w:p>
    <w:p w14:paraId="4E79E266" w14:textId="77777777" w:rsidR="003B5FAB" w:rsidRDefault="002C2B58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  <w:r w:rsidRPr="002C2B58">
        <w:rPr>
          <w:rFonts w:ascii="Arial Nova" w:hAnsi="Arial Nova" w:cs="Arial"/>
          <w:sz w:val="24"/>
          <w:szCs w:val="24"/>
          <w:lang w:val="es-419"/>
        </w:rPr>
        <w:t xml:space="preserve">Así mismo, </w:t>
      </w:r>
      <w:r w:rsidR="00A85EBF">
        <w:rPr>
          <w:rFonts w:ascii="Arial Nova" w:hAnsi="Arial Nova" w:cs="Arial"/>
          <w:sz w:val="24"/>
          <w:szCs w:val="24"/>
          <w:lang w:val="es-419"/>
        </w:rPr>
        <w:t xml:space="preserve">la Sala </w:t>
      </w:r>
      <w:r w:rsidRPr="002C2B58">
        <w:rPr>
          <w:rFonts w:ascii="Arial Nova" w:hAnsi="Arial Nova" w:cs="Arial"/>
          <w:sz w:val="24"/>
          <w:szCs w:val="24"/>
          <w:lang w:val="es-419"/>
        </w:rPr>
        <w:t>sostuvo que el derecho de las personas a estar internadas en el centro de reclusión más cercano a su domicilio, previsto en el artículo 18, párrafo octavo de la Constitución</w:t>
      </w:r>
      <w:r w:rsidR="003B5FAB">
        <w:rPr>
          <w:rFonts w:ascii="Arial Nova" w:hAnsi="Arial Nova" w:cs="Arial"/>
          <w:sz w:val="24"/>
          <w:szCs w:val="24"/>
          <w:lang w:val="es-419"/>
        </w:rPr>
        <w:t xml:space="preserve"> política del país</w:t>
      </w:r>
      <w:r w:rsidR="00A85EBF">
        <w:rPr>
          <w:rFonts w:ascii="Arial Nova" w:hAnsi="Arial Nova" w:cs="Arial"/>
          <w:sz w:val="24"/>
          <w:szCs w:val="24"/>
          <w:lang w:val="es-419"/>
        </w:rPr>
        <w:t>,</w:t>
      </w:r>
      <w:r w:rsidRPr="002C2B58">
        <w:rPr>
          <w:rFonts w:ascii="Arial Nova" w:hAnsi="Arial Nova" w:cs="Arial"/>
          <w:sz w:val="24"/>
          <w:szCs w:val="24"/>
          <w:vertAlign w:val="superscript"/>
          <w:lang w:val="es-419"/>
        </w:rPr>
        <w:footnoteReference w:id="1"/>
      </w:r>
      <w:r w:rsidRPr="002C2B58">
        <w:rPr>
          <w:rFonts w:ascii="Arial Nova" w:hAnsi="Arial Nova" w:cs="Arial"/>
          <w:sz w:val="24"/>
          <w:szCs w:val="24"/>
          <w:lang w:val="es-419"/>
        </w:rPr>
        <w:t xml:space="preserve"> sólo es aplicable a los casos donde las personas no hayan sido sentenciadas o se encuentren procesadas por el delito de delincuencia organizada o requieran alguna medida especial de seguridad. </w:t>
      </w:r>
    </w:p>
    <w:p w14:paraId="1BDFBBDA" w14:textId="77777777" w:rsidR="003B5FAB" w:rsidRDefault="003B5FAB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</w:p>
    <w:p w14:paraId="0AC04BF7" w14:textId="1883B729" w:rsidR="002C2B58" w:rsidRPr="002C2B58" w:rsidRDefault="003B5FAB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  <w:r>
        <w:rPr>
          <w:rFonts w:ascii="Arial Nova" w:hAnsi="Arial Nova" w:cs="Arial"/>
          <w:sz w:val="24"/>
          <w:szCs w:val="24"/>
          <w:lang w:val="es-419"/>
        </w:rPr>
        <w:t>Al respecto, el Alto Tribunal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 xml:space="preserve"> señaló que </w:t>
      </w:r>
      <w:r w:rsidR="00247024">
        <w:rPr>
          <w:rFonts w:ascii="Arial Nova" w:hAnsi="Arial Nova" w:cs="Arial"/>
          <w:sz w:val="24"/>
          <w:szCs w:val="24"/>
          <w:lang w:val="es-419"/>
        </w:rPr>
        <w:t>el derecho a estar recl</w:t>
      </w:r>
      <w:r w:rsidR="00FC60D1">
        <w:rPr>
          <w:rFonts w:ascii="Arial Nova" w:hAnsi="Arial Nova" w:cs="Arial"/>
          <w:sz w:val="24"/>
          <w:szCs w:val="24"/>
          <w:lang w:val="es-419"/>
        </w:rPr>
        <w:t xml:space="preserve">uido </w:t>
      </w:r>
      <w:r w:rsidR="003E3D12">
        <w:rPr>
          <w:rFonts w:ascii="Arial Nova" w:hAnsi="Arial Nova" w:cs="Arial"/>
          <w:sz w:val="24"/>
          <w:szCs w:val="24"/>
          <w:lang w:val="es-419"/>
        </w:rPr>
        <w:t xml:space="preserve">en el lugar más cercano al domicilio 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>no es un derecho autónomo, sino que proviene de la reinserción social</w:t>
      </w:r>
      <w:r w:rsidR="003E3D12">
        <w:rPr>
          <w:rFonts w:ascii="Arial Nova" w:hAnsi="Arial Nova" w:cs="Arial"/>
          <w:sz w:val="24"/>
          <w:szCs w:val="24"/>
          <w:lang w:val="es-419"/>
        </w:rPr>
        <w:t xml:space="preserve"> como objetivo del sistema penitenciario, el cual está enfocado hacia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 xml:space="preserve"> las personas sentenciadas y no a las que se encuentran en un proceso pendiente de resolución.</w:t>
      </w:r>
    </w:p>
    <w:p w14:paraId="1779AD67" w14:textId="77777777" w:rsidR="006060D8" w:rsidRDefault="006060D8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</w:p>
    <w:p w14:paraId="4CF5BA1D" w14:textId="29787414" w:rsidR="002C2B58" w:rsidRDefault="003E3D12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  <w:r>
        <w:rPr>
          <w:rFonts w:ascii="Arial Nova" w:hAnsi="Arial Nova" w:cs="Arial"/>
          <w:sz w:val="24"/>
          <w:szCs w:val="24"/>
          <w:lang w:val="es-419"/>
        </w:rPr>
        <w:t>Por lo anterior, l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 xml:space="preserve">a Primera Sala concluyó que el derecho a compurgar la pena en un centro de reclusión </w:t>
      </w:r>
      <w:r w:rsidR="00FA3B71">
        <w:rPr>
          <w:rFonts w:ascii="Arial Nova" w:hAnsi="Arial Nova" w:cs="Arial"/>
          <w:sz w:val="24"/>
          <w:szCs w:val="24"/>
          <w:lang w:val="es-419"/>
        </w:rPr>
        <w:t xml:space="preserve">social 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>cercano al domicilio</w:t>
      </w:r>
      <w:r w:rsidR="00FA3B71">
        <w:rPr>
          <w:rFonts w:ascii="Arial Nova" w:hAnsi="Arial Nova" w:cs="Arial"/>
          <w:sz w:val="24"/>
          <w:szCs w:val="24"/>
          <w:lang w:val="es-419"/>
        </w:rPr>
        <w:t xml:space="preserve"> del imputado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 xml:space="preserve">, que tiene como finalidad propiciar la reintegración a la comunidad como forma de reinserción, es exclusivo para todas aquellas personas que no se encuentran sentenciadas o procesadas por el delito </w:t>
      </w:r>
      <w:r w:rsidR="003B5FAB">
        <w:rPr>
          <w:rFonts w:ascii="Arial Nova" w:hAnsi="Arial Nova" w:cs="Arial"/>
          <w:sz w:val="24"/>
          <w:szCs w:val="24"/>
          <w:lang w:val="es-419"/>
        </w:rPr>
        <w:t xml:space="preserve">de </w:t>
      </w:r>
      <w:r w:rsidR="002C2B58" w:rsidRPr="002C2B58">
        <w:rPr>
          <w:rFonts w:ascii="Arial Nova" w:hAnsi="Arial Nova" w:cs="Arial"/>
          <w:sz w:val="24"/>
          <w:szCs w:val="24"/>
          <w:lang w:val="es-419"/>
        </w:rPr>
        <w:t>delincuencia organizada.</w:t>
      </w:r>
    </w:p>
    <w:p w14:paraId="7A1C762F" w14:textId="77777777" w:rsidR="006060D8" w:rsidRPr="002C2B58" w:rsidRDefault="006060D8" w:rsidP="006060D8">
      <w:pPr>
        <w:spacing w:after="0" w:line="240" w:lineRule="auto"/>
        <w:jc w:val="both"/>
        <w:rPr>
          <w:rFonts w:ascii="Arial Nova" w:hAnsi="Arial Nova" w:cs="Arial"/>
          <w:sz w:val="24"/>
          <w:szCs w:val="24"/>
          <w:lang w:val="es-419"/>
        </w:rPr>
      </w:pPr>
    </w:p>
    <w:p w14:paraId="38F9FA83" w14:textId="77777777" w:rsidR="00973CBC" w:rsidRPr="00642B2A" w:rsidRDefault="00973CBC" w:rsidP="006060D8">
      <w:pPr>
        <w:shd w:val="clear" w:color="auto" w:fill="B4C6E7" w:themeFill="accent1" w:themeFillTint="66"/>
        <w:spacing w:after="0" w:line="240" w:lineRule="auto"/>
        <w:jc w:val="right"/>
        <w:rPr>
          <w:rFonts w:ascii="Arial Nova" w:hAnsi="Arial Nova" w:cs="Times New Roman"/>
          <w:smallCaps/>
          <w:color w:val="000F2E"/>
          <w:sz w:val="24"/>
          <w:szCs w:val="24"/>
        </w:rPr>
      </w:pPr>
      <w:r w:rsidRPr="00B323DA">
        <w:rPr>
          <w:rFonts w:ascii="Arial Nova" w:hAnsi="Arial Nova" w:cs="Times New Roman"/>
          <w:b/>
          <w:bCs/>
          <w:smallCaps/>
          <w:color w:val="000F2E"/>
          <w:sz w:val="28"/>
          <w:szCs w:val="28"/>
        </w:rPr>
        <w:t>V</w:t>
      </w:r>
      <w:r w:rsidRPr="00B323DA">
        <w:rPr>
          <w:rFonts w:ascii="Arial Nova" w:hAnsi="Arial Nova" w:cs="Times New Roman"/>
          <w:b/>
          <w:bCs/>
          <w:smallCaps/>
          <w:color w:val="000F2E"/>
          <w:sz w:val="24"/>
          <w:szCs w:val="24"/>
        </w:rPr>
        <w:t>otación:</w:t>
      </w:r>
    </w:p>
    <w:p w14:paraId="690C366C" w14:textId="77777777" w:rsidR="00973CBC" w:rsidRPr="00E32435" w:rsidRDefault="00973CBC" w:rsidP="006060D8">
      <w:pPr>
        <w:spacing w:after="0" w:line="240" w:lineRule="auto"/>
        <w:jc w:val="both"/>
        <w:rPr>
          <w:rFonts w:ascii="Arial Nova" w:hAnsi="Arial Nova" w:cs="Times New Roman"/>
          <w:b/>
          <w:bCs/>
          <w:sz w:val="24"/>
          <w:szCs w:val="24"/>
          <w:shd w:val="clear" w:color="auto" w:fill="B4C6E7" w:themeFill="accent1" w:themeFillTint="66"/>
        </w:rPr>
      </w:pPr>
    </w:p>
    <w:p w14:paraId="62BE2F90" w14:textId="1D559228" w:rsidR="00973CBC" w:rsidRPr="002C2B58" w:rsidRDefault="002C2B58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  <w:lang w:val="es-419"/>
        </w:rPr>
      </w:pPr>
      <w:r w:rsidRPr="002C2B58">
        <w:rPr>
          <w:rFonts w:ascii="Arial Nova" w:hAnsi="Arial Nova" w:cs="Times New Roman"/>
          <w:sz w:val="24"/>
          <w:szCs w:val="24"/>
          <w:lang w:val="es-419"/>
        </w:rPr>
        <w:t>El asunto fue aprobado</w:t>
      </w:r>
      <w:r w:rsidR="006060D8">
        <w:rPr>
          <w:rFonts w:ascii="Arial Nova" w:hAnsi="Arial Nova" w:cs="Times New Roman"/>
          <w:sz w:val="24"/>
          <w:szCs w:val="24"/>
          <w:lang w:val="es-419"/>
        </w:rPr>
        <w:t xml:space="preserve"> en sesión de la Primera Sala del 3 de noviembre de 2021,</w:t>
      </w:r>
      <w:r w:rsidRPr="002C2B58">
        <w:rPr>
          <w:rFonts w:ascii="Arial Nova" w:hAnsi="Arial Nova" w:cs="Times New Roman"/>
          <w:sz w:val="24"/>
          <w:szCs w:val="24"/>
          <w:lang w:val="es-419"/>
        </w:rPr>
        <w:t xml:space="preserve"> por mayoría de tres votos de la señora Ministra Norma Lucía Piña Hernández, Ministro Jorge Mario Pardo Rebolledo y Ministra Presidenta Ana Margarita Ríos Farjat. En contra de los emitidos por los señores Ministros Juan Luis González Alcántara Carrancá (Ponente), quien se reserva el derecho de formular voto particular, y Alfredo Gutiérrez Ortiz Mena.</w:t>
      </w:r>
    </w:p>
    <w:p w14:paraId="35338892" w14:textId="77777777" w:rsidR="00973CBC" w:rsidRDefault="00973CBC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p w14:paraId="150B1A0A" w14:textId="77777777" w:rsidR="00973CBC" w:rsidRPr="00E32435" w:rsidRDefault="00973CBC" w:rsidP="006060D8">
      <w:pPr>
        <w:spacing w:after="0" w:line="240" w:lineRule="auto"/>
        <w:jc w:val="both"/>
        <w:rPr>
          <w:rFonts w:ascii="Arial Nova" w:hAnsi="Arial Nova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973CBC" w:rsidRPr="00E32435" w14:paraId="2ABD3D70" w14:textId="77777777" w:rsidTr="00005FCF">
        <w:tc>
          <w:tcPr>
            <w:tcW w:w="8828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auto"/>
          </w:tcPr>
          <w:p w14:paraId="65F2B2AB" w14:textId="77777777" w:rsidR="00973CBC" w:rsidRPr="00E32435" w:rsidRDefault="00973CBC" w:rsidP="00005FCF">
            <w:pPr>
              <w:jc w:val="center"/>
              <w:rPr>
                <w:rFonts w:ascii="Arial Nova" w:hAnsi="Arial Nova" w:cs="Times New Roman"/>
                <w:sz w:val="20"/>
                <w:szCs w:val="20"/>
              </w:rPr>
            </w:pPr>
            <w:r w:rsidRPr="00AF5D98">
              <w:rPr>
                <w:rFonts w:ascii="Arial Nova" w:hAnsi="Arial Nova" w:cs="Times New Roman"/>
                <w:b/>
                <w:bCs/>
                <w:smallCaps/>
                <w:color w:val="000F2E"/>
                <w:sz w:val="20"/>
                <w:szCs w:val="20"/>
              </w:rPr>
              <w:t>Documento con fines de difusión. Las únicas fuentes oficiales son las sentencias emitidas por la Suprema Corte de Justicia de la Nación, así como el Semanario Judicial de la Federación y su Gaceta.</w:t>
            </w:r>
          </w:p>
        </w:tc>
      </w:tr>
    </w:tbl>
    <w:p w14:paraId="38EABA12" w14:textId="77777777" w:rsidR="00973CBC" w:rsidRDefault="00973CBC" w:rsidP="00973CBC"/>
    <w:p w14:paraId="5029ECCF" w14:textId="77777777" w:rsidR="0072132E" w:rsidRDefault="0072132E"/>
    <w:sectPr w:rsidR="0072132E" w:rsidSect="005E39F6">
      <w:headerReference w:type="default" r:id="rId6"/>
      <w:headerReference w:type="first" r:id="rId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C96AE" w14:textId="77777777" w:rsidR="009C26A7" w:rsidRDefault="009C26A7" w:rsidP="002C2B58">
      <w:pPr>
        <w:spacing w:after="0" w:line="240" w:lineRule="auto"/>
      </w:pPr>
      <w:r>
        <w:separator/>
      </w:r>
    </w:p>
  </w:endnote>
  <w:endnote w:type="continuationSeparator" w:id="0">
    <w:p w14:paraId="25D504B5" w14:textId="77777777" w:rsidR="009C26A7" w:rsidRDefault="009C26A7" w:rsidP="002C2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1F4D" w14:textId="77777777" w:rsidR="009C26A7" w:rsidRDefault="009C26A7" w:rsidP="002C2B58">
      <w:pPr>
        <w:spacing w:after="0" w:line="240" w:lineRule="auto"/>
      </w:pPr>
      <w:r>
        <w:separator/>
      </w:r>
    </w:p>
  </w:footnote>
  <w:footnote w:type="continuationSeparator" w:id="0">
    <w:p w14:paraId="1BD722B8" w14:textId="77777777" w:rsidR="009C26A7" w:rsidRDefault="009C26A7" w:rsidP="002C2B58">
      <w:pPr>
        <w:spacing w:after="0" w:line="240" w:lineRule="auto"/>
      </w:pPr>
      <w:r>
        <w:continuationSeparator/>
      </w:r>
    </w:p>
  </w:footnote>
  <w:footnote w:id="1">
    <w:p w14:paraId="3B37E5F6" w14:textId="77777777" w:rsidR="002C2B58" w:rsidRPr="00AB4729" w:rsidRDefault="002C2B58" w:rsidP="002C2B58">
      <w:pPr>
        <w:pStyle w:val="Textonotapie"/>
        <w:jc w:val="both"/>
        <w:rPr>
          <w:rFonts w:ascii="Arial Nova" w:hAnsi="Arial Nova" w:cs="Arial"/>
          <w:lang w:val="es-419"/>
        </w:rPr>
      </w:pPr>
      <w:r>
        <w:rPr>
          <w:rStyle w:val="Refdenotaalpie"/>
        </w:rPr>
        <w:footnoteRef/>
      </w:r>
      <w:r w:rsidRPr="00EC5008">
        <w:rPr>
          <w:lang w:val="es-419"/>
        </w:rPr>
        <w:t xml:space="preserve"> </w:t>
      </w:r>
      <w:r w:rsidRPr="00AB4729">
        <w:rPr>
          <w:rFonts w:ascii="Arial Nova" w:hAnsi="Arial Nova" w:cs="Arial"/>
          <w:b/>
          <w:bCs/>
          <w:lang w:val="es-419"/>
        </w:rPr>
        <w:t>Artículo 18°</w:t>
      </w:r>
      <w:r w:rsidRPr="00AB4729">
        <w:rPr>
          <w:rFonts w:ascii="Arial Nova" w:hAnsi="Arial Nova" w:cs="Arial"/>
          <w:lang w:val="es-419"/>
        </w:rPr>
        <w:t xml:space="preserve"> (…)</w:t>
      </w:r>
    </w:p>
    <w:p w14:paraId="6A7DE82B" w14:textId="77777777" w:rsidR="002C2B58" w:rsidRPr="00AB4729" w:rsidRDefault="002C2B58" w:rsidP="002C2B58">
      <w:pPr>
        <w:pStyle w:val="Textonotapie"/>
        <w:jc w:val="both"/>
        <w:rPr>
          <w:rFonts w:ascii="Arial Nova" w:hAnsi="Arial Nova" w:cs="Arial"/>
          <w:lang w:val="es-419"/>
        </w:rPr>
      </w:pPr>
      <w:r w:rsidRPr="00AB4729">
        <w:rPr>
          <w:rFonts w:ascii="Arial Nova" w:hAnsi="Arial Nova" w:cs="Arial"/>
          <w:lang w:val="es-419"/>
        </w:rPr>
        <w:t>Los sentenciados, en los casos y condiciones que establezca la ley, podrán compurgar sus penas en los centros penitenciarios más cercanos a su domicilio, a fin de propiciar su reintegración a la comunidad como forma de reinserción social. Esta disposición no aplicará en caso de delincuencia organizada y respecto de otros internos que requieran medidas especiales de seguridad.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7FBB" w14:textId="77777777" w:rsidR="005E39F6" w:rsidRPr="00046D48" w:rsidRDefault="00FA3B71" w:rsidP="005E39F6">
    <w:pPr>
      <w:pStyle w:val="Encabezado"/>
      <w:ind w:left="4111"/>
      <w:jc w:val="both"/>
      <w:rPr>
        <w:rFonts w:ascii="Arial Nova" w:hAnsi="Arial Nova" w:cs="Times New Roman"/>
        <w:b/>
        <w:bCs/>
        <w:color w:val="002060"/>
        <w:sz w:val="20"/>
        <w:szCs w:val="20"/>
      </w:rPr>
    </w:pPr>
    <w:r w:rsidRPr="00046D48">
      <w:rPr>
        <w:rFonts w:ascii="Arial Nova" w:hAnsi="Arial Nova" w:cs="Times New Roman"/>
        <w:b/>
        <w:bCs/>
        <w:color w:val="002060"/>
        <w:sz w:val="20"/>
        <w:szCs w:val="20"/>
      </w:rPr>
      <w:t>SENTENCIAS RELEVANTES DE LA PRIMERA SALA</w:t>
    </w:r>
  </w:p>
  <w:p w14:paraId="7CCFDF7D" w14:textId="077ED1A9" w:rsidR="005E39F6" w:rsidRDefault="00FA3B71" w:rsidP="003B5FAB">
    <w:pPr>
      <w:pStyle w:val="Encabezado"/>
      <w:ind w:left="5670"/>
      <w:jc w:val="both"/>
    </w:pPr>
    <w:r>
      <w:rPr>
        <w:rFonts w:ascii="Arial Nova" w:hAnsi="Arial Nova" w:cs="Times New Roman"/>
        <w:b/>
        <w:bCs/>
        <w:color w:val="002060"/>
        <w:sz w:val="20"/>
        <w:szCs w:val="20"/>
      </w:rPr>
      <w:t xml:space="preserve">AMPARO EN REVISIÓN </w:t>
    </w:r>
    <w:r w:rsidR="00AB4729">
      <w:rPr>
        <w:rFonts w:ascii="Arial Nova" w:hAnsi="Arial Nova" w:cs="Times New Roman"/>
        <w:b/>
        <w:bCs/>
        <w:color w:val="002060"/>
        <w:sz w:val="20"/>
        <w:szCs w:val="20"/>
      </w:rPr>
      <w:t>248</w:t>
    </w:r>
    <w:r>
      <w:rPr>
        <w:rFonts w:ascii="Arial Nova" w:hAnsi="Arial Nova" w:cs="Times New Roman"/>
        <w:b/>
        <w:bCs/>
        <w:color w:val="002060"/>
        <w:sz w:val="20"/>
        <w:szCs w:val="20"/>
      </w:rPr>
      <w:t>/202</w:t>
    </w:r>
    <w:r w:rsidR="00AB4729">
      <w:rPr>
        <w:rFonts w:ascii="Arial Nova" w:hAnsi="Arial Nova" w:cs="Times New Roman"/>
        <w:b/>
        <w:bCs/>
        <w:color w:val="002060"/>
        <w:sz w:val="20"/>
        <w:szCs w:val="20"/>
      </w:rPr>
      <w:t>1</w:t>
    </w:r>
  </w:p>
  <w:p w14:paraId="68D0DD22" w14:textId="77777777" w:rsidR="003B5FAB" w:rsidRDefault="003B5FAB" w:rsidP="00AB4729">
    <w:pPr>
      <w:pStyle w:val="Encabezado"/>
      <w:ind w:left="567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39BF" w14:textId="77777777" w:rsidR="006060D8" w:rsidRPr="0051268B" w:rsidRDefault="006060D8" w:rsidP="006060D8">
    <w:pPr>
      <w:shd w:val="clear" w:color="auto" w:fill="002060"/>
      <w:spacing w:after="0" w:line="240" w:lineRule="auto"/>
      <w:rPr>
        <w:rFonts w:ascii="Baskerville Old Face" w:hAnsi="Baskerville Old Face" w:cs="Times New Roman"/>
        <w:color w:val="002060"/>
      </w:rPr>
    </w:pPr>
    <w:bookmarkStart w:id="4" w:name="_Hlk133506313"/>
    <w:r w:rsidRPr="0051268B">
      <w:rPr>
        <w:noProof/>
        <w:color w:val="002060"/>
      </w:rPr>
      <w:drawing>
        <wp:anchor distT="0" distB="0" distL="114300" distR="114300" simplePos="0" relativeHeight="251659264" behindDoc="0" locked="0" layoutInCell="1" allowOverlap="1" wp14:anchorId="270DC4D6" wp14:editId="56450CFF">
          <wp:simplePos x="0" y="0"/>
          <wp:positionH relativeFrom="column">
            <wp:posOffset>615315</wp:posOffset>
          </wp:positionH>
          <wp:positionV relativeFrom="paragraph">
            <wp:posOffset>92710</wp:posOffset>
          </wp:positionV>
          <wp:extent cx="975896" cy="895350"/>
          <wp:effectExtent l="0" t="0" r="0" b="0"/>
          <wp:wrapNone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896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68B">
      <w:rPr>
        <w:noProof/>
        <w:color w:val="00206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088E0" wp14:editId="3F5FC4FA">
              <wp:simplePos x="0" y="0"/>
              <wp:positionH relativeFrom="column">
                <wp:posOffset>2158365</wp:posOffset>
              </wp:positionH>
              <wp:positionV relativeFrom="paragraph">
                <wp:posOffset>92710</wp:posOffset>
              </wp:positionV>
              <wp:extent cx="0" cy="828675"/>
              <wp:effectExtent l="0" t="0" r="38100" b="28575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67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F66423" id="Conector recto 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95pt,7.3pt" to="169.9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" strokecolor="white [3212]" strokeweight="1.5pt">
              <v:stroke joinstyle="miter"/>
            </v:line>
          </w:pict>
        </mc:Fallback>
      </mc:AlternateContent>
    </w:r>
    <w:r w:rsidRPr="0051268B">
      <w:rPr>
        <w:rFonts w:ascii="Baskerville Old Face" w:hAnsi="Baskerville Old Face" w:cs="Times New Roman"/>
        <w:color w:val="002060"/>
        <w:sz w:val="52"/>
        <w:szCs w:val="52"/>
      </w:rPr>
      <w:t xml:space="preserve">                      </w:t>
    </w:r>
    <w:bookmarkEnd w:id="4"/>
    <w:r w:rsidRPr="0051268B">
      <w:rPr>
        <w:rFonts w:ascii="Baskerville Old Face" w:hAnsi="Baskerville Old Face" w:cs="Times New Roman"/>
        <w:color w:val="002060"/>
        <w:sz w:val="52"/>
        <w:szCs w:val="52"/>
      </w:rPr>
      <w:t xml:space="preserve">       </w:t>
    </w:r>
  </w:p>
  <w:p w14:paraId="6E222F0C" w14:textId="77777777" w:rsidR="006060D8" w:rsidRDefault="006060D8" w:rsidP="006060D8">
    <w:pPr>
      <w:shd w:val="clear" w:color="auto" w:fill="002060"/>
      <w:spacing w:after="0" w:line="240" w:lineRule="auto"/>
      <w:rPr>
        <w:rFonts w:ascii="Baskerville Old Face" w:hAnsi="Baskerville Old Face" w:cs="Times New Roman"/>
        <w:b/>
        <w:bCs/>
        <w:color w:val="FFFFFF" w:themeColor="background1"/>
        <w:sz w:val="36"/>
        <w:szCs w:val="36"/>
      </w:rPr>
    </w:pPr>
    <w:r w:rsidRPr="0051268B">
      <w:rPr>
        <w:rFonts w:ascii="Baskerville Old Face" w:hAnsi="Baskerville Old Face" w:cs="Times New Roman"/>
        <w:b/>
        <w:bCs/>
        <w:color w:val="002060"/>
        <w:sz w:val="48"/>
        <w:szCs w:val="48"/>
      </w:rPr>
      <w:t xml:space="preserve">                               </w:t>
    </w:r>
    <w:r w:rsidRPr="00B64D08">
      <w:rPr>
        <w:rFonts w:ascii="Baskerville Old Face" w:hAnsi="Baskerville Old Face" w:cs="Times New Roman"/>
        <w:b/>
        <w:bCs/>
        <w:color w:val="FFFFFF" w:themeColor="background1"/>
        <w:sz w:val="48"/>
        <w:szCs w:val="48"/>
      </w:rPr>
      <w:t>S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ENTENCIAS</w:t>
    </w:r>
    <w:r w:rsidRPr="0051268B">
      <w:rPr>
        <w:rFonts w:ascii="Baskerville Old Face" w:hAnsi="Baskerville Old Face" w:cs="Times New Roman"/>
        <w:b/>
        <w:bCs/>
        <w:color w:val="002060"/>
        <w:sz w:val="40"/>
        <w:szCs w:val="40"/>
      </w:rPr>
      <w:t xml:space="preserve"> </w:t>
    </w:r>
    <w:r w:rsidRPr="00B64D08">
      <w:rPr>
        <w:rFonts w:ascii="Baskerville Old Face" w:hAnsi="Baskerville Old Face" w:cs="Times New Roman"/>
        <w:b/>
        <w:bCs/>
        <w:color w:val="FFFFFF" w:themeColor="background1"/>
        <w:sz w:val="48"/>
        <w:szCs w:val="48"/>
      </w:rPr>
      <w:t>R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ELEVANTES</w:t>
    </w:r>
  </w:p>
  <w:p w14:paraId="3073D752" w14:textId="77777777" w:rsidR="006060D8" w:rsidRPr="0051268B" w:rsidRDefault="006060D8" w:rsidP="006060D8">
    <w:pPr>
      <w:shd w:val="clear" w:color="auto" w:fill="002060"/>
      <w:spacing w:after="0" w:line="240" w:lineRule="auto"/>
      <w:rPr>
        <w:rFonts w:ascii="Baskerville Old Face" w:hAnsi="Baskerville Old Face" w:cs="Times New Roman"/>
        <w:color w:val="002060"/>
        <w:sz w:val="20"/>
        <w:szCs w:val="20"/>
      </w:rPr>
    </w:pPr>
    <w:r w:rsidRPr="0051268B">
      <w:rPr>
        <w:rFonts w:ascii="Baskerville Old Face" w:hAnsi="Baskerville Old Face" w:cs="Times New Roman"/>
        <w:b/>
        <w:bCs/>
        <w:color w:val="002060"/>
        <w:sz w:val="52"/>
        <w:szCs w:val="52"/>
      </w:rPr>
      <w:t xml:space="preserve">                                   </w:t>
    </w:r>
    <w:r w:rsidRPr="00B64D08">
      <w:rPr>
        <w:rFonts w:ascii="Baskerville Old Face" w:hAnsi="Baskerville Old Face" w:cs="Times New Roman"/>
        <w:b/>
        <w:bCs/>
        <w:color w:val="FFFFFF" w:themeColor="background1"/>
        <w:sz w:val="52"/>
        <w:szCs w:val="52"/>
      </w:rPr>
      <w:t>P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RIMERA</w:t>
    </w:r>
    <w:r w:rsidRPr="0051268B">
      <w:rPr>
        <w:rFonts w:ascii="Baskerville Old Face" w:hAnsi="Baskerville Old Face" w:cs="Times New Roman"/>
        <w:color w:val="002060"/>
        <w:sz w:val="48"/>
        <w:szCs w:val="48"/>
      </w:rPr>
      <w:t xml:space="preserve"> </w:t>
    </w:r>
    <w:r w:rsidRPr="00B64D08">
      <w:rPr>
        <w:rFonts w:ascii="Baskerville Old Face" w:hAnsi="Baskerville Old Face" w:cs="Times New Roman"/>
        <w:color w:val="FFFFFF" w:themeColor="background1"/>
        <w:sz w:val="52"/>
        <w:szCs w:val="52"/>
      </w:rPr>
      <w:t>S</w:t>
    </w:r>
    <w:r w:rsidRPr="00B64D08">
      <w:rPr>
        <w:rFonts w:ascii="Baskerville Old Face" w:hAnsi="Baskerville Old Face" w:cs="Times New Roman"/>
        <w:color w:val="FFFFFF" w:themeColor="background1"/>
        <w:sz w:val="36"/>
        <w:szCs w:val="36"/>
      </w:rPr>
      <w:t>ALA</w:t>
    </w:r>
    <w:r w:rsidRPr="0051268B">
      <w:rPr>
        <w:rFonts w:ascii="Baskerville Old Face" w:hAnsi="Baskerville Old Face" w:cs="Times New Roman"/>
        <w:color w:val="002060"/>
        <w:sz w:val="48"/>
        <w:szCs w:val="48"/>
      </w:rPr>
      <w:t xml:space="preserve">   </w:t>
    </w:r>
  </w:p>
  <w:p w14:paraId="67183748" w14:textId="77777777" w:rsidR="006060D8" w:rsidRPr="0051268B" w:rsidRDefault="006060D8" w:rsidP="006060D8">
    <w:pPr>
      <w:shd w:val="clear" w:color="auto" w:fill="002060"/>
      <w:spacing w:after="0" w:line="240" w:lineRule="auto"/>
      <w:rPr>
        <w:rFonts w:ascii="Baskerville Old Face" w:hAnsi="Baskerville Old Face" w:cs="Times New Roman"/>
        <w:color w:val="00206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BC"/>
    <w:rsid w:val="0003262B"/>
    <w:rsid w:val="00247024"/>
    <w:rsid w:val="002C2B58"/>
    <w:rsid w:val="003B5FAB"/>
    <w:rsid w:val="003E3D12"/>
    <w:rsid w:val="006060D8"/>
    <w:rsid w:val="0072132E"/>
    <w:rsid w:val="009459EC"/>
    <w:rsid w:val="00973CBC"/>
    <w:rsid w:val="009C26A7"/>
    <w:rsid w:val="00A85EBF"/>
    <w:rsid w:val="00AB4729"/>
    <w:rsid w:val="00B63C14"/>
    <w:rsid w:val="00BC5A7B"/>
    <w:rsid w:val="00BE1E6D"/>
    <w:rsid w:val="00CD704B"/>
    <w:rsid w:val="00D61CD4"/>
    <w:rsid w:val="00DB5B85"/>
    <w:rsid w:val="00FA3B71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221E9"/>
  <w15:chartTrackingRefBased/>
  <w15:docId w15:val="{81E26326-12A2-4E35-9651-F33564CF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0D8"/>
    <w:rPr>
      <w:rFonts w:eastAsiaTheme="minorHAnsi"/>
      <w:kern w:val="0"/>
      <w:lang w:eastAsia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73CB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3CBC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ja-JP"/>
    </w:rPr>
  </w:style>
  <w:style w:type="paragraph" w:styleId="Encabezado">
    <w:name w:val="header"/>
    <w:basedOn w:val="Normal"/>
    <w:link w:val="EncabezadoCar"/>
    <w:uiPriority w:val="99"/>
    <w:unhideWhenUsed/>
    <w:rsid w:val="00973C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CBC"/>
    <w:rPr>
      <w:rFonts w:eastAsiaTheme="minorHAnsi"/>
      <w:kern w:val="0"/>
      <w:lang w:eastAsia="en-US"/>
      <w14:ligatures w14:val="none"/>
    </w:rPr>
  </w:style>
  <w:style w:type="table" w:styleId="Tablaconcuadrcula">
    <w:name w:val="Table Grid"/>
    <w:basedOn w:val="Tablanormal"/>
    <w:uiPriority w:val="39"/>
    <w:rsid w:val="00973CBC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te4fondo">
    <w:name w:val="corte4 fondo"/>
    <w:basedOn w:val="Normal"/>
    <w:link w:val="corte4fondoCar3"/>
    <w:qFormat/>
    <w:rsid w:val="00973CBC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30"/>
      <w:szCs w:val="20"/>
      <w:lang w:val="es-ES_tradnl" w:eastAsia="es-MX"/>
    </w:rPr>
  </w:style>
  <w:style w:type="character" w:customStyle="1" w:styleId="corte4fondoCar3">
    <w:name w:val="corte4 fondo Car3"/>
    <w:link w:val="corte4fondo"/>
    <w:locked/>
    <w:rsid w:val="00973CBC"/>
    <w:rPr>
      <w:rFonts w:ascii="Arial" w:eastAsia="Times New Roman" w:hAnsi="Arial" w:cs="Times New Roman"/>
      <w:kern w:val="0"/>
      <w:sz w:val="30"/>
      <w:szCs w:val="20"/>
      <w:lang w:val="es-ES_tradnl"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73C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73C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73CBC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C2B58"/>
    <w:pPr>
      <w:spacing w:after="0" w:line="240" w:lineRule="auto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C2B58"/>
    <w:rPr>
      <w:rFonts w:eastAsiaTheme="minorHAnsi"/>
      <w:kern w:val="0"/>
      <w:sz w:val="20"/>
      <w:szCs w:val="20"/>
      <w:lang w:val="en-US" w:eastAsia="en-U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C2B58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606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0D8"/>
    <w:rPr>
      <w:rFonts w:eastAsiaTheme="minorHAnsi"/>
      <w:kern w:val="0"/>
      <w:lang w:eastAsia="en-US"/>
      <w14:ligatures w14:val="none"/>
    </w:rPr>
  </w:style>
  <w:style w:type="paragraph" w:styleId="Revisin">
    <w:name w:val="Revision"/>
    <w:hidden/>
    <w:uiPriority w:val="99"/>
    <w:semiHidden/>
    <w:rsid w:val="006060D8"/>
    <w:pPr>
      <w:spacing w:after="0" w:line="240" w:lineRule="auto"/>
    </w:pPr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643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LOPEZ CUEVA</dc:creator>
  <cp:keywords/>
  <dc:description/>
  <cp:lastModifiedBy>BRUNO ALEJANDRO PATIÑO RENTERIA</cp:lastModifiedBy>
  <cp:revision>13</cp:revision>
  <dcterms:created xsi:type="dcterms:W3CDTF">2023-05-15T15:55:00Z</dcterms:created>
  <dcterms:modified xsi:type="dcterms:W3CDTF">2023-06-22T02:58:00Z</dcterms:modified>
</cp:coreProperties>
</file>