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5596" w14:textId="771D5C43" w:rsidR="00D3607F" w:rsidRPr="003417DD" w:rsidRDefault="00D3607F" w:rsidP="00225177">
      <w:pPr>
        <w:ind w:left="4536"/>
        <w:jc w:val="both"/>
        <w:rPr>
          <w:rFonts w:ascii="Arial" w:hAnsi="Arial" w:cs="Arial"/>
          <w:b/>
          <w:sz w:val="26"/>
          <w:szCs w:val="26"/>
          <w:lang w:val="es-ES"/>
        </w:rPr>
      </w:pPr>
      <w:bookmarkStart w:id="0" w:name="_Hlk56518214"/>
      <w:r w:rsidRPr="003417DD">
        <w:rPr>
          <w:rFonts w:ascii="Arial" w:hAnsi="Arial" w:cs="Arial"/>
          <w:b/>
          <w:sz w:val="26"/>
          <w:szCs w:val="26"/>
          <w:lang w:val="es-ES"/>
        </w:rPr>
        <w:t xml:space="preserve">AMPARO DIRECTO EN REVISIÓN </w:t>
      </w:r>
      <w:r w:rsidR="007C33F3" w:rsidRPr="003417DD">
        <w:rPr>
          <w:rFonts w:ascii="Arial" w:hAnsi="Arial" w:cs="Arial"/>
          <w:b/>
          <w:sz w:val="26"/>
          <w:szCs w:val="26"/>
          <w:lang w:val="es-ES"/>
        </w:rPr>
        <w:t>4261/2022</w:t>
      </w:r>
    </w:p>
    <w:p w14:paraId="7F5D1436" w14:textId="77777777" w:rsidR="0092206A" w:rsidRPr="003417DD" w:rsidRDefault="0092206A" w:rsidP="00225177">
      <w:pPr>
        <w:ind w:left="4536"/>
        <w:jc w:val="both"/>
        <w:rPr>
          <w:rFonts w:ascii="Arial" w:hAnsi="Arial" w:cs="Arial"/>
          <w:b/>
          <w:sz w:val="26"/>
          <w:szCs w:val="26"/>
          <w:lang w:val="es-ES"/>
        </w:rPr>
      </w:pPr>
    </w:p>
    <w:p w14:paraId="30DD48B7" w14:textId="28CA9811" w:rsidR="00D3607F" w:rsidRPr="003417DD" w:rsidRDefault="00D3607F" w:rsidP="00225177">
      <w:pPr>
        <w:ind w:left="4536"/>
        <w:jc w:val="both"/>
        <w:rPr>
          <w:rFonts w:ascii="Arial" w:hAnsi="Arial" w:cs="Arial"/>
          <w:b/>
          <w:sz w:val="26"/>
          <w:szCs w:val="26"/>
          <w:lang w:val="es-ES"/>
        </w:rPr>
      </w:pPr>
      <w:r w:rsidRPr="003417DD">
        <w:rPr>
          <w:rFonts w:ascii="Arial" w:hAnsi="Arial" w:cs="Arial"/>
          <w:b/>
          <w:sz w:val="26"/>
          <w:szCs w:val="26"/>
          <w:lang w:val="es-ES"/>
        </w:rPr>
        <w:t xml:space="preserve">RECURRENTE: </w:t>
      </w:r>
      <w:r w:rsidR="009F3A3B" w:rsidRPr="003417DD">
        <w:rPr>
          <w:rFonts w:ascii="Arial" w:hAnsi="Arial" w:cs="Arial"/>
          <w:b/>
          <w:color w:val="FF0000"/>
          <w:sz w:val="26"/>
          <w:szCs w:val="26"/>
          <w:lang w:val="es-ES"/>
        </w:rPr>
        <w:t>M</w:t>
      </w:r>
      <w:r w:rsidR="00471F0D">
        <w:rPr>
          <w:rFonts w:ascii="Arial" w:hAnsi="Arial" w:cs="Arial"/>
          <w:b/>
          <w:color w:val="FF0000"/>
          <w:sz w:val="26"/>
          <w:szCs w:val="26"/>
          <w:lang w:val="es-ES"/>
        </w:rPr>
        <w:t>GGI</w:t>
      </w:r>
      <w:r w:rsidR="009F3A3B" w:rsidRPr="003417DD">
        <w:rPr>
          <w:rFonts w:ascii="Arial" w:hAnsi="Arial" w:cs="Arial"/>
          <w:b/>
          <w:color w:val="FF0000"/>
          <w:sz w:val="26"/>
          <w:szCs w:val="26"/>
          <w:lang w:val="es-ES"/>
        </w:rPr>
        <w:t xml:space="preserve"> </w:t>
      </w:r>
      <w:r w:rsidR="009F3A3B" w:rsidRPr="003417DD">
        <w:rPr>
          <w:rFonts w:ascii="Arial" w:hAnsi="Arial" w:cs="Arial"/>
          <w:b/>
          <w:sz w:val="26"/>
          <w:szCs w:val="26"/>
          <w:lang w:val="es-ES"/>
        </w:rPr>
        <w:t>(</w:t>
      </w:r>
      <w:r w:rsidR="00225177" w:rsidRPr="003417DD">
        <w:rPr>
          <w:rFonts w:ascii="Arial" w:hAnsi="Arial" w:cs="Arial"/>
          <w:b/>
          <w:sz w:val="26"/>
          <w:szCs w:val="26"/>
          <w:lang w:val="es-ES"/>
        </w:rPr>
        <w:t>TERCERA INTERESADA)</w:t>
      </w:r>
    </w:p>
    <w:p w14:paraId="63F634A3" w14:textId="77777777" w:rsidR="00C26F75" w:rsidRPr="003417DD" w:rsidRDefault="00C26F75" w:rsidP="00D3607F">
      <w:pPr>
        <w:spacing w:after="200" w:line="276" w:lineRule="auto"/>
        <w:rPr>
          <w:rFonts w:ascii="Arial" w:hAnsi="Arial" w:cs="Arial"/>
          <w:sz w:val="26"/>
          <w:szCs w:val="26"/>
          <w:lang w:val="es-ES"/>
        </w:rPr>
      </w:pPr>
    </w:p>
    <w:p w14:paraId="774E32FE" w14:textId="4087B26C" w:rsidR="009F1950" w:rsidRPr="003417DD" w:rsidRDefault="009F1950" w:rsidP="009F1950">
      <w:pPr>
        <w:pStyle w:val="corte2ponente"/>
        <w:ind w:right="-799"/>
        <w:jc w:val="both"/>
        <w:rPr>
          <w:rFonts w:cs="Arial"/>
          <w:sz w:val="26"/>
          <w:szCs w:val="26"/>
          <w:lang w:val="es-ES"/>
        </w:rPr>
      </w:pPr>
      <w:r w:rsidRPr="003417DD">
        <w:rPr>
          <w:rFonts w:cs="Arial"/>
          <w:sz w:val="26"/>
          <w:szCs w:val="26"/>
          <w:lang w:val="es-ES"/>
        </w:rPr>
        <w:t xml:space="preserve">PONENTE: </w:t>
      </w:r>
      <w:r w:rsidR="007C33F3" w:rsidRPr="003417DD">
        <w:rPr>
          <w:rFonts w:cs="Arial"/>
          <w:sz w:val="26"/>
          <w:szCs w:val="26"/>
          <w:lang w:val="es-ES"/>
        </w:rPr>
        <w:t>MINISTRO ALFREDO GUTIÉRREZ ORTIZ MENA</w:t>
      </w:r>
    </w:p>
    <w:p w14:paraId="0E073C0D" w14:textId="77777777" w:rsidR="009F1950" w:rsidRPr="003417DD" w:rsidRDefault="009F1950" w:rsidP="009F1950">
      <w:pPr>
        <w:pStyle w:val="corte2ponente"/>
        <w:ind w:right="51"/>
        <w:jc w:val="both"/>
        <w:rPr>
          <w:rFonts w:cs="Arial"/>
          <w:sz w:val="26"/>
          <w:szCs w:val="26"/>
          <w:lang w:val="es-ES"/>
        </w:rPr>
      </w:pPr>
    </w:p>
    <w:p w14:paraId="46978947" w14:textId="2B961E67" w:rsidR="00D3607F" w:rsidRPr="003417DD" w:rsidRDefault="007C33F3" w:rsidP="009F1950">
      <w:pPr>
        <w:rPr>
          <w:rFonts w:ascii="Arial" w:hAnsi="Arial" w:cs="Arial"/>
          <w:b/>
          <w:sz w:val="26"/>
          <w:szCs w:val="26"/>
          <w:lang w:val="es-ES"/>
        </w:rPr>
      </w:pPr>
      <w:r w:rsidRPr="003417DD">
        <w:rPr>
          <w:rFonts w:ascii="Arial" w:hAnsi="Arial" w:cs="Arial"/>
          <w:b/>
          <w:sz w:val="26"/>
          <w:szCs w:val="26"/>
          <w:lang w:val="es-ES"/>
        </w:rPr>
        <w:t>SECRETARIA: SOFÍA DEL CARMEN TREVIÑO FERNÁNDEZ</w:t>
      </w:r>
    </w:p>
    <w:p w14:paraId="3E7A385E" w14:textId="59F73CA4" w:rsidR="003C79EE" w:rsidRPr="003417DD" w:rsidRDefault="003C79EE" w:rsidP="009F1950">
      <w:pPr>
        <w:rPr>
          <w:rFonts w:ascii="Arial" w:hAnsi="Arial" w:cs="Arial"/>
          <w:b/>
          <w:sz w:val="26"/>
          <w:szCs w:val="26"/>
          <w:lang w:val="es-ES"/>
        </w:rPr>
      </w:pPr>
      <w:r w:rsidRPr="003417DD">
        <w:rPr>
          <w:rFonts w:ascii="Arial" w:hAnsi="Arial" w:cs="Arial"/>
          <w:b/>
          <w:sz w:val="26"/>
          <w:szCs w:val="26"/>
          <w:lang w:val="es-ES"/>
        </w:rPr>
        <w:t xml:space="preserve">COLABORÓ: </w:t>
      </w:r>
      <w:r w:rsidR="00910176" w:rsidRPr="003417DD">
        <w:rPr>
          <w:rFonts w:ascii="Arial" w:hAnsi="Arial" w:cs="Arial"/>
          <w:b/>
          <w:sz w:val="26"/>
          <w:szCs w:val="26"/>
          <w:lang w:val="es-ES"/>
        </w:rPr>
        <w:t>ISABEL LUCÍA RUBIO RUFI</w:t>
      </w:r>
      <w:r w:rsidR="005E3136" w:rsidRPr="003417DD">
        <w:rPr>
          <w:rFonts w:ascii="Arial" w:hAnsi="Arial" w:cs="Arial"/>
          <w:b/>
          <w:sz w:val="26"/>
          <w:szCs w:val="26"/>
          <w:lang w:val="es-ES"/>
        </w:rPr>
        <w:t>N</w:t>
      </w:r>
      <w:r w:rsidR="00910176" w:rsidRPr="003417DD">
        <w:rPr>
          <w:rFonts w:ascii="Arial" w:hAnsi="Arial" w:cs="Arial"/>
          <w:b/>
          <w:sz w:val="26"/>
          <w:szCs w:val="26"/>
          <w:lang w:val="es-ES"/>
        </w:rPr>
        <w:t>O</w:t>
      </w:r>
    </w:p>
    <w:p w14:paraId="71D1443D" w14:textId="77777777" w:rsidR="00D3607F" w:rsidRPr="003417DD" w:rsidRDefault="00D3607F" w:rsidP="00D3607F">
      <w:pPr>
        <w:rPr>
          <w:rFonts w:ascii="Arial" w:hAnsi="Arial" w:cs="Arial"/>
          <w:b/>
          <w:sz w:val="26"/>
          <w:szCs w:val="26"/>
          <w:lang w:val="es-ES"/>
        </w:rPr>
      </w:pPr>
    </w:p>
    <w:p w14:paraId="524E2CFC" w14:textId="77777777" w:rsidR="00D3607F" w:rsidRPr="003417DD" w:rsidRDefault="009F1950" w:rsidP="00D3607F">
      <w:pPr>
        <w:jc w:val="center"/>
        <w:rPr>
          <w:rFonts w:ascii="Arial" w:hAnsi="Arial" w:cs="Arial"/>
          <w:b/>
          <w:sz w:val="26"/>
          <w:szCs w:val="26"/>
          <w:lang w:val="es-ES"/>
        </w:rPr>
      </w:pPr>
      <w:r w:rsidRPr="003417DD">
        <w:rPr>
          <w:rFonts w:ascii="Arial" w:hAnsi="Arial" w:cs="Arial"/>
          <w:b/>
          <w:sz w:val="26"/>
          <w:szCs w:val="26"/>
          <w:lang w:val="es-ES"/>
        </w:rPr>
        <w:t>ÍNDICE TEMÁTICO</w:t>
      </w:r>
    </w:p>
    <w:p w14:paraId="1C20A168" w14:textId="77777777" w:rsidR="00D3607F" w:rsidRPr="003417DD" w:rsidRDefault="00D3607F" w:rsidP="00D3607F">
      <w:pPr>
        <w:jc w:val="center"/>
        <w:rPr>
          <w:rFonts w:ascii="Arial" w:hAnsi="Arial" w:cs="Arial"/>
          <w:b/>
          <w:sz w:val="26"/>
          <w:szCs w:val="26"/>
          <w:lang w:val="es-ES"/>
        </w:rPr>
      </w:pPr>
    </w:p>
    <w:p w14:paraId="0A10515E" w14:textId="2134516A" w:rsidR="007B73F8" w:rsidRDefault="003C79EE" w:rsidP="003C79EE">
      <w:pPr>
        <w:tabs>
          <w:tab w:val="left" w:pos="426"/>
        </w:tabs>
        <w:jc w:val="both"/>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 xml:space="preserve">Hechos: </w:t>
      </w:r>
      <w:r w:rsidR="00FF32E1" w:rsidRPr="008A52D1">
        <w:rPr>
          <w:rFonts w:ascii="Arial" w:eastAsia="Calibri" w:hAnsi="Arial" w:cs="Arial"/>
          <w:color w:val="FF0000"/>
          <w:sz w:val="26"/>
          <w:szCs w:val="26"/>
          <w:lang w:val="es-ES" w:eastAsia="es-ES"/>
        </w:rPr>
        <w:t>M</w:t>
      </w:r>
      <w:r w:rsidR="004561F1">
        <w:rPr>
          <w:rFonts w:ascii="Arial" w:eastAsia="Calibri" w:hAnsi="Arial" w:cs="Arial"/>
          <w:color w:val="FF0000"/>
          <w:sz w:val="26"/>
          <w:szCs w:val="26"/>
          <w:lang w:val="es-ES" w:eastAsia="es-ES"/>
        </w:rPr>
        <w:t>GGI</w:t>
      </w:r>
      <w:r w:rsidR="00A02F74" w:rsidRPr="008A52D1">
        <w:rPr>
          <w:rFonts w:ascii="Arial" w:eastAsia="Calibri" w:hAnsi="Arial" w:cs="Arial"/>
          <w:color w:val="FF0000"/>
          <w:sz w:val="26"/>
          <w:szCs w:val="26"/>
          <w:lang w:val="es-ES" w:eastAsia="es-ES"/>
        </w:rPr>
        <w:t xml:space="preserve"> </w:t>
      </w:r>
      <w:r w:rsidR="00A02F74" w:rsidRPr="003417DD">
        <w:rPr>
          <w:rFonts w:ascii="Arial" w:eastAsia="Calibri" w:hAnsi="Arial" w:cs="Arial"/>
          <w:sz w:val="26"/>
          <w:szCs w:val="26"/>
          <w:lang w:val="es-ES" w:eastAsia="es-ES"/>
        </w:rPr>
        <w:t xml:space="preserve">y </w:t>
      </w:r>
      <w:r w:rsidR="00986264" w:rsidRPr="008A52D1">
        <w:rPr>
          <w:rFonts w:ascii="Arial" w:eastAsia="Calibri" w:hAnsi="Arial" w:cs="Arial"/>
          <w:color w:val="FF0000"/>
          <w:sz w:val="26"/>
          <w:szCs w:val="26"/>
          <w:lang w:val="es-ES" w:eastAsia="es-ES"/>
        </w:rPr>
        <w:t xml:space="preserve">SLA </w:t>
      </w:r>
      <w:r w:rsidR="00986264" w:rsidRPr="003417DD">
        <w:rPr>
          <w:rFonts w:ascii="Arial" w:eastAsia="Calibri" w:hAnsi="Arial" w:cs="Arial"/>
          <w:sz w:val="26"/>
          <w:szCs w:val="26"/>
          <w:lang w:val="es-ES" w:eastAsia="es-ES"/>
        </w:rPr>
        <w:t xml:space="preserve">contrajeron matrimonio el </w:t>
      </w:r>
      <w:r w:rsidR="00164275">
        <w:rPr>
          <w:rFonts w:ascii="Arial" w:eastAsia="Calibri" w:hAnsi="Arial" w:cs="Arial"/>
          <w:sz w:val="26"/>
          <w:szCs w:val="26"/>
          <w:lang w:val="es-ES" w:eastAsia="es-ES"/>
        </w:rPr>
        <w:t>31 de mayo de 1977</w:t>
      </w:r>
      <w:r w:rsidR="00EE6520">
        <w:rPr>
          <w:rFonts w:ascii="Arial" w:eastAsia="Calibri" w:hAnsi="Arial" w:cs="Arial"/>
          <w:sz w:val="26"/>
          <w:szCs w:val="26"/>
          <w:lang w:val="es-ES" w:eastAsia="es-ES"/>
        </w:rPr>
        <w:t>.</w:t>
      </w:r>
      <w:r w:rsidR="00986264" w:rsidRPr="003417DD">
        <w:rPr>
          <w:rFonts w:ascii="Arial" w:eastAsia="Calibri" w:hAnsi="Arial" w:cs="Arial"/>
          <w:sz w:val="26"/>
          <w:szCs w:val="26"/>
          <w:lang w:val="es-ES" w:eastAsia="es-ES"/>
        </w:rPr>
        <w:t xml:space="preserve"> En 2021, </w:t>
      </w:r>
      <w:r w:rsidR="00986264" w:rsidRPr="008A52D1">
        <w:rPr>
          <w:rFonts w:ascii="Arial" w:eastAsia="Calibri" w:hAnsi="Arial" w:cs="Arial"/>
          <w:color w:val="FF0000"/>
          <w:sz w:val="26"/>
          <w:szCs w:val="26"/>
          <w:lang w:val="es-ES" w:eastAsia="es-ES"/>
        </w:rPr>
        <w:t>MG</w:t>
      </w:r>
      <w:r w:rsidR="00986264" w:rsidRPr="003417DD">
        <w:rPr>
          <w:rFonts w:ascii="Arial" w:eastAsia="Calibri" w:hAnsi="Arial" w:cs="Arial"/>
          <w:sz w:val="26"/>
          <w:szCs w:val="26"/>
          <w:lang w:val="es-ES" w:eastAsia="es-ES"/>
        </w:rPr>
        <w:t xml:space="preserve"> present</w:t>
      </w:r>
      <w:r w:rsidR="008A52D1">
        <w:rPr>
          <w:rFonts w:ascii="Arial" w:eastAsia="Calibri" w:hAnsi="Arial" w:cs="Arial"/>
          <w:sz w:val="26"/>
          <w:szCs w:val="26"/>
          <w:lang w:val="es-ES" w:eastAsia="es-ES"/>
        </w:rPr>
        <w:t>ó</w:t>
      </w:r>
      <w:r w:rsidR="00986264" w:rsidRPr="003417DD">
        <w:rPr>
          <w:rFonts w:ascii="Arial" w:eastAsia="Calibri" w:hAnsi="Arial" w:cs="Arial"/>
          <w:sz w:val="26"/>
          <w:szCs w:val="26"/>
          <w:lang w:val="es-ES" w:eastAsia="es-ES"/>
        </w:rPr>
        <w:t xml:space="preserve"> una demanda de nulidad del matrimoni</w:t>
      </w:r>
      <w:r w:rsidR="00EE6520">
        <w:rPr>
          <w:rFonts w:ascii="Arial" w:eastAsia="Calibri" w:hAnsi="Arial" w:cs="Arial"/>
          <w:sz w:val="26"/>
          <w:szCs w:val="26"/>
          <w:lang w:val="es-ES" w:eastAsia="es-ES"/>
        </w:rPr>
        <w:t>o, en la que solicitó que</w:t>
      </w:r>
      <w:r w:rsidR="006071F7">
        <w:rPr>
          <w:rFonts w:ascii="Arial" w:eastAsia="Calibri" w:hAnsi="Arial" w:cs="Arial"/>
          <w:sz w:val="26"/>
          <w:szCs w:val="26"/>
          <w:lang w:val="es-ES" w:eastAsia="es-ES"/>
        </w:rPr>
        <w:t>,</w:t>
      </w:r>
      <w:r w:rsidR="00EE6520">
        <w:rPr>
          <w:rFonts w:ascii="Arial" w:eastAsia="Calibri" w:hAnsi="Arial" w:cs="Arial"/>
          <w:sz w:val="26"/>
          <w:szCs w:val="26"/>
          <w:lang w:val="es-ES" w:eastAsia="es-ES"/>
        </w:rPr>
        <w:t xml:space="preserve"> conforme al artículo 336 del Código Civil del Estado de Jalisco</w:t>
      </w:r>
      <w:r w:rsidR="006071F7">
        <w:rPr>
          <w:rFonts w:ascii="Arial" w:eastAsia="Calibri" w:hAnsi="Arial" w:cs="Arial"/>
          <w:sz w:val="26"/>
          <w:szCs w:val="26"/>
          <w:lang w:val="es-ES" w:eastAsia="es-ES"/>
        </w:rPr>
        <w:t xml:space="preserve">, el demandado no tuviera </w:t>
      </w:r>
      <w:r w:rsidR="006071F7" w:rsidRPr="006071F7">
        <w:rPr>
          <w:rFonts w:ascii="Arial" w:eastAsia="Calibri" w:hAnsi="Arial" w:cs="Arial"/>
          <w:sz w:val="26"/>
          <w:szCs w:val="26"/>
          <w:lang w:val="es-ES" w:eastAsia="es-ES"/>
        </w:rPr>
        <w:t>parte en l</w:t>
      </w:r>
      <w:r w:rsidR="007C71EF">
        <w:rPr>
          <w:rFonts w:ascii="Arial" w:eastAsia="Calibri" w:hAnsi="Arial" w:cs="Arial"/>
          <w:sz w:val="26"/>
          <w:szCs w:val="26"/>
          <w:lang w:val="es-ES" w:eastAsia="es-ES"/>
        </w:rPr>
        <w:t>o</w:t>
      </w:r>
      <w:r w:rsidR="006071F7" w:rsidRPr="006071F7">
        <w:rPr>
          <w:rFonts w:ascii="Arial" w:eastAsia="Calibri" w:hAnsi="Arial" w:cs="Arial"/>
          <w:sz w:val="26"/>
          <w:szCs w:val="26"/>
          <w:lang w:val="es-ES" w:eastAsia="es-ES"/>
        </w:rPr>
        <w:t>s gananciales de la sociedad.</w:t>
      </w:r>
      <w:r w:rsidR="00877023">
        <w:rPr>
          <w:rFonts w:ascii="Arial" w:eastAsia="Calibri" w:hAnsi="Arial" w:cs="Arial"/>
          <w:sz w:val="26"/>
          <w:szCs w:val="26"/>
          <w:lang w:val="es-ES" w:eastAsia="es-ES"/>
        </w:rPr>
        <w:t xml:space="preserve"> Luego de un primer juicio de amparo, la sala de apelación </w:t>
      </w:r>
      <w:r w:rsidR="003E5EA4" w:rsidRPr="003E5EA4">
        <w:rPr>
          <w:rFonts w:ascii="Arial" w:eastAsia="Calibri" w:hAnsi="Arial" w:cs="Arial"/>
          <w:sz w:val="26"/>
          <w:szCs w:val="26"/>
          <w:lang w:val="es-ES" w:eastAsia="es-ES"/>
        </w:rPr>
        <w:t>declaró la pérdida del demandado de l</w:t>
      </w:r>
      <w:r w:rsidR="00150DED">
        <w:rPr>
          <w:rFonts w:ascii="Arial" w:eastAsia="Calibri" w:hAnsi="Arial" w:cs="Arial"/>
          <w:sz w:val="26"/>
          <w:szCs w:val="26"/>
          <w:lang w:val="es-ES" w:eastAsia="es-ES"/>
        </w:rPr>
        <w:t>o</w:t>
      </w:r>
      <w:r w:rsidR="003E5EA4" w:rsidRPr="003E5EA4">
        <w:rPr>
          <w:rFonts w:ascii="Arial" w:eastAsia="Calibri" w:hAnsi="Arial" w:cs="Arial"/>
          <w:sz w:val="26"/>
          <w:szCs w:val="26"/>
          <w:lang w:val="es-ES" w:eastAsia="es-ES"/>
        </w:rPr>
        <w:t>s gananciales adquirid</w:t>
      </w:r>
      <w:r w:rsidR="00150DED">
        <w:rPr>
          <w:rFonts w:ascii="Arial" w:eastAsia="Calibri" w:hAnsi="Arial" w:cs="Arial"/>
          <w:sz w:val="26"/>
          <w:szCs w:val="26"/>
          <w:lang w:val="es-ES" w:eastAsia="es-ES"/>
        </w:rPr>
        <w:t>o</w:t>
      </w:r>
      <w:r w:rsidR="003E5EA4" w:rsidRPr="003E5EA4">
        <w:rPr>
          <w:rFonts w:ascii="Arial" w:eastAsia="Calibri" w:hAnsi="Arial" w:cs="Arial"/>
          <w:sz w:val="26"/>
          <w:szCs w:val="26"/>
          <w:lang w:val="es-ES" w:eastAsia="es-ES"/>
        </w:rPr>
        <w:t xml:space="preserve">s en la sociedad conyugal formada con la señora </w:t>
      </w:r>
      <w:r w:rsidR="003E5EA4" w:rsidRPr="00843CE9">
        <w:rPr>
          <w:rFonts w:ascii="Arial" w:eastAsia="Calibri" w:hAnsi="Arial" w:cs="Arial"/>
          <w:color w:val="FF0000"/>
          <w:sz w:val="26"/>
          <w:szCs w:val="26"/>
          <w:lang w:val="es-ES" w:eastAsia="es-ES"/>
        </w:rPr>
        <w:t xml:space="preserve">GI </w:t>
      </w:r>
      <w:r w:rsidR="003E5EA4" w:rsidRPr="003E5EA4">
        <w:rPr>
          <w:rFonts w:ascii="Arial" w:eastAsia="Calibri" w:hAnsi="Arial" w:cs="Arial"/>
          <w:sz w:val="26"/>
          <w:szCs w:val="26"/>
          <w:lang w:val="es-ES" w:eastAsia="es-ES"/>
        </w:rPr>
        <w:t>y lo condenó al pago de las costas judiciales correspondientes</w:t>
      </w:r>
      <w:r w:rsidR="003E5EA4" w:rsidRPr="003E5EA4">
        <w:rPr>
          <w:rFonts w:ascii="Arial" w:eastAsia="Calibri" w:hAnsi="Arial" w:cs="Arial"/>
          <w:b/>
          <w:bCs/>
          <w:sz w:val="26"/>
          <w:szCs w:val="26"/>
          <w:lang w:val="es-ES" w:eastAsia="es-ES"/>
        </w:rPr>
        <w:t>.</w:t>
      </w:r>
    </w:p>
    <w:p w14:paraId="50637D83" w14:textId="77777777" w:rsidR="007B73F8" w:rsidRDefault="007B73F8" w:rsidP="003C79EE">
      <w:pPr>
        <w:tabs>
          <w:tab w:val="left" w:pos="426"/>
        </w:tabs>
        <w:jc w:val="both"/>
        <w:rPr>
          <w:rFonts w:ascii="Arial" w:eastAsia="Calibri" w:hAnsi="Arial" w:cs="Arial"/>
          <w:b/>
          <w:bCs/>
          <w:sz w:val="26"/>
          <w:szCs w:val="26"/>
          <w:lang w:val="es-ES" w:eastAsia="es-ES"/>
        </w:rPr>
      </w:pPr>
    </w:p>
    <w:p w14:paraId="73F654E7" w14:textId="563B27F4" w:rsidR="003C79EE" w:rsidRDefault="007B73F8" w:rsidP="003C79EE">
      <w:pPr>
        <w:tabs>
          <w:tab w:val="left" w:pos="426"/>
        </w:tabs>
        <w:jc w:val="both"/>
        <w:rPr>
          <w:rFonts w:ascii="Arial" w:eastAsia="Calibri" w:hAnsi="Arial" w:cs="Arial"/>
          <w:sz w:val="26"/>
          <w:szCs w:val="26"/>
          <w:lang w:val="es-ES" w:eastAsia="es-ES"/>
        </w:rPr>
      </w:pPr>
      <w:r w:rsidRPr="00047BA1">
        <w:rPr>
          <w:rFonts w:ascii="Arial" w:eastAsia="Calibri" w:hAnsi="Arial" w:cs="Arial"/>
          <w:sz w:val="26"/>
          <w:szCs w:val="26"/>
          <w:lang w:val="es-ES" w:eastAsia="es-ES"/>
        </w:rPr>
        <w:t xml:space="preserve">En contra de esa resolución, el señor </w:t>
      </w:r>
      <w:r w:rsidRPr="00843CE9">
        <w:rPr>
          <w:rFonts w:ascii="Arial" w:eastAsia="Calibri" w:hAnsi="Arial" w:cs="Arial"/>
          <w:color w:val="FF0000"/>
          <w:sz w:val="26"/>
          <w:szCs w:val="26"/>
          <w:lang w:val="es-ES" w:eastAsia="es-ES"/>
        </w:rPr>
        <w:t xml:space="preserve">LA </w:t>
      </w:r>
      <w:r w:rsidRPr="00047BA1">
        <w:rPr>
          <w:rFonts w:ascii="Arial" w:eastAsia="Calibri" w:hAnsi="Arial" w:cs="Arial"/>
          <w:sz w:val="26"/>
          <w:szCs w:val="26"/>
          <w:lang w:val="es-ES" w:eastAsia="es-ES"/>
        </w:rPr>
        <w:t>promovió una demanda de amparo</w:t>
      </w:r>
      <w:r w:rsidR="004552DA">
        <w:rPr>
          <w:rFonts w:ascii="Arial" w:eastAsia="Calibri" w:hAnsi="Arial" w:cs="Arial"/>
          <w:sz w:val="26"/>
          <w:szCs w:val="26"/>
          <w:lang w:val="es-ES" w:eastAsia="es-ES"/>
        </w:rPr>
        <w:t>.</w:t>
      </w:r>
      <w:r w:rsidRPr="00047BA1">
        <w:rPr>
          <w:rFonts w:ascii="Arial" w:eastAsia="Calibri" w:hAnsi="Arial" w:cs="Arial"/>
          <w:sz w:val="26"/>
          <w:szCs w:val="26"/>
          <w:lang w:val="es-ES" w:eastAsia="es-ES"/>
        </w:rPr>
        <w:t xml:space="preserve"> </w:t>
      </w:r>
      <w:r w:rsidR="004552DA">
        <w:rPr>
          <w:rFonts w:ascii="Arial" w:eastAsia="Calibri" w:hAnsi="Arial" w:cs="Arial"/>
          <w:sz w:val="26"/>
          <w:szCs w:val="26"/>
          <w:lang w:val="es-ES" w:eastAsia="es-ES"/>
        </w:rPr>
        <w:t>E</w:t>
      </w:r>
      <w:r w:rsidRPr="00047BA1">
        <w:rPr>
          <w:rFonts w:ascii="Arial" w:eastAsia="Calibri" w:hAnsi="Arial" w:cs="Arial"/>
          <w:sz w:val="26"/>
          <w:szCs w:val="26"/>
          <w:lang w:val="es-ES" w:eastAsia="es-ES"/>
        </w:rPr>
        <w:t xml:space="preserve">l tribunal colegiado determinó que, aunque se encontraba probada la mala fe </w:t>
      </w:r>
      <w:r w:rsidR="00127065">
        <w:rPr>
          <w:rFonts w:ascii="Arial" w:eastAsia="Calibri" w:hAnsi="Arial" w:cs="Arial"/>
          <w:sz w:val="26"/>
          <w:szCs w:val="26"/>
          <w:lang w:val="es-ES" w:eastAsia="es-ES"/>
        </w:rPr>
        <w:t xml:space="preserve">del demandado, </w:t>
      </w:r>
      <w:r w:rsidRPr="00047BA1">
        <w:rPr>
          <w:rFonts w:ascii="Arial" w:eastAsia="Calibri" w:hAnsi="Arial" w:cs="Arial"/>
          <w:sz w:val="26"/>
          <w:szCs w:val="26"/>
          <w:lang w:val="es-ES" w:eastAsia="es-ES"/>
        </w:rPr>
        <w:t>la sanción</w:t>
      </w:r>
      <w:r w:rsidR="009A0637">
        <w:rPr>
          <w:rFonts w:ascii="Arial" w:eastAsia="Calibri" w:hAnsi="Arial" w:cs="Arial"/>
          <w:sz w:val="26"/>
          <w:szCs w:val="26"/>
          <w:lang w:val="es-ES" w:eastAsia="es-ES"/>
        </w:rPr>
        <w:t xml:space="preserve"> establecida en el artículo reclamado era inconstitucional</w:t>
      </w:r>
      <w:r w:rsidR="00D968D4">
        <w:rPr>
          <w:rFonts w:ascii="Arial" w:eastAsia="Calibri" w:hAnsi="Arial" w:cs="Arial"/>
          <w:sz w:val="26"/>
          <w:szCs w:val="26"/>
          <w:lang w:val="es-ES" w:eastAsia="es-ES"/>
        </w:rPr>
        <w:t xml:space="preserve"> por absoluta y excesiva</w:t>
      </w:r>
      <w:r w:rsidR="009A0637">
        <w:rPr>
          <w:rFonts w:ascii="Arial" w:eastAsia="Calibri" w:hAnsi="Arial" w:cs="Arial"/>
          <w:sz w:val="26"/>
          <w:szCs w:val="26"/>
          <w:lang w:val="es-ES" w:eastAsia="es-ES"/>
        </w:rPr>
        <w:t>. El tribunal consideró que l</w:t>
      </w:r>
      <w:r w:rsidR="009A0637" w:rsidRPr="009A0637">
        <w:rPr>
          <w:rFonts w:ascii="Arial" w:eastAsia="Calibri" w:hAnsi="Arial" w:cs="Arial"/>
          <w:sz w:val="26"/>
          <w:szCs w:val="26"/>
          <w:lang w:val="es-ES" w:eastAsia="es-ES"/>
        </w:rPr>
        <w:t>a medida no es idónea para satisfacer el fin constitucional y tampoco es proporcional en función de la finalidad que persigue porque, aunque la familia es una institución enérgicamente protegida por la Constitución</w:t>
      </w:r>
      <w:r w:rsidR="008A07FB">
        <w:rPr>
          <w:rFonts w:ascii="Arial" w:eastAsia="Calibri" w:hAnsi="Arial" w:cs="Arial"/>
          <w:sz w:val="26"/>
          <w:szCs w:val="26"/>
          <w:lang w:val="es-ES" w:eastAsia="es-ES"/>
        </w:rPr>
        <w:t xml:space="preserve"> Federal</w:t>
      </w:r>
      <w:r w:rsidR="009A0637" w:rsidRPr="009A0637">
        <w:rPr>
          <w:rFonts w:ascii="Arial" w:eastAsia="Calibri" w:hAnsi="Arial" w:cs="Arial"/>
          <w:sz w:val="26"/>
          <w:szCs w:val="26"/>
          <w:lang w:val="es-ES" w:eastAsia="es-ES"/>
        </w:rPr>
        <w:t>, no sólo deben garantizarse los derechos y responsabilidades durante el matrimonio, sino también debe procurarse que</w:t>
      </w:r>
      <w:r w:rsidR="00463FCA">
        <w:rPr>
          <w:rFonts w:ascii="Arial" w:eastAsia="Calibri" w:hAnsi="Arial" w:cs="Arial"/>
          <w:sz w:val="26"/>
          <w:szCs w:val="26"/>
          <w:lang w:val="es-ES" w:eastAsia="es-ES"/>
        </w:rPr>
        <w:t>,</w:t>
      </w:r>
      <w:r w:rsidR="009A0637" w:rsidRPr="009A0637">
        <w:rPr>
          <w:rFonts w:ascii="Arial" w:eastAsia="Calibri" w:hAnsi="Arial" w:cs="Arial"/>
          <w:sz w:val="26"/>
          <w:szCs w:val="26"/>
          <w:lang w:val="es-ES" w:eastAsia="es-ES"/>
        </w:rPr>
        <w:t xml:space="preserve"> una vez terminado, el impacto a los derechos patrimoniales de quienes estuvieron casados no sea tan lesivo.</w:t>
      </w:r>
      <w:r w:rsidRPr="00047BA1">
        <w:rPr>
          <w:rFonts w:ascii="Arial" w:eastAsia="Calibri" w:hAnsi="Arial" w:cs="Arial"/>
          <w:sz w:val="26"/>
          <w:szCs w:val="26"/>
          <w:lang w:val="es-ES" w:eastAsia="es-ES"/>
        </w:rPr>
        <w:t xml:space="preserve"> </w:t>
      </w:r>
      <w:r w:rsidR="003E5EA4" w:rsidRPr="00047BA1">
        <w:rPr>
          <w:rFonts w:ascii="Arial" w:eastAsia="Calibri" w:hAnsi="Arial" w:cs="Arial"/>
          <w:sz w:val="26"/>
          <w:szCs w:val="26"/>
          <w:lang w:val="es-ES" w:eastAsia="es-ES"/>
        </w:rPr>
        <w:t xml:space="preserve"> </w:t>
      </w:r>
    </w:p>
    <w:p w14:paraId="1D1720FC" w14:textId="77777777" w:rsidR="00D968D4" w:rsidRDefault="00D968D4" w:rsidP="003C79EE">
      <w:pPr>
        <w:tabs>
          <w:tab w:val="left" w:pos="426"/>
        </w:tabs>
        <w:jc w:val="both"/>
        <w:rPr>
          <w:rFonts w:ascii="Arial" w:eastAsia="Calibri" w:hAnsi="Arial" w:cs="Arial"/>
          <w:sz w:val="26"/>
          <w:szCs w:val="26"/>
          <w:lang w:val="es-ES" w:eastAsia="es-ES"/>
        </w:rPr>
      </w:pPr>
    </w:p>
    <w:p w14:paraId="60D5A283" w14:textId="09951975" w:rsidR="009158F4" w:rsidRPr="00047BA1" w:rsidRDefault="00D968D4" w:rsidP="003C79EE">
      <w:pPr>
        <w:tabs>
          <w:tab w:val="left" w:pos="426"/>
        </w:tabs>
        <w:jc w:val="both"/>
        <w:rPr>
          <w:rFonts w:ascii="Arial" w:eastAsia="Calibri" w:hAnsi="Arial" w:cs="Arial"/>
          <w:sz w:val="26"/>
          <w:szCs w:val="26"/>
          <w:lang w:val="es-ES" w:eastAsia="es-ES"/>
        </w:rPr>
      </w:pPr>
      <w:r>
        <w:rPr>
          <w:rFonts w:ascii="Arial" w:eastAsia="Calibri" w:hAnsi="Arial" w:cs="Arial"/>
          <w:sz w:val="26"/>
          <w:szCs w:val="26"/>
          <w:lang w:val="es-ES" w:eastAsia="es-ES"/>
        </w:rPr>
        <w:t>En contra de esta resolución, la actora interpuso un recurso de revisión, materia de esta resolución, en el que argument</w:t>
      </w:r>
      <w:r w:rsidR="006C21E1">
        <w:rPr>
          <w:rFonts w:ascii="Arial" w:eastAsia="Calibri" w:hAnsi="Arial" w:cs="Arial"/>
          <w:sz w:val="26"/>
          <w:szCs w:val="26"/>
          <w:lang w:val="es-ES" w:eastAsia="es-ES"/>
        </w:rPr>
        <w:t>ó</w:t>
      </w:r>
      <w:r>
        <w:rPr>
          <w:rFonts w:ascii="Arial" w:eastAsia="Calibri" w:hAnsi="Arial" w:cs="Arial"/>
          <w:sz w:val="26"/>
          <w:szCs w:val="26"/>
          <w:lang w:val="es-ES" w:eastAsia="es-ES"/>
        </w:rPr>
        <w:t xml:space="preserve"> que </w:t>
      </w:r>
      <w:r w:rsidR="006C21E1" w:rsidRPr="006C21E1">
        <w:rPr>
          <w:rFonts w:ascii="Arial" w:eastAsia="Calibri" w:hAnsi="Arial" w:cs="Arial"/>
          <w:sz w:val="26"/>
          <w:szCs w:val="26"/>
          <w:lang w:val="es-ES" w:eastAsia="es-ES"/>
        </w:rPr>
        <w:t>el tribunal colegiado no emitió argumentos suficientes para considerar desproporcional la sanción</w:t>
      </w:r>
      <w:r w:rsidR="00C63535">
        <w:rPr>
          <w:rFonts w:ascii="Arial" w:eastAsia="Calibri" w:hAnsi="Arial" w:cs="Arial"/>
          <w:sz w:val="26"/>
          <w:szCs w:val="26"/>
          <w:lang w:val="es-ES" w:eastAsia="es-ES"/>
        </w:rPr>
        <w:t xml:space="preserve">. Asimismo, argumentó que </w:t>
      </w:r>
      <w:r w:rsidR="00C63535" w:rsidRPr="00C63535">
        <w:rPr>
          <w:rFonts w:ascii="Arial" w:eastAsia="Calibri" w:hAnsi="Arial" w:cs="Arial"/>
          <w:sz w:val="26"/>
          <w:szCs w:val="26"/>
          <w:lang w:val="es-ES" w:eastAsia="es-ES"/>
        </w:rPr>
        <w:t>no se trata de una medida desproporcionada, pues pretende proteger a la familia y, específicamente, al matrimonio. Señala que las apreciaciones del tribunal colegiado únicamente toman en cuenta el punto de vista económico</w:t>
      </w:r>
      <w:r w:rsidR="00587DBF">
        <w:rPr>
          <w:rFonts w:ascii="Arial" w:eastAsia="Calibri" w:hAnsi="Arial" w:cs="Arial"/>
          <w:sz w:val="26"/>
          <w:szCs w:val="26"/>
          <w:lang w:val="es-ES" w:eastAsia="es-ES"/>
        </w:rPr>
        <w:t xml:space="preserve"> y</w:t>
      </w:r>
      <w:r w:rsidR="00C63535" w:rsidRPr="00C63535">
        <w:rPr>
          <w:rFonts w:ascii="Arial" w:eastAsia="Calibri" w:hAnsi="Arial" w:cs="Arial"/>
          <w:sz w:val="26"/>
          <w:szCs w:val="26"/>
          <w:lang w:val="es-ES" w:eastAsia="es-ES"/>
        </w:rPr>
        <w:t xml:space="preserve"> omiten analizar la importancia constitucional, institucional y social del matrimonio</w:t>
      </w:r>
      <w:r w:rsidR="009158F4">
        <w:rPr>
          <w:rFonts w:ascii="Arial" w:eastAsia="Calibri" w:hAnsi="Arial" w:cs="Arial"/>
          <w:sz w:val="26"/>
          <w:szCs w:val="26"/>
          <w:lang w:val="es-ES" w:eastAsia="es-ES"/>
        </w:rPr>
        <w:t xml:space="preserve">. </w:t>
      </w:r>
    </w:p>
    <w:p w14:paraId="3EFEF1CA" w14:textId="77777777" w:rsidR="00AA2B26" w:rsidRPr="003417DD" w:rsidRDefault="00AA2B26" w:rsidP="003C79EE">
      <w:pPr>
        <w:tabs>
          <w:tab w:val="left" w:pos="426"/>
        </w:tabs>
        <w:jc w:val="both"/>
        <w:rPr>
          <w:rFonts w:ascii="Arial" w:eastAsia="Calibri" w:hAnsi="Arial" w:cs="Arial"/>
          <w:b/>
          <w:bCs/>
          <w:sz w:val="26"/>
          <w:szCs w:val="26"/>
          <w:lang w:val="es-ES" w:eastAsia="es-ES"/>
        </w:rPr>
      </w:pPr>
    </w:p>
    <w:tbl>
      <w:tblPr>
        <w:tblStyle w:val="Tablaconcuadrcula"/>
        <w:tblpPr w:leftFromText="141" w:rightFromText="141" w:vertAnchor="text" w:tblpY="1"/>
        <w:tblOverlap w:val="never"/>
        <w:tblW w:w="9326" w:type="dxa"/>
        <w:tblLayout w:type="fixed"/>
        <w:tblLook w:val="04A0" w:firstRow="1" w:lastRow="0" w:firstColumn="1" w:lastColumn="0" w:noHBand="0" w:noVBand="1"/>
      </w:tblPr>
      <w:tblGrid>
        <w:gridCol w:w="704"/>
        <w:gridCol w:w="3544"/>
        <w:gridCol w:w="3969"/>
        <w:gridCol w:w="1109"/>
      </w:tblGrid>
      <w:tr w:rsidR="00471D94" w:rsidRPr="003417DD" w14:paraId="274BE694" w14:textId="77777777" w:rsidTr="0075596D">
        <w:trPr>
          <w:trHeight w:val="64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4183B" w14:textId="77777777" w:rsidR="003C79EE" w:rsidRPr="003417DD" w:rsidRDefault="003C79EE" w:rsidP="0028440E">
            <w:pPr>
              <w:tabs>
                <w:tab w:val="left" w:pos="426"/>
              </w:tabs>
              <w:jc w:val="center"/>
              <w:rPr>
                <w:rFonts w:ascii="Arial" w:eastAsia="Calibri" w:hAnsi="Arial" w:cs="Arial"/>
                <w:b/>
                <w:bCs/>
                <w:sz w:val="26"/>
                <w:szCs w:val="26"/>
                <w:lang w:val="es-ES"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26215" w14:textId="77777777" w:rsidR="003C79EE" w:rsidRPr="003417DD" w:rsidRDefault="003C79EE" w:rsidP="0028440E">
            <w:pPr>
              <w:tabs>
                <w:tab w:val="left" w:pos="426"/>
              </w:tabs>
              <w:spacing w:before="240" w:after="240"/>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Apartado</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98083" w14:textId="77777777" w:rsidR="003C79EE" w:rsidRPr="003417DD" w:rsidRDefault="003C79EE" w:rsidP="0028440E">
            <w:pPr>
              <w:tabs>
                <w:tab w:val="left" w:pos="426"/>
              </w:tabs>
              <w:spacing w:before="240" w:after="240"/>
              <w:jc w:val="center"/>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Criterio y decisión</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042D54" w14:textId="77777777" w:rsidR="003C79EE" w:rsidRPr="003417DD" w:rsidRDefault="003C79EE" w:rsidP="0075596D">
            <w:pPr>
              <w:tabs>
                <w:tab w:val="left" w:pos="426"/>
              </w:tabs>
              <w:jc w:val="center"/>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Págs.</w:t>
            </w:r>
          </w:p>
        </w:tc>
      </w:tr>
      <w:tr w:rsidR="00471D94" w:rsidRPr="003417DD" w14:paraId="29081FC4" w14:textId="77777777" w:rsidTr="0075596D">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25D9874C" w14:textId="77777777" w:rsidR="003C79EE" w:rsidRPr="003417DD" w:rsidRDefault="003C79EE" w:rsidP="0028440E">
            <w:pPr>
              <w:tabs>
                <w:tab w:val="left" w:pos="426"/>
              </w:tabs>
              <w:jc w:val="center"/>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I.</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2825AF" w14:textId="77777777" w:rsidR="003C79EE" w:rsidRPr="003417DD" w:rsidRDefault="003C79EE" w:rsidP="0028440E">
            <w:pPr>
              <w:tabs>
                <w:tab w:val="left" w:pos="426"/>
              </w:tabs>
              <w:spacing w:before="240" w:after="240"/>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COMPETENCIA</w:t>
            </w:r>
          </w:p>
        </w:tc>
        <w:tc>
          <w:tcPr>
            <w:tcW w:w="3969" w:type="dxa"/>
            <w:tcBorders>
              <w:top w:val="single" w:sz="4" w:space="0" w:color="auto"/>
              <w:left w:val="single" w:sz="4" w:space="0" w:color="auto"/>
              <w:bottom w:val="single" w:sz="4" w:space="0" w:color="auto"/>
              <w:right w:val="single" w:sz="4" w:space="0" w:color="auto"/>
            </w:tcBorders>
            <w:hideMark/>
          </w:tcPr>
          <w:p w14:paraId="103A7176" w14:textId="5DCD56E8" w:rsidR="003C79EE" w:rsidRPr="003417DD" w:rsidRDefault="007C33F3" w:rsidP="0028440E">
            <w:pPr>
              <w:tabs>
                <w:tab w:val="left" w:pos="426"/>
              </w:tabs>
              <w:spacing w:before="240" w:after="240"/>
              <w:jc w:val="both"/>
              <w:rPr>
                <w:rFonts w:ascii="Arial" w:eastAsia="Calibri" w:hAnsi="Arial" w:cs="Arial"/>
                <w:bCs/>
                <w:sz w:val="26"/>
                <w:szCs w:val="26"/>
                <w:lang w:val="es-ES" w:eastAsia="es-ES"/>
              </w:rPr>
            </w:pPr>
            <w:r w:rsidRPr="003417DD">
              <w:rPr>
                <w:rFonts w:ascii="Arial" w:eastAsia="Calibri" w:hAnsi="Arial" w:cs="Arial"/>
                <w:bCs/>
                <w:sz w:val="26"/>
                <w:szCs w:val="26"/>
                <w:lang w:val="es-ES" w:eastAsia="es-ES"/>
              </w:rPr>
              <w:t>La Primera Sala</w:t>
            </w:r>
            <w:r w:rsidR="003474FF" w:rsidRPr="003417DD">
              <w:rPr>
                <w:rFonts w:ascii="Arial" w:eastAsia="Calibri" w:hAnsi="Arial" w:cs="Arial"/>
                <w:bCs/>
                <w:sz w:val="26"/>
                <w:szCs w:val="26"/>
                <w:lang w:val="es-ES" w:eastAsia="es-ES"/>
              </w:rPr>
              <w:t xml:space="preserve"> es competente para conocer del presente asunto.</w:t>
            </w:r>
          </w:p>
        </w:tc>
        <w:tc>
          <w:tcPr>
            <w:tcW w:w="1109" w:type="dxa"/>
            <w:tcBorders>
              <w:top w:val="single" w:sz="4" w:space="0" w:color="auto"/>
              <w:left w:val="single" w:sz="4" w:space="0" w:color="auto"/>
              <w:bottom w:val="single" w:sz="4" w:space="0" w:color="auto"/>
              <w:right w:val="single" w:sz="4" w:space="0" w:color="auto"/>
            </w:tcBorders>
          </w:tcPr>
          <w:p w14:paraId="77B1E10C" w14:textId="77777777" w:rsidR="00533BBF" w:rsidRDefault="00533BBF" w:rsidP="0075596D">
            <w:pPr>
              <w:tabs>
                <w:tab w:val="left" w:pos="426"/>
              </w:tabs>
              <w:jc w:val="center"/>
              <w:rPr>
                <w:rFonts w:ascii="Arial" w:eastAsia="Calibri" w:hAnsi="Arial" w:cs="Arial"/>
                <w:bCs/>
                <w:sz w:val="26"/>
                <w:szCs w:val="26"/>
                <w:lang w:val="es-ES" w:eastAsia="es-ES"/>
              </w:rPr>
            </w:pPr>
          </w:p>
          <w:p w14:paraId="2D1F68E7" w14:textId="039CD4C7" w:rsidR="003C79EE" w:rsidRPr="003417DD" w:rsidRDefault="00CB2C99" w:rsidP="0075596D">
            <w:pPr>
              <w:tabs>
                <w:tab w:val="left" w:pos="426"/>
              </w:tabs>
              <w:jc w:val="center"/>
              <w:rPr>
                <w:rFonts w:ascii="Arial" w:eastAsia="Calibri" w:hAnsi="Arial" w:cs="Arial"/>
                <w:bCs/>
                <w:sz w:val="26"/>
                <w:szCs w:val="26"/>
                <w:lang w:val="es-ES" w:eastAsia="es-ES"/>
              </w:rPr>
            </w:pPr>
            <w:r>
              <w:rPr>
                <w:rFonts w:ascii="Arial" w:eastAsia="Calibri" w:hAnsi="Arial" w:cs="Arial"/>
                <w:bCs/>
                <w:sz w:val="26"/>
                <w:szCs w:val="26"/>
                <w:lang w:val="es-ES" w:eastAsia="es-ES"/>
              </w:rPr>
              <w:t>1</w:t>
            </w:r>
            <w:r w:rsidR="003721BF">
              <w:rPr>
                <w:rFonts w:ascii="Arial" w:eastAsia="Calibri" w:hAnsi="Arial" w:cs="Arial"/>
                <w:bCs/>
                <w:sz w:val="26"/>
                <w:szCs w:val="26"/>
                <w:lang w:val="es-ES" w:eastAsia="es-ES"/>
              </w:rPr>
              <w:t>6</w:t>
            </w:r>
          </w:p>
        </w:tc>
      </w:tr>
      <w:tr w:rsidR="00471D94" w:rsidRPr="003417DD" w14:paraId="3E1BDA8E" w14:textId="77777777" w:rsidTr="0075596D">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37B75E5F" w14:textId="77777777" w:rsidR="003C79EE" w:rsidRPr="003417DD" w:rsidRDefault="003C79EE" w:rsidP="0028440E">
            <w:pPr>
              <w:tabs>
                <w:tab w:val="left" w:pos="426"/>
              </w:tabs>
              <w:jc w:val="center"/>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II.</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0AC36E2" w14:textId="77777777" w:rsidR="003C79EE" w:rsidRPr="003417DD" w:rsidRDefault="003C79EE" w:rsidP="0028440E">
            <w:pPr>
              <w:tabs>
                <w:tab w:val="left" w:pos="426"/>
              </w:tabs>
              <w:spacing w:before="240" w:after="240"/>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OPORTUNIDAD</w:t>
            </w:r>
          </w:p>
        </w:tc>
        <w:tc>
          <w:tcPr>
            <w:tcW w:w="3969" w:type="dxa"/>
            <w:tcBorders>
              <w:top w:val="single" w:sz="4" w:space="0" w:color="auto"/>
              <w:left w:val="single" w:sz="4" w:space="0" w:color="auto"/>
              <w:bottom w:val="single" w:sz="4" w:space="0" w:color="auto"/>
              <w:right w:val="single" w:sz="4" w:space="0" w:color="auto"/>
            </w:tcBorders>
            <w:hideMark/>
          </w:tcPr>
          <w:p w14:paraId="39C243CF" w14:textId="67474265" w:rsidR="003C79EE" w:rsidRPr="003417DD" w:rsidRDefault="003474FF" w:rsidP="0028440E">
            <w:pPr>
              <w:tabs>
                <w:tab w:val="left" w:pos="426"/>
              </w:tabs>
              <w:spacing w:before="240" w:after="240"/>
              <w:jc w:val="both"/>
              <w:rPr>
                <w:rFonts w:ascii="Arial" w:eastAsia="Calibri" w:hAnsi="Arial" w:cs="Arial"/>
                <w:bCs/>
                <w:sz w:val="26"/>
                <w:szCs w:val="26"/>
                <w:lang w:val="es-ES" w:eastAsia="es-ES"/>
              </w:rPr>
            </w:pPr>
            <w:r w:rsidRPr="003417DD">
              <w:rPr>
                <w:rFonts w:ascii="Arial" w:eastAsia="Calibri" w:hAnsi="Arial" w:cs="Arial"/>
                <w:bCs/>
                <w:sz w:val="26"/>
                <w:szCs w:val="26"/>
                <w:lang w:val="es-ES" w:eastAsia="es-ES"/>
              </w:rPr>
              <w:t xml:space="preserve">El </w:t>
            </w:r>
            <w:r w:rsidR="0086566E" w:rsidRPr="003417DD">
              <w:rPr>
                <w:rFonts w:ascii="Arial" w:eastAsia="Calibri" w:hAnsi="Arial" w:cs="Arial"/>
                <w:bCs/>
                <w:sz w:val="26"/>
                <w:szCs w:val="26"/>
                <w:lang w:val="es-ES" w:eastAsia="es-ES"/>
              </w:rPr>
              <w:t xml:space="preserve">recurso </w:t>
            </w:r>
            <w:r w:rsidRPr="003417DD">
              <w:rPr>
                <w:rFonts w:ascii="Arial" w:eastAsia="Calibri" w:hAnsi="Arial" w:cs="Arial"/>
                <w:bCs/>
                <w:sz w:val="26"/>
                <w:szCs w:val="26"/>
                <w:lang w:val="es-ES" w:eastAsia="es-ES"/>
              </w:rPr>
              <w:t>es oportuno.</w:t>
            </w:r>
          </w:p>
        </w:tc>
        <w:tc>
          <w:tcPr>
            <w:tcW w:w="1109" w:type="dxa"/>
            <w:tcBorders>
              <w:top w:val="single" w:sz="4" w:space="0" w:color="auto"/>
              <w:left w:val="single" w:sz="4" w:space="0" w:color="auto"/>
              <w:bottom w:val="single" w:sz="4" w:space="0" w:color="auto"/>
              <w:right w:val="single" w:sz="4" w:space="0" w:color="auto"/>
            </w:tcBorders>
          </w:tcPr>
          <w:p w14:paraId="216CE76F" w14:textId="77777777" w:rsidR="0075596D" w:rsidRDefault="0075596D" w:rsidP="0075596D">
            <w:pPr>
              <w:tabs>
                <w:tab w:val="left" w:pos="426"/>
              </w:tabs>
              <w:jc w:val="center"/>
              <w:rPr>
                <w:rFonts w:ascii="Arial" w:eastAsia="Calibri" w:hAnsi="Arial" w:cs="Arial"/>
                <w:bCs/>
                <w:sz w:val="26"/>
                <w:szCs w:val="26"/>
                <w:lang w:val="es-ES" w:eastAsia="es-ES"/>
              </w:rPr>
            </w:pPr>
          </w:p>
          <w:p w14:paraId="6CB02F84" w14:textId="4C5DC468" w:rsidR="003C79EE" w:rsidRPr="003417DD" w:rsidRDefault="00CB2C99" w:rsidP="0075596D">
            <w:pPr>
              <w:tabs>
                <w:tab w:val="left" w:pos="426"/>
              </w:tabs>
              <w:jc w:val="center"/>
              <w:rPr>
                <w:rFonts w:ascii="Arial" w:eastAsia="Calibri" w:hAnsi="Arial" w:cs="Arial"/>
                <w:bCs/>
                <w:sz w:val="26"/>
                <w:szCs w:val="26"/>
                <w:lang w:val="es-ES" w:eastAsia="es-ES"/>
              </w:rPr>
            </w:pPr>
            <w:r>
              <w:rPr>
                <w:rFonts w:ascii="Arial" w:eastAsia="Calibri" w:hAnsi="Arial" w:cs="Arial"/>
                <w:bCs/>
                <w:sz w:val="26"/>
                <w:szCs w:val="26"/>
                <w:lang w:val="es-ES" w:eastAsia="es-ES"/>
              </w:rPr>
              <w:t>1</w:t>
            </w:r>
            <w:r w:rsidR="00533BBF">
              <w:rPr>
                <w:rFonts w:ascii="Arial" w:eastAsia="Calibri" w:hAnsi="Arial" w:cs="Arial"/>
                <w:bCs/>
                <w:sz w:val="26"/>
                <w:szCs w:val="26"/>
                <w:lang w:val="es-ES" w:eastAsia="es-ES"/>
              </w:rPr>
              <w:t>7</w:t>
            </w:r>
          </w:p>
        </w:tc>
      </w:tr>
      <w:tr w:rsidR="00471D94" w:rsidRPr="003417DD" w14:paraId="32B61028" w14:textId="77777777" w:rsidTr="0075596D">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4D9C6050" w14:textId="77777777" w:rsidR="003C79EE" w:rsidRPr="003417DD" w:rsidRDefault="003C79EE" w:rsidP="0028440E">
            <w:pPr>
              <w:tabs>
                <w:tab w:val="left" w:pos="426"/>
              </w:tabs>
              <w:jc w:val="center"/>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lastRenderedPageBreak/>
              <w:t>III.</w:t>
            </w:r>
          </w:p>
        </w:tc>
        <w:tc>
          <w:tcPr>
            <w:tcW w:w="3544" w:type="dxa"/>
            <w:tcBorders>
              <w:top w:val="single" w:sz="4" w:space="0" w:color="auto"/>
              <w:left w:val="single" w:sz="4" w:space="0" w:color="auto"/>
              <w:bottom w:val="single" w:sz="4" w:space="0" w:color="auto"/>
              <w:right w:val="single" w:sz="4" w:space="0" w:color="auto"/>
            </w:tcBorders>
            <w:vAlign w:val="center"/>
          </w:tcPr>
          <w:p w14:paraId="0327B808" w14:textId="77777777" w:rsidR="003C79EE" w:rsidRPr="003417DD" w:rsidRDefault="003C79EE" w:rsidP="0028440E">
            <w:pPr>
              <w:tabs>
                <w:tab w:val="left" w:pos="426"/>
              </w:tabs>
              <w:spacing w:before="240" w:after="240"/>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LEGITIMACIÓN</w:t>
            </w:r>
          </w:p>
        </w:tc>
        <w:tc>
          <w:tcPr>
            <w:tcW w:w="3969" w:type="dxa"/>
            <w:tcBorders>
              <w:top w:val="single" w:sz="4" w:space="0" w:color="auto"/>
              <w:left w:val="single" w:sz="4" w:space="0" w:color="auto"/>
              <w:bottom w:val="single" w:sz="4" w:space="0" w:color="auto"/>
              <w:right w:val="single" w:sz="4" w:space="0" w:color="auto"/>
            </w:tcBorders>
            <w:hideMark/>
          </w:tcPr>
          <w:p w14:paraId="25CBABA7" w14:textId="33CB0B83" w:rsidR="003C79EE" w:rsidRPr="003417DD" w:rsidRDefault="003474FF" w:rsidP="0028440E">
            <w:pPr>
              <w:tabs>
                <w:tab w:val="left" w:pos="426"/>
              </w:tabs>
              <w:spacing w:before="240" w:after="240"/>
              <w:jc w:val="both"/>
              <w:rPr>
                <w:rFonts w:ascii="Arial" w:eastAsia="Calibri" w:hAnsi="Arial" w:cs="Arial"/>
                <w:bCs/>
                <w:sz w:val="26"/>
                <w:szCs w:val="26"/>
                <w:lang w:val="es-ES" w:eastAsia="es-ES"/>
              </w:rPr>
            </w:pPr>
            <w:r w:rsidRPr="003417DD">
              <w:rPr>
                <w:rFonts w:ascii="Arial" w:eastAsia="Calibri" w:hAnsi="Arial" w:cs="Arial"/>
                <w:bCs/>
                <w:sz w:val="26"/>
                <w:szCs w:val="26"/>
                <w:lang w:val="es-ES" w:eastAsia="es-ES"/>
              </w:rPr>
              <w:t>La parte recurrente cuenta con legitimación.</w:t>
            </w:r>
          </w:p>
        </w:tc>
        <w:tc>
          <w:tcPr>
            <w:tcW w:w="1109" w:type="dxa"/>
            <w:tcBorders>
              <w:top w:val="single" w:sz="4" w:space="0" w:color="auto"/>
              <w:left w:val="single" w:sz="4" w:space="0" w:color="auto"/>
              <w:bottom w:val="single" w:sz="4" w:space="0" w:color="auto"/>
              <w:right w:val="single" w:sz="4" w:space="0" w:color="auto"/>
            </w:tcBorders>
          </w:tcPr>
          <w:p w14:paraId="58134BC5" w14:textId="77777777" w:rsidR="0075596D" w:rsidRDefault="0075596D" w:rsidP="0075596D">
            <w:pPr>
              <w:tabs>
                <w:tab w:val="left" w:pos="426"/>
              </w:tabs>
              <w:jc w:val="center"/>
              <w:rPr>
                <w:rFonts w:ascii="Arial" w:eastAsia="Calibri" w:hAnsi="Arial" w:cs="Arial"/>
                <w:bCs/>
                <w:sz w:val="26"/>
                <w:szCs w:val="26"/>
                <w:lang w:val="es-ES" w:eastAsia="es-ES"/>
              </w:rPr>
            </w:pPr>
          </w:p>
          <w:p w14:paraId="1184E79C" w14:textId="143D7987" w:rsidR="003C79EE" w:rsidRPr="003417DD" w:rsidRDefault="00533BBF" w:rsidP="0075596D">
            <w:pPr>
              <w:tabs>
                <w:tab w:val="left" w:pos="426"/>
              </w:tabs>
              <w:jc w:val="center"/>
              <w:rPr>
                <w:rFonts w:ascii="Arial" w:eastAsia="Calibri" w:hAnsi="Arial" w:cs="Arial"/>
                <w:bCs/>
                <w:sz w:val="26"/>
                <w:szCs w:val="26"/>
                <w:lang w:val="es-ES" w:eastAsia="es-ES"/>
              </w:rPr>
            </w:pPr>
            <w:r>
              <w:rPr>
                <w:rFonts w:ascii="Arial" w:eastAsia="Calibri" w:hAnsi="Arial" w:cs="Arial"/>
                <w:bCs/>
                <w:sz w:val="26"/>
                <w:szCs w:val="26"/>
                <w:lang w:val="es-ES" w:eastAsia="es-ES"/>
              </w:rPr>
              <w:t>1</w:t>
            </w:r>
            <w:r w:rsidR="003721BF">
              <w:rPr>
                <w:rFonts w:ascii="Arial" w:eastAsia="Calibri" w:hAnsi="Arial" w:cs="Arial"/>
                <w:bCs/>
                <w:sz w:val="26"/>
                <w:szCs w:val="26"/>
                <w:lang w:val="es-ES" w:eastAsia="es-ES"/>
              </w:rPr>
              <w:t>7</w:t>
            </w:r>
          </w:p>
        </w:tc>
      </w:tr>
      <w:tr w:rsidR="00471D94" w:rsidRPr="003417DD" w14:paraId="3BBA66F2" w14:textId="77777777" w:rsidTr="0075596D">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0D96A91F" w14:textId="77777777" w:rsidR="003C79EE" w:rsidRPr="003417DD" w:rsidRDefault="003C79EE" w:rsidP="0028440E">
            <w:pPr>
              <w:tabs>
                <w:tab w:val="left" w:pos="426"/>
              </w:tabs>
              <w:jc w:val="center"/>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IV.</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E2D4E3" w14:textId="77777777" w:rsidR="003C79EE" w:rsidRPr="003417DD" w:rsidRDefault="00471D94" w:rsidP="0028440E">
            <w:pPr>
              <w:tabs>
                <w:tab w:val="left" w:pos="426"/>
              </w:tabs>
              <w:spacing w:before="240" w:after="240"/>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ESTUDIO DE LA PROCEDENCIA DEL RECURSO</w:t>
            </w:r>
          </w:p>
        </w:tc>
        <w:tc>
          <w:tcPr>
            <w:tcW w:w="3969" w:type="dxa"/>
            <w:tcBorders>
              <w:top w:val="single" w:sz="4" w:space="0" w:color="auto"/>
              <w:left w:val="single" w:sz="4" w:space="0" w:color="auto"/>
              <w:bottom w:val="single" w:sz="4" w:space="0" w:color="auto"/>
              <w:right w:val="single" w:sz="4" w:space="0" w:color="auto"/>
            </w:tcBorders>
            <w:hideMark/>
          </w:tcPr>
          <w:p w14:paraId="040E0560" w14:textId="7E275014" w:rsidR="003C79EE" w:rsidRPr="003417DD" w:rsidRDefault="003474FF" w:rsidP="0028440E">
            <w:pPr>
              <w:tabs>
                <w:tab w:val="left" w:pos="426"/>
              </w:tabs>
              <w:spacing w:before="240" w:after="240"/>
              <w:jc w:val="both"/>
              <w:rPr>
                <w:rFonts w:ascii="Arial" w:eastAsia="Calibri" w:hAnsi="Arial" w:cs="Arial"/>
                <w:bCs/>
                <w:sz w:val="26"/>
                <w:szCs w:val="26"/>
                <w:lang w:val="es-ES" w:eastAsia="es-ES"/>
              </w:rPr>
            </w:pPr>
            <w:r w:rsidRPr="003417DD">
              <w:rPr>
                <w:rFonts w:ascii="Arial" w:eastAsia="Calibri" w:hAnsi="Arial" w:cs="Arial"/>
                <w:bCs/>
                <w:sz w:val="26"/>
                <w:szCs w:val="26"/>
                <w:lang w:val="es-ES" w:eastAsia="es-ES"/>
              </w:rPr>
              <w:t>El recurso es procedente.</w:t>
            </w:r>
            <w:r w:rsidR="00CB2C99">
              <w:t xml:space="preserve"> </w:t>
            </w:r>
            <w:r w:rsidR="00CB2C99">
              <w:rPr>
                <w:rFonts w:ascii="Arial" w:eastAsia="Calibri" w:hAnsi="Arial" w:cs="Arial"/>
                <w:bCs/>
                <w:sz w:val="26"/>
                <w:szCs w:val="26"/>
                <w:lang w:val="es-ES" w:eastAsia="es-ES"/>
              </w:rPr>
              <w:t>Re</w:t>
            </w:r>
            <w:r w:rsidR="00CB2C99" w:rsidRPr="00CB2C99">
              <w:rPr>
                <w:rFonts w:ascii="Arial" w:eastAsia="Calibri" w:hAnsi="Arial" w:cs="Arial"/>
                <w:bCs/>
                <w:sz w:val="26"/>
                <w:szCs w:val="26"/>
                <w:lang w:val="es-ES" w:eastAsia="es-ES"/>
              </w:rPr>
              <w:t>viste un interés excepcional en materia constitucional y de derechos humanos que amerita del conocimiento de la Suprema Corte</w:t>
            </w:r>
            <w:r w:rsidR="00CB2C99">
              <w:rPr>
                <w:rFonts w:ascii="Arial" w:eastAsia="Calibri" w:hAnsi="Arial" w:cs="Arial"/>
                <w:bCs/>
                <w:sz w:val="26"/>
                <w:szCs w:val="26"/>
                <w:lang w:val="es-ES" w:eastAsia="es-ES"/>
              </w:rPr>
              <w:t xml:space="preserve"> </w:t>
            </w:r>
            <w:r w:rsidR="00C2418D">
              <w:rPr>
                <w:rFonts w:ascii="Arial" w:eastAsia="Calibri" w:hAnsi="Arial" w:cs="Arial"/>
                <w:bCs/>
                <w:sz w:val="26"/>
                <w:szCs w:val="26"/>
                <w:lang w:val="es-ES" w:eastAsia="es-ES"/>
              </w:rPr>
              <w:t xml:space="preserve">de Justicia de la Nación </w:t>
            </w:r>
            <w:r w:rsidR="00CB2C99">
              <w:rPr>
                <w:rFonts w:ascii="Arial" w:eastAsia="Calibri" w:hAnsi="Arial" w:cs="Arial"/>
                <w:bCs/>
                <w:sz w:val="26"/>
                <w:szCs w:val="26"/>
                <w:lang w:val="es-ES" w:eastAsia="es-ES"/>
              </w:rPr>
              <w:t xml:space="preserve">dado que </w:t>
            </w:r>
            <w:r w:rsidR="00CB2C99" w:rsidRPr="00CB2C99">
              <w:rPr>
                <w:rFonts w:ascii="Arial" w:eastAsia="Calibri" w:hAnsi="Arial" w:cs="Arial"/>
                <w:bCs/>
                <w:sz w:val="26"/>
                <w:szCs w:val="26"/>
                <w:lang w:val="es-ES" w:eastAsia="es-ES"/>
              </w:rPr>
              <w:t>permite analizar si el artículo 336 del Código Civil del Estado de Jalisco, que dispone que el consorte que hubiere obrado de mala fe no tendrá parte en los gananciales de la sociedad conyugal, es inconstitucional.</w:t>
            </w:r>
          </w:p>
        </w:tc>
        <w:tc>
          <w:tcPr>
            <w:tcW w:w="1109" w:type="dxa"/>
            <w:tcBorders>
              <w:top w:val="single" w:sz="4" w:space="0" w:color="auto"/>
              <w:left w:val="single" w:sz="4" w:space="0" w:color="auto"/>
              <w:bottom w:val="single" w:sz="4" w:space="0" w:color="auto"/>
              <w:right w:val="single" w:sz="4" w:space="0" w:color="auto"/>
            </w:tcBorders>
          </w:tcPr>
          <w:p w14:paraId="4FD3AF3E" w14:textId="77777777" w:rsidR="0075596D" w:rsidRDefault="0075596D" w:rsidP="0075596D">
            <w:pPr>
              <w:tabs>
                <w:tab w:val="left" w:pos="426"/>
              </w:tabs>
              <w:jc w:val="center"/>
              <w:rPr>
                <w:rFonts w:ascii="Arial" w:eastAsia="Calibri" w:hAnsi="Arial" w:cs="Arial"/>
                <w:bCs/>
                <w:sz w:val="26"/>
                <w:szCs w:val="26"/>
                <w:lang w:val="es-ES" w:eastAsia="es-ES"/>
              </w:rPr>
            </w:pPr>
          </w:p>
          <w:p w14:paraId="28F0DF7C" w14:textId="6BAA0587" w:rsidR="003C79EE" w:rsidRPr="003417DD" w:rsidRDefault="00533BBF" w:rsidP="0075596D">
            <w:pPr>
              <w:tabs>
                <w:tab w:val="left" w:pos="426"/>
              </w:tabs>
              <w:jc w:val="center"/>
              <w:rPr>
                <w:rFonts w:ascii="Arial" w:eastAsia="Calibri" w:hAnsi="Arial" w:cs="Arial"/>
                <w:bCs/>
                <w:sz w:val="26"/>
                <w:szCs w:val="26"/>
                <w:lang w:val="es-ES" w:eastAsia="es-ES"/>
              </w:rPr>
            </w:pPr>
            <w:r>
              <w:rPr>
                <w:rFonts w:ascii="Arial" w:eastAsia="Calibri" w:hAnsi="Arial" w:cs="Arial"/>
                <w:bCs/>
                <w:sz w:val="26"/>
                <w:szCs w:val="26"/>
                <w:lang w:val="es-ES" w:eastAsia="es-ES"/>
              </w:rPr>
              <w:t>18</w:t>
            </w:r>
          </w:p>
        </w:tc>
      </w:tr>
      <w:tr w:rsidR="00471D94" w:rsidRPr="003417DD" w14:paraId="43D859B5" w14:textId="77777777" w:rsidTr="0075596D">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790C3604" w14:textId="77777777" w:rsidR="003C79EE" w:rsidRPr="003417DD" w:rsidRDefault="003C79EE" w:rsidP="0028440E">
            <w:pPr>
              <w:tabs>
                <w:tab w:val="left" w:pos="426"/>
              </w:tabs>
              <w:jc w:val="center"/>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V.</w:t>
            </w:r>
          </w:p>
        </w:tc>
        <w:tc>
          <w:tcPr>
            <w:tcW w:w="3544" w:type="dxa"/>
            <w:tcBorders>
              <w:top w:val="single" w:sz="4" w:space="0" w:color="auto"/>
              <w:left w:val="single" w:sz="4" w:space="0" w:color="auto"/>
              <w:bottom w:val="single" w:sz="4" w:space="0" w:color="auto"/>
              <w:right w:val="single" w:sz="4" w:space="0" w:color="auto"/>
            </w:tcBorders>
            <w:vAlign w:val="center"/>
          </w:tcPr>
          <w:p w14:paraId="64812B11" w14:textId="35ABFC27" w:rsidR="003C79EE" w:rsidRPr="003417DD" w:rsidRDefault="003C79EE" w:rsidP="0028440E">
            <w:pPr>
              <w:tabs>
                <w:tab w:val="left" w:pos="426"/>
              </w:tabs>
              <w:spacing w:before="240" w:after="240"/>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 xml:space="preserve">ESTUDIO </w:t>
            </w:r>
          </w:p>
        </w:tc>
        <w:tc>
          <w:tcPr>
            <w:tcW w:w="3969" w:type="dxa"/>
            <w:tcBorders>
              <w:top w:val="single" w:sz="4" w:space="0" w:color="auto"/>
              <w:left w:val="single" w:sz="4" w:space="0" w:color="auto"/>
              <w:bottom w:val="single" w:sz="4" w:space="0" w:color="auto"/>
              <w:right w:val="single" w:sz="4" w:space="0" w:color="auto"/>
            </w:tcBorders>
          </w:tcPr>
          <w:p w14:paraId="3DBDE9C1" w14:textId="5A9C837C" w:rsidR="003C79EE" w:rsidRDefault="000528BB" w:rsidP="0028440E">
            <w:pPr>
              <w:tabs>
                <w:tab w:val="left" w:pos="426"/>
              </w:tabs>
              <w:spacing w:before="240" w:after="240"/>
              <w:jc w:val="both"/>
              <w:rPr>
                <w:rFonts w:ascii="Arial" w:eastAsia="Calibri" w:hAnsi="Arial" w:cs="Arial"/>
                <w:bCs/>
                <w:sz w:val="26"/>
                <w:szCs w:val="26"/>
                <w:lang w:val="es-ES" w:eastAsia="es-ES"/>
              </w:rPr>
            </w:pPr>
            <w:r>
              <w:rPr>
                <w:rFonts w:ascii="Arial" w:eastAsia="Calibri" w:hAnsi="Arial" w:cs="Arial"/>
                <w:bCs/>
                <w:sz w:val="26"/>
                <w:szCs w:val="26"/>
                <w:lang w:val="es-ES" w:eastAsia="es-ES"/>
              </w:rPr>
              <w:t xml:space="preserve">En primer lugar, </w:t>
            </w:r>
            <w:r w:rsidR="00853DA4">
              <w:rPr>
                <w:rFonts w:ascii="Arial" w:eastAsia="Calibri" w:hAnsi="Arial" w:cs="Arial"/>
                <w:bCs/>
                <w:sz w:val="26"/>
                <w:szCs w:val="26"/>
                <w:lang w:val="es-ES" w:eastAsia="es-ES"/>
              </w:rPr>
              <w:t>se</w:t>
            </w:r>
            <w:r>
              <w:rPr>
                <w:rFonts w:ascii="Arial" w:eastAsia="Calibri" w:hAnsi="Arial" w:cs="Arial"/>
                <w:bCs/>
                <w:sz w:val="26"/>
                <w:szCs w:val="26"/>
                <w:lang w:val="es-ES" w:eastAsia="es-ES"/>
              </w:rPr>
              <w:t xml:space="preserve"> analiza el marco normativo mediante el que se regula </w:t>
            </w:r>
            <w:r w:rsidR="00BD5102">
              <w:rPr>
                <w:rFonts w:ascii="Arial" w:eastAsia="Calibri" w:hAnsi="Arial" w:cs="Arial"/>
                <w:bCs/>
                <w:sz w:val="26"/>
                <w:szCs w:val="26"/>
                <w:lang w:val="es-ES" w:eastAsia="es-ES"/>
              </w:rPr>
              <w:t xml:space="preserve">la nulidad del matrimonio y sus consecuencias patrimoniales en Jalisco. </w:t>
            </w:r>
            <w:r w:rsidR="00853DA4">
              <w:rPr>
                <w:rFonts w:ascii="Arial" w:eastAsia="Calibri" w:hAnsi="Arial" w:cs="Arial"/>
                <w:bCs/>
                <w:sz w:val="26"/>
                <w:szCs w:val="26"/>
                <w:lang w:val="es-ES" w:eastAsia="es-ES"/>
              </w:rPr>
              <w:t>Del análisis de la regulación se de</w:t>
            </w:r>
            <w:r w:rsidR="00F8091A">
              <w:rPr>
                <w:rFonts w:ascii="Arial" w:eastAsia="Calibri" w:hAnsi="Arial" w:cs="Arial"/>
                <w:bCs/>
                <w:sz w:val="26"/>
                <w:szCs w:val="26"/>
                <w:lang w:val="es-ES" w:eastAsia="es-ES"/>
              </w:rPr>
              <w:t>s</w:t>
            </w:r>
            <w:r w:rsidR="00853DA4">
              <w:rPr>
                <w:rFonts w:ascii="Arial" w:eastAsia="Calibri" w:hAnsi="Arial" w:cs="Arial"/>
                <w:bCs/>
                <w:sz w:val="26"/>
                <w:szCs w:val="26"/>
                <w:lang w:val="es-ES" w:eastAsia="es-ES"/>
              </w:rPr>
              <w:t xml:space="preserve">prende que la medida efectivamente parece </w:t>
            </w:r>
            <w:r w:rsidR="00D10235">
              <w:rPr>
                <w:rFonts w:ascii="Arial" w:eastAsia="Calibri" w:hAnsi="Arial" w:cs="Arial"/>
                <w:bCs/>
                <w:sz w:val="26"/>
                <w:szCs w:val="26"/>
                <w:lang w:val="es-ES" w:eastAsia="es-ES"/>
              </w:rPr>
              <w:t xml:space="preserve">afectar </w:t>
            </w:r>
            <w:r w:rsidR="00144ED6">
              <w:rPr>
                <w:rFonts w:ascii="Arial" w:eastAsia="Calibri" w:hAnsi="Arial" w:cs="Arial"/>
                <w:bCs/>
                <w:sz w:val="26"/>
                <w:szCs w:val="26"/>
                <w:lang w:val="es-ES" w:eastAsia="es-ES"/>
              </w:rPr>
              <w:t xml:space="preserve">el derecho a la protección familiar, protegido tanto en el artículo 4° constitucional como en </w:t>
            </w:r>
            <w:r w:rsidR="00144ED6" w:rsidRPr="00144ED6">
              <w:rPr>
                <w:rFonts w:ascii="Arial" w:eastAsia="Calibri" w:hAnsi="Arial" w:cs="Arial"/>
                <w:bCs/>
                <w:sz w:val="26"/>
                <w:szCs w:val="26"/>
                <w:lang w:val="es-ES" w:eastAsia="es-ES"/>
              </w:rPr>
              <w:t>l</w:t>
            </w:r>
            <w:r w:rsidR="00144ED6">
              <w:rPr>
                <w:rFonts w:ascii="Arial" w:eastAsia="Calibri" w:hAnsi="Arial" w:cs="Arial"/>
                <w:bCs/>
                <w:sz w:val="26"/>
                <w:szCs w:val="26"/>
                <w:lang w:val="es-ES" w:eastAsia="es-ES"/>
              </w:rPr>
              <w:t>os</w:t>
            </w:r>
            <w:r w:rsidR="00144ED6" w:rsidRPr="00144ED6">
              <w:rPr>
                <w:rFonts w:ascii="Arial" w:eastAsia="Calibri" w:hAnsi="Arial" w:cs="Arial"/>
                <w:bCs/>
                <w:sz w:val="26"/>
                <w:szCs w:val="26"/>
                <w:lang w:val="es-ES" w:eastAsia="es-ES"/>
              </w:rPr>
              <w:t xml:space="preserve"> artículo</w:t>
            </w:r>
            <w:r w:rsidR="00144ED6">
              <w:rPr>
                <w:rFonts w:ascii="Arial" w:eastAsia="Calibri" w:hAnsi="Arial" w:cs="Arial"/>
                <w:bCs/>
                <w:sz w:val="26"/>
                <w:szCs w:val="26"/>
                <w:lang w:val="es-ES" w:eastAsia="es-ES"/>
              </w:rPr>
              <w:t>s</w:t>
            </w:r>
            <w:r w:rsidR="00144ED6" w:rsidRPr="00144ED6">
              <w:rPr>
                <w:rFonts w:ascii="Arial" w:eastAsia="Calibri" w:hAnsi="Arial" w:cs="Arial"/>
                <w:bCs/>
                <w:sz w:val="26"/>
                <w:szCs w:val="26"/>
                <w:lang w:val="es-ES" w:eastAsia="es-ES"/>
              </w:rPr>
              <w:t xml:space="preserve"> 17 de la Convención Americana sobre Derechos Humanos</w:t>
            </w:r>
            <w:r w:rsidR="00144ED6">
              <w:rPr>
                <w:rFonts w:ascii="Arial" w:eastAsia="Calibri" w:hAnsi="Arial" w:cs="Arial"/>
                <w:bCs/>
                <w:sz w:val="26"/>
                <w:szCs w:val="26"/>
                <w:lang w:val="es-ES" w:eastAsia="es-ES"/>
              </w:rPr>
              <w:t xml:space="preserve"> y</w:t>
            </w:r>
            <w:r w:rsidR="00144ED6" w:rsidRPr="00144ED6">
              <w:rPr>
                <w:rFonts w:ascii="Arial" w:eastAsia="Calibri" w:hAnsi="Arial" w:cs="Arial"/>
                <w:bCs/>
                <w:sz w:val="26"/>
                <w:szCs w:val="26"/>
                <w:lang w:val="es-ES" w:eastAsia="es-ES"/>
              </w:rPr>
              <w:t xml:space="preserve"> 23 del Pacto Internacional de Derechos Civiles y Políticos</w:t>
            </w:r>
            <w:r w:rsidR="00144ED6">
              <w:rPr>
                <w:rFonts w:ascii="Arial" w:eastAsia="Calibri" w:hAnsi="Arial" w:cs="Arial"/>
                <w:bCs/>
                <w:sz w:val="26"/>
                <w:szCs w:val="26"/>
                <w:lang w:val="es-ES" w:eastAsia="es-ES"/>
              </w:rPr>
              <w:t xml:space="preserve">. </w:t>
            </w:r>
          </w:p>
          <w:p w14:paraId="10C6E24A" w14:textId="3809265D" w:rsidR="00F67D0D" w:rsidRDefault="00F67D0D" w:rsidP="0028440E">
            <w:pPr>
              <w:tabs>
                <w:tab w:val="left" w:pos="426"/>
              </w:tabs>
              <w:spacing w:before="240" w:after="240"/>
              <w:jc w:val="both"/>
              <w:rPr>
                <w:rFonts w:ascii="Arial" w:eastAsia="Calibri" w:hAnsi="Arial" w:cs="Arial"/>
                <w:bCs/>
                <w:sz w:val="26"/>
                <w:szCs w:val="26"/>
                <w:lang w:val="es-ES" w:eastAsia="es-ES"/>
              </w:rPr>
            </w:pPr>
            <w:r>
              <w:rPr>
                <w:rFonts w:ascii="Arial" w:eastAsia="Calibri" w:hAnsi="Arial" w:cs="Arial"/>
                <w:bCs/>
                <w:sz w:val="26"/>
                <w:szCs w:val="26"/>
                <w:lang w:val="es-ES" w:eastAsia="es-ES"/>
              </w:rPr>
              <w:t>La resolución plantea un análisis del test de proporcionalidad realizado por el tribunal colegiado de</w:t>
            </w:r>
            <w:r w:rsidR="00B7625C">
              <w:rPr>
                <w:rFonts w:ascii="Arial" w:eastAsia="Calibri" w:hAnsi="Arial" w:cs="Arial"/>
                <w:bCs/>
                <w:sz w:val="26"/>
                <w:szCs w:val="26"/>
                <w:lang w:val="es-ES" w:eastAsia="es-ES"/>
              </w:rPr>
              <w:t>l</w:t>
            </w:r>
            <w:r>
              <w:rPr>
                <w:rFonts w:ascii="Arial" w:eastAsia="Calibri" w:hAnsi="Arial" w:cs="Arial"/>
                <w:bCs/>
                <w:sz w:val="26"/>
                <w:szCs w:val="26"/>
                <w:lang w:val="es-ES" w:eastAsia="es-ES"/>
              </w:rPr>
              <w:t xml:space="preserve"> conocimiento</w:t>
            </w:r>
            <w:r w:rsidR="00C735C4">
              <w:rPr>
                <w:rFonts w:ascii="Arial" w:eastAsia="Calibri" w:hAnsi="Arial" w:cs="Arial"/>
                <w:bCs/>
                <w:sz w:val="26"/>
                <w:szCs w:val="26"/>
                <w:lang w:val="es-ES" w:eastAsia="es-ES"/>
              </w:rPr>
              <w:t>, del que concluye que</w:t>
            </w:r>
            <w:r w:rsidR="00C735C4">
              <w:t xml:space="preserve"> </w:t>
            </w:r>
            <w:r w:rsidR="00C735C4" w:rsidRPr="00C735C4">
              <w:rPr>
                <w:rFonts w:ascii="Arial" w:eastAsia="Calibri" w:hAnsi="Arial" w:cs="Arial"/>
                <w:bCs/>
                <w:sz w:val="26"/>
                <w:szCs w:val="26"/>
                <w:lang w:val="es-ES" w:eastAsia="es-ES"/>
              </w:rPr>
              <w:t>la medida no es necesaria ni proporcional para alcanzar el fin deseado y resulta, por tanto, inconstitucional</w:t>
            </w:r>
            <w:r w:rsidR="00C735C4">
              <w:rPr>
                <w:rFonts w:ascii="Arial" w:eastAsia="Calibri" w:hAnsi="Arial" w:cs="Arial"/>
                <w:bCs/>
                <w:sz w:val="26"/>
                <w:szCs w:val="26"/>
                <w:lang w:val="es-ES" w:eastAsia="es-ES"/>
              </w:rPr>
              <w:t xml:space="preserve">. </w:t>
            </w:r>
            <w:r w:rsidR="009B4AF9">
              <w:rPr>
                <w:rFonts w:ascii="Arial" w:eastAsia="Calibri" w:hAnsi="Arial" w:cs="Arial"/>
                <w:bCs/>
                <w:sz w:val="26"/>
                <w:szCs w:val="26"/>
                <w:lang w:val="es-ES" w:eastAsia="es-ES"/>
              </w:rPr>
              <w:t xml:space="preserve">En este sentido, </w:t>
            </w:r>
            <w:r w:rsidR="009B4AF9">
              <w:rPr>
                <w:rFonts w:ascii="Arial" w:eastAsia="Calibri" w:hAnsi="Arial" w:cs="Arial"/>
                <w:bCs/>
                <w:sz w:val="26"/>
                <w:szCs w:val="26"/>
                <w:lang w:val="es-ES" w:eastAsia="es-ES"/>
              </w:rPr>
              <w:lastRenderedPageBreak/>
              <w:t>considera que</w:t>
            </w:r>
            <w:r w:rsidR="009B4AF9">
              <w:t xml:space="preserve"> </w:t>
            </w:r>
            <w:r w:rsidR="009B4AF9" w:rsidRPr="009B4AF9">
              <w:rPr>
                <w:rFonts w:ascii="Arial" w:eastAsia="Calibri" w:hAnsi="Arial" w:cs="Arial"/>
                <w:bCs/>
                <w:sz w:val="26"/>
                <w:szCs w:val="26"/>
                <w:lang w:val="es-ES" w:eastAsia="es-ES"/>
              </w:rPr>
              <w:t>privar a una persona de todos los frutos que hubieran derivado de la vida en común no solo afecta su derecho a la propiedad, sino incluso, podría repercutir en la posibilidad de la persona de llevar una subsistencia digna y autónoma con motivo de la declaración de nulidad del matrimonio.</w:t>
            </w:r>
          </w:p>
          <w:p w14:paraId="4A5E0F81" w14:textId="16C7E394" w:rsidR="000101D3" w:rsidRPr="003417DD" w:rsidRDefault="000101D3" w:rsidP="0028440E">
            <w:pPr>
              <w:tabs>
                <w:tab w:val="left" w:pos="426"/>
              </w:tabs>
              <w:spacing w:before="240" w:after="240"/>
              <w:jc w:val="both"/>
              <w:rPr>
                <w:rFonts w:ascii="Arial" w:eastAsia="Calibri" w:hAnsi="Arial" w:cs="Arial"/>
                <w:bCs/>
                <w:sz w:val="26"/>
                <w:szCs w:val="26"/>
                <w:lang w:val="es-ES" w:eastAsia="es-ES"/>
              </w:rPr>
            </w:pPr>
            <w:r>
              <w:rPr>
                <w:rFonts w:ascii="Arial" w:eastAsia="Calibri" w:hAnsi="Arial" w:cs="Arial"/>
                <w:bCs/>
                <w:sz w:val="26"/>
                <w:szCs w:val="26"/>
                <w:lang w:val="es-ES" w:eastAsia="es-ES"/>
              </w:rPr>
              <w:t xml:space="preserve">En </w:t>
            </w:r>
            <w:r w:rsidR="00CB2C99">
              <w:rPr>
                <w:rFonts w:ascii="Arial" w:eastAsia="Calibri" w:hAnsi="Arial" w:cs="Arial"/>
                <w:bCs/>
                <w:sz w:val="26"/>
                <w:szCs w:val="26"/>
                <w:lang w:val="es-ES" w:eastAsia="es-ES"/>
              </w:rPr>
              <w:t>consecuencia,</w:t>
            </w:r>
            <w:r>
              <w:rPr>
                <w:rFonts w:ascii="Arial" w:eastAsia="Calibri" w:hAnsi="Arial" w:cs="Arial"/>
                <w:bCs/>
                <w:sz w:val="26"/>
                <w:szCs w:val="26"/>
                <w:lang w:val="es-ES" w:eastAsia="es-ES"/>
              </w:rPr>
              <w:t xml:space="preserve"> </w:t>
            </w:r>
            <w:r w:rsidR="00CB2C99">
              <w:rPr>
                <w:rFonts w:ascii="Arial" w:eastAsia="Calibri" w:hAnsi="Arial" w:cs="Arial"/>
                <w:bCs/>
                <w:sz w:val="26"/>
                <w:szCs w:val="26"/>
                <w:lang w:val="es-ES" w:eastAsia="es-ES"/>
              </w:rPr>
              <w:t>l</w:t>
            </w:r>
            <w:r w:rsidRPr="000101D3">
              <w:rPr>
                <w:rFonts w:ascii="Arial" w:eastAsia="Calibri" w:hAnsi="Arial" w:cs="Arial"/>
                <w:bCs/>
                <w:sz w:val="26"/>
                <w:szCs w:val="26"/>
                <w:lang w:val="es-ES" w:eastAsia="es-ES"/>
              </w:rPr>
              <w:t xml:space="preserve">a medida sí es desproporcionada en tanto que el beneficio de disuasión y reparación del daño de la o el cónyuge </w:t>
            </w:r>
            <w:r w:rsidR="00335008">
              <w:rPr>
                <w:rFonts w:ascii="Arial" w:eastAsia="Calibri" w:hAnsi="Arial" w:cs="Arial"/>
                <w:bCs/>
                <w:sz w:val="26"/>
                <w:szCs w:val="26"/>
                <w:lang w:val="es-ES" w:eastAsia="es-ES"/>
              </w:rPr>
              <w:t xml:space="preserve">de </w:t>
            </w:r>
            <w:r w:rsidRPr="000101D3">
              <w:rPr>
                <w:rFonts w:ascii="Arial" w:eastAsia="Calibri" w:hAnsi="Arial" w:cs="Arial"/>
                <w:bCs/>
                <w:sz w:val="26"/>
                <w:szCs w:val="26"/>
                <w:lang w:val="es-ES" w:eastAsia="es-ES"/>
              </w:rPr>
              <w:t>buena fe no puede justificar este nivel de afectación en los derechos del cónyuge de mala fe. En estos términos, esta Primera Sala comparte la conclusión de inconstitucionalidad del artículo 336 del Código Civil del Estado de Jalisco por violación a los derechos de propiedad y protección de la familia.</w:t>
            </w:r>
          </w:p>
        </w:tc>
        <w:tc>
          <w:tcPr>
            <w:tcW w:w="1109" w:type="dxa"/>
            <w:tcBorders>
              <w:top w:val="single" w:sz="4" w:space="0" w:color="auto"/>
              <w:left w:val="single" w:sz="4" w:space="0" w:color="auto"/>
              <w:bottom w:val="single" w:sz="4" w:space="0" w:color="auto"/>
              <w:right w:val="single" w:sz="4" w:space="0" w:color="auto"/>
            </w:tcBorders>
          </w:tcPr>
          <w:p w14:paraId="4599D1C8" w14:textId="77777777" w:rsidR="0075596D" w:rsidRDefault="0075596D" w:rsidP="0075596D">
            <w:pPr>
              <w:tabs>
                <w:tab w:val="left" w:pos="426"/>
              </w:tabs>
              <w:jc w:val="center"/>
              <w:rPr>
                <w:rFonts w:ascii="Arial" w:eastAsia="Calibri" w:hAnsi="Arial" w:cs="Arial"/>
                <w:bCs/>
                <w:sz w:val="26"/>
                <w:szCs w:val="26"/>
                <w:lang w:val="es-ES" w:eastAsia="es-ES"/>
              </w:rPr>
            </w:pPr>
          </w:p>
          <w:p w14:paraId="1585AA06" w14:textId="56BD790A" w:rsidR="003C79EE" w:rsidRPr="003417DD" w:rsidRDefault="00CB2C99" w:rsidP="0075596D">
            <w:pPr>
              <w:tabs>
                <w:tab w:val="left" w:pos="426"/>
              </w:tabs>
              <w:jc w:val="center"/>
              <w:rPr>
                <w:rFonts w:ascii="Arial" w:eastAsia="Calibri" w:hAnsi="Arial" w:cs="Arial"/>
                <w:bCs/>
                <w:sz w:val="26"/>
                <w:szCs w:val="26"/>
                <w:lang w:val="es-ES" w:eastAsia="es-ES"/>
              </w:rPr>
            </w:pPr>
            <w:r>
              <w:rPr>
                <w:rFonts w:ascii="Arial" w:eastAsia="Calibri" w:hAnsi="Arial" w:cs="Arial"/>
                <w:bCs/>
                <w:sz w:val="26"/>
                <w:szCs w:val="26"/>
                <w:lang w:val="es-ES" w:eastAsia="es-ES"/>
              </w:rPr>
              <w:t>2</w:t>
            </w:r>
            <w:r w:rsidR="00F225E7">
              <w:rPr>
                <w:rFonts w:ascii="Arial" w:eastAsia="Calibri" w:hAnsi="Arial" w:cs="Arial"/>
                <w:bCs/>
                <w:sz w:val="26"/>
                <w:szCs w:val="26"/>
                <w:lang w:val="es-ES" w:eastAsia="es-ES"/>
              </w:rPr>
              <w:t>1</w:t>
            </w:r>
          </w:p>
        </w:tc>
      </w:tr>
      <w:tr w:rsidR="00471D94" w:rsidRPr="003417DD" w14:paraId="198D8B7E" w14:textId="77777777" w:rsidTr="0075596D">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2F1E63B3" w14:textId="77777777" w:rsidR="003C79EE" w:rsidRPr="003417DD" w:rsidRDefault="003C79EE" w:rsidP="0028440E">
            <w:pPr>
              <w:tabs>
                <w:tab w:val="left" w:pos="426"/>
              </w:tabs>
              <w:jc w:val="center"/>
              <w:rPr>
                <w:rFonts w:ascii="Arial" w:eastAsia="Calibri" w:hAnsi="Arial" w:cs="Arial"/>
                <w:b/>
                <w:bCs/>
                <w:sz w:val="26"/>
                <w:szCs w:val="26"/>
                <w:lang w:val="es-ES" w:eastAsia="es-ES"/>
              </w:rPr>
            </w:pPr>
            <w:r w:rsidRPr="003417DD">
              <w:rPr>
                <w:rFonts w:ascii="Arial" w:eastAsia="Calibri" w:hAnsi="Arial" w:cs="Arial"/>
                <w:b/>
                <w:bCs/>
                <w:sz w:val="26"/>
                <w:szCs w:val="26"/>
                <w:lang w:val="es-ES" w:eastAsia="es-ES"/>
              </w:rPr>
              <w:t>VI.</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BE3A298" w14:textId="6BFE582E" w:rsidR="003C79EE" w:rsidRPr="003417DD" w:rsidRDefault="00BB16F6" w:rsidP="0028440E">
            <w:pPr>
              <w:tabs>
                <w:tab w:val="left" w:pos="426"/>
              </w:tabs>
              <w:spacing w:before="240" w:after="240"/>
              <w:rPr>
                <w:rFonts w:ascii="Arial" w:eastAsia="Calibri" w:hAnsi="Arial" w:cs="Arial"/>
                <w:b/>
                <w:bCs/>
                <w:sz w:val="26"/>
                <w:szCs w:val="26"/>
                <w:lang w:val="es-ES" w:eastAsia="es-ES"/>
              </w:rPr>
            </w:pPr>
            <w:r>
              <w:rPr>
                <w:rFonts w:ascii="Arial" w:eastAsia="Calibri" w:hAnsi="Arial" w:cs="Arial"/>
                <w:b/>
                <w:bCs/>
                <w:sz w:val="26"/>
                <w:szCs w:val="26"/>
                <w:lang w:val="es-ES" w:eastAsia="es-ES"/>
              </w:rPr>
              <w:t>DECISIÓN</w:t>
            </w:r>
          </w:p>
        </w:tc>
        <w:tc>
          <w:tcPr>
            <w:tcW w:w="3969" w:type="dxa"/>
            <w:tcBorders>
              <w:top w:val="single" w:sz="4" w:space="0" w:color="auto"/>
              <w:left w:val="single" w:sz="4" w:space="0" w:color="auto"/>
              <w:bottom w:val="single" w:sz="4" w:space="0" w:color="auto"/>
              <w:right w:val="single" w:sz="4" w:space="0" w:color="auto"/>
            </w:tcBorders>
            <w:hideMark/>
          </w:tcPr>
          <w:p w14:paraId="2B621032" w14:textId="17F703E8" w:rsidR="0050116C" w:rsidRPr="003417DD" w:rsidRDefault="0050116C" w:rsidP="0050116C">
            <w:pPr>
              <w:spacing w:after="120"/>
              <w:ind w:right="-93"/>
              <w:jc w:val="both"/>
              <w:rPr>
                <w:rFonts w:ascii="Arial" w:hAnsi="Arial" w:cs="Arial"/>
                <w:sz w:val="26"/>
                <w:szCs w:val="26"/>
                <w:lang w:val="es-ES" w:eastAsia="en-US"/>
              </w:rPr>
            </w:pPr>
            <w:r w:rsidRPr="003417DD">
              <w:rPr>
                <w:rFonts w:ascii="Arial" w:hAnsi="Arial" w:cs="Arial"/>
                <w:b/>
                <w:sz w:val="26"/>
                <w:szCs w:val="26"/>
                <w:lang w:val="es-ES" w:eastAsia="en-US"/>
              </w:rPr>
              <w:t xml:space="preserve">PRIMERO. </w:t>
            </w:r>
            <w:r w:rsidRPr="003417DD">
              <w:rPr>
                <w:rFonts w:ascii="Arial" w:hAnsi="Arial" w:cs="Arial"/>
                <w:sz w:val="26"/>
                <w:szCs w:val="26"/>
                <w:lang w:val="es-ES"/>
              </w:rPr>
              <w:t>En la materia de la revisión</w:t>
            </w:r>
            <w:r>
              <w:rPr>
                <w:rFonts w:ascii="Arial" w:hAnsi="Arial" w:cs="Arial"/>
                <w:sz w:val="26"/>
                <w:szCs w:val="26"/>
                <w:lang w:val="es-ES"/>
              </w:rPr>
              <w:t>, competencia de esta Primera Sala de la Suprema Corte de Justicia de la Nación</w:t>
            </w:r>
            <w:r w:rsidRPr="003417DD">
              <w:rPr>
                <w:rFonts w:ascii="Arial" w:hAnsi="Arial" w:cs="Arial"/>
                <w:sz w:val="26"/>
                <w:szCs w:val="26"/>
                <w:lang w:val="es-ES"/>
              </w:rPr>
              <w:t xml:space="preserve">, se confirma la sentencia recurrida. </w:t>
            </w:r>
          </w:p>
          <w:p w14:paraId="26E16F85" w14:textId="5E752CDC" w:rsidR="0093168E" w:rsidRPr="003417DD" w:rsidRDefault="0050116C" w:rsidP="0050116C">
            <w:pPr>
              <w:pStyle w:val="TEXTONORMAL"/>
              <w:spacing w:after="120" w:line="240" w:lineRule="auto"/>
              <w:ind w:firstLine="0"/>
              <w:rPr>
                <w:rFonts w:eastAsia="Calibri"/>
                <w:bCs/>
                <w:sz w:val="26"/>
                <w:szCs w:val="26"/>
                <w:lang w:val="es-ES"/>
              </w:rPr>
            </w:pPr>
            <w:r w:rsidRPr="003F571F">
              <w:rPr>
                <w:b/>
                <w:sz w:val="26"/>
                <w:szCs w:val="26"/>
                <w:lang w:val="es-ES" w:eastAsia="en-US"/>
              </w:rPr>
              <w:t xml:space="preserve">SEGUNDO. </w:t>
            </w:r>
            <w:r w:rsidRPr="003F571F">
              <w:rPr>
                <w:sz w:val="26"/>
                <w:szCs w:val="26"/>
                <w:lang w:val="es-ES"/>
              </w:rPr>
              <w:t>La Justicia de la Unión ampara y protege a</w:t>
            </w:r>
            <w:r w:rsidRPr="003F571F">
              <w:rPr>
                <w:color w:val="C00000"/>
                <w:sz w:val="26"/>
                <w:szCs w:val="26"/>
                <w:lang w:val="es-ES"/>
              </w:rPr>
              <w:t xml:space="preserve"> </w:t>
            </w:r>
            <w:r>
              <w:rPr>
                <w:color w:val="C00000"/>
                <w:sz w:val="26"/>
                <w:szCs w:val="26"/>
                <w:lang w:val="es-ES"/>
              </w:rPr>
              <w:t xml:space="preserve">SLA </w:t>
            </w:r>
            <w:r w:rsidRPr="003F571F">
              <w:rPr>
                <w:sz w:val="26"/>
                <w:szCs w:val="26"/>
                <w:lang w:val="es-ES"/>
              </w:rPr>
              <w:t>para los efectos precisados en la sentencia de amparo directo</w:t>
            </w:r>
            <w:r>
              <w:rPr>
                <w:sz w:val="26"/>
                <w:szCs w:val="26"/>
                <w:lang w:val="es-ES"/>
              </w:rPr>
              <w:t xml:space="preserve"> 77/2022</w:t>
            </w:r>
            <w:r w:rsidRPr="003F571F">
              <w:rPr>
                <w:sz w:val="26"/>
                <w:szCs w:val="26"/>
                <w:lang w:val="es-ES"/>
              </w:rPr>
              <w:t xml:space="preserve">, dictada </w:t>
            </w:r>
            <w:r>
              <w:rPr>
                <w:sz w:val="26"/>
                <w:szCs w:val="26"/>
                <w:lang w:val="es-ES"/>
              </w:rPr>
              <w:t xml:space="preserve">el 7 de julio de 2022, </w:t>
            </w:r>
            <w:r w:rsidRPr="003F571F">
              <w:rPr>
                <w:sz w:val="26"/>
                <w:szCs w:val="26"/>
                <w:lang w:val="es-ES"/>
              </w:rPr>
              <w:t>por el Tercer Tribunal Colegiado en Materia Civil del Tercer Circu</w:t>
            </w:r>
            <w:r>
              <w:rPr>
                <w:sz w:val="26"/>
                <w:szCs w:val="26"/>
                <w:lang w:val="es-ES"/>
              </w:rPr>
              <w:t>ito.</w:t>
            </w:r>
          </w:p>
        </w:tc>
        <w:tc>
          <w:tcPr>
            <w:tcW w:w="1109" w:type="dxa"/>
            <w:tcBorders>
              <w:top w:val="single" w:sz="4" w:space="0" w:color="auto"/>
              <w:left w:val="single" w:sz="4" w:space="0" w:color="auto"/>
              <w:bottom w:val="single" w:sz="4" w:space="0" w:color="auto"/>
              <w:right w:val="single" w:sz="4" w:space="0" w:color="auto"/>
            </w:tcBorders>
          </w:tcPr>
          <w:p w14:paraId="3180140A" w14:textId="657A68B4" w:rsidR="003C79EE" w:rsidRPr="003417DD" w:rsidRDefault="00CB2C99" w:rsidP="0075596D">
            <w:pPr>
              <w:tabs>
                <w:tab w:val="left" w:pos="426"/>
              </w:tabs>
              <w:jc w:val="center"/>
              <w:rPr>
                <w:rFonts w:ascii="Arial" w:eastAsia="Calibri" w:hAnsi="Arial" w:cs="Arial"/>
                <w:bCs/>
                <w:sz w:val="26"/>
                <w:szCs w:val="26"/>
                <w:lang w:val="es-ES" w:eastAsia="es-ES"/>
              </w:rPr>
            </w:pPr>
            <w:r>
              <w:rPr>
                <w:rFonts w:ascii="Arial" w:eastAsia="Calibri" w:hAnsi="Arial" w:cs="Arial"/>
                <w:bCs/>
                <w:sz w:val="26"/>
                <w:szCs w:val="26"/>
                <w:lang w:val="es-ES" w:eastAsia="es-ES"/>
              </w:rPr>
              <w:t>4</w:t>
            </w:r>
            <w:r w:rsidR="003721BF">
              <w:rPr>
                <w:rFonts w:ascii="Arial" w:eastAsia="Calibri" w:hAnsi="Arial" w:cs="Arial"/>
                <w:bCs/>
                <w:sz w:val="26"/>
                <w:szCs w:val="26"/>
                <w:lang w:val="es-ES" w:eastAsia="es-ES"/>
              </w:rPr>
              <w:t>2</w:t>
            </w:r>
          </w:p>
        </w:tc>
      </w:tr>
    </w:tbl>
    <w:p w14:paraId="662D1BAA" w14:textId="77777777" w:rsidR="00D3607F" w:rsidRPr="003417DD" w:rsidRDefault="0028440E" w:rsidP="00D3607F">
      <w:pPr>
        <w:rPr>
          <w:rFonts w:ascii="Arial" w:hAnsi="Arial" w:cs="Arial"/>
          <w:sz w:val="26"/>
          <w:szCs w:val="26"/>
          <w:lang w:val="es-ES"/>
        </w:rPr>
        <w:sectPr w:rsidR="00D3607F" w:rsidRPr="003417DD" w:rsidSect="00744481">
          <w:headerReference w:type="default" r:id="rId16"/>
          <w:footerReference w:type="default" r:id="rId17"/>
          <w:footerReference w:type="first" r:id="rId18"/>
          <w:pgSz w:w="12240" w:h="20160" w:code="5"/>
          <w:pgMar w:top="1701" w:right="1701" w:bottom="1417" w:left="1701" w:header="1418" w:footer="708" w:gutter="0"/>
          <w:pgNumType w:fmt="upperRoman"/>
          <w:cols w:space="708"/>
          <w:titlePg/>
          <w:docGrid w:linePitch="360"/>
        </w:sectPr>
      </w:pPr>
      <w:r w:rsidRPr="003417DD">
        <w:rPr>
          <w:rFonts w:ascii="Arial" w:hAnsi="Arial" w:cs="Arial"/>
          <w:sz w:val="26"/>
          <w:szCs w:val="26"/>
          <w:lang w:val="es-ES"/>
        </w:rPr>
        <w:br w:type="textWrapping" w:clear="all"/>
      </w:r>
    </w:p>
    <w:p w14:paraId="226BDFC7" w14:textId="77777777" w:rsidR="006A511D" w:rsidRDefault="006A511D" w:rsidP="00225177">
      <w:pPr>
        <w:ind w:left="4536"/>
        <w:jc w:val="both"/>
        <w:rPr>
          <w:rFonts w:ascii="Arial" w:hAnsi="Arial" w:cs="Arial"/>
          <w:b/>
          <w:sz w:val="26"/>
          <w:szCs w:val="26"/>
          <w:lang w:val="es-ES"/>
        </w:rPr>
      </w:pPr>
    </w:p>
    <w:p w14:paraId="7F228D34" w14:textId="77777777" w:rsidR="00FB2431" w:rsidRPr="003417DD" w:rsidRDefault="00FB2431" w:rsidP="00225177">
      <w:pPr>
        <w:ind w:left="4536"/>
        <w:jc w:val="both"/>
        <w:rPr>
          <w:rFonts w:ascii="Arial" w:hAnsi="Arial" w:cs="Arial"/>
          <w:b/>
          <w:sz w:val="26"/>
          <w:szCs w:val="26"/>
          <w:lang w:val="es-ES"/>
        </w:rPr>
      </w:pPr>
    </w:p>
    <w:p w14:paraId="32D3EC76" w14:textId="0EBA76CA" w:rsidR="00225177" w:rsidRPr="003417DD" w:rsidRDefault="00225177" w:rsidP="00225177">
      <w:pPr>
        <w:ind w:left="4536"/>
        <w:jc w:val="both"/>
        <w:rPr>
          <w:rFonts w:ascii="Arial" w:hAnsi="Arial" w:cs="Arial"/>
          <w:b/>
          <w:sz w:val="26"/>
          <w:szCs w:val="26"/>
          <w:lang w:val="es-ES"/>
        </w:rPr>
      </w:pPr>
      <w:r w:rsidRPr="003417DD">
        <w:rPr>
          <w:rFonts w:ascii="Arial" w:hAnsi="Arial" w:cs="Arial"/>
          <w:b/>
          <w:sz w:val="26"/>
          <w:szCs w:val="26"/>
          <w:lang w:val="es-ES"/>
        </w:rPr>
        <w:t>AMPARO DIRECTO EN REVISIÓN 4261/2022</w:t>
      </w:r>
    </w:p>
    <w:p w14:paraId="072343F6" w14:textId="77777777" w:rsidR="00225177" w:rsidRPr="003417DD" w:rsidRDefault="00225177" w:rsidP="00225177">
      <w:pPr>
        <w:ind w:left="4536"/>
        <w:jc w:val="both"/>
        <w:rPr>
          <w:rFonts w:ascii="Arial" w:hAnsi="Arial" w:cs="Arial"/>
          <w:b/>
          <w:sz w:val="26"/>
          <w:szCs w:val="26"/>
          <w:lang w:val="es-ES"/>
        </w:rPr>
      </w:pPr>
    </w:p>
    <w:p w14:paraId="6EF2E6B7" w14:textId="2AA9BA97" w:rsidR="00225177" w:rsidRPr="003417DD" w:rsidRDefault="00225177" w:rsidP="00225177">
      <w:pPr>
        <w:ind w:left="4536"/>
        <w:jc w:val="both"/>
        <w:rPr>
          <w:rFonts w:ascii="Arial" w:hAnsi="Arial" w:cs="Arial"/>
          <w:b/>
          <w:sz w:val="26"/>
          <w:szCs w:val="26"/>
          <w:lang w:val="es-ES"/>
        </w:rPr>
      </w:pPr>
      <w:r w:rsidRPr="003417DD">
        <w:rPr>
          <w:rFonts w:ascii="Arial" w:hAnsi="Arial" w:cs="Arial"/>
          <w:b/>
          <w:sz w:val="26"/>
          <w:szCs w:val="26"/>
          <w:lang w:val="es-ES"/>
        </w:rPr>
        <w:t xml:space="preserve">RECURRENTE: </w:t>
      </w:r>
      <w:r w:rsidRPr="003417DD">
        <w:rPr>
          <w:rFonts w:ascii="Arial" w:hAnsi="Arial" w:cs="Arial"/>
          <w:b/>
          <w:color w:val="FF0000"/>
          <w:sz w:val="26"/>
          <w:szCs w:val="26"/>
          <w:lang w:val="es-ES"/>
        </w:rPr>
        <w:t xml:space="preserve">MGGI </w:t>
      </w:r>
      <w:r w:rsidRPr="003417DD">
        <w:rPr>
          <w:rFonts w:ascii="Arial" w:hAnsi="Arial" w:cs="Arial"/>
          <w:b/>
          <w:sz w:val="26"/>
          <w:szCs w:val="26"/>
          <w:lang w:val="es-ES"/>
        </w:rPr>
        <w:t>(TERCERA INTERESADA)</w:t>
      </w:r>
    </w:p>
    <w:p w14:paraId="46960568" w14:textId="77777777" w:rsidR="000155DD" w:rsidRPr="003417DD" w:rsidRDefault="000155DD" w:rsidP="00FA5EDE">
      <w:pPr>
        <w:pStyle w:val="corte3centro"/>
        <w:spacing w:line="240" w:lineRule="auto"/>
        <w:ind w:left="-567" w:firstLine="567"/>
        <w:jc w:val="both"/>
        <w:rPr>
          <w:rFonts w:cs="Arial"/>
          <w:sz w:val="26"/>
          <w:szCs w:val="26"/>
          <w:lang w:val="es-ES"/>
        </w:rPr>
      </w:pPr>
    </w:p>
    <w:p w14:paraId="56FFE499" w14:textId="77777777" w:rsidR="006A511D" w:rsidRPr="003417DD" w:rsidRDefault="006A511D" w:rsidP="00FA5EDE">
      <w:pPr>
        <w:pStyle w:val="corte3centro"/>
        <w:spacing w:line="240" w:lineRule="auto"/>
        <w:ind w:left="-567" w:firstLine="567"/>
        <w:jc w:val="both"/>
        <w:rPr>
          <w:rFonts w:cs="Arial"/>
          <w:sz w:val="26"/>
          <w:szCs w:val="26"/>
          <w:lang w:val="es-ES"/>
        </w:rPr>
      </w:pPr>
    </w:p>
    <w:p w14:paraId="02E74AFF" w14:textId="77777777" w:rsidR="00BE28D2" w:rsidRPr="003417DD" w:rsidRDefault="00BE28D2" w:rsidP="00BE28D2">
      <w:pPr>
        <w:tabs>
          <w:tab w:val="left" w:pos="7227"/>
        </w:tabs>
        <w:spacing w:before="240" w:line="276" w:lineRule="auto"/>
        <w:jc w:val="both"/>
        <w:rPr>
          <w:rFonts w:ascii="Arial" w:eastAsia="Calibri" w:hAnsi="Arial" w:cs="Arial"/>
          <w:sz w:val="16"/>
          <w:szCs w:val="16"/>
          <w:lang w:val="es-ES" w:eastAsia="en-US"/>
        </w:rPr>
      </w:pPr>
      <w:r w:rsidRPr="003417DD">
        <w:rPr>
          <w:rFonts w:ascii="Arial" w:eastAsia="Calibri" w:hAnsi="Arial" w:cs="Arial"/>
          <w:sz w:val="16"/>
          <w:szCs w:val="16"/>
          <w:lang w:val="es-ES" w:eastAsia="en-US"/>
        </w:rPr>
        <w:t>VISTO BUENO</w:t>
      </w:r>
    </w:p>
    <w:p w14:paraId="7E34C4C4" w14:textId="78674C23" w:rsidR="00BE28D2" w:rsidRPr="003417DD" w:rsidRDefault="00BE28D2" w:rsidP="00BE28D2">
      <w:pPr>
        <w:tabs>
          <w:tab w:val="left" w:pos="7309"/>
        </w:tabs>
        <w:spacing w:line="276" w:lineRule="auto"/>
        <w:jc w:val="both"/>
        <w:rPr>
          <w:rFonts w:ascii="Arial" w:eastAsia="Calibri" w:hAnsi="Arial" w:cs="Arial"/>
          <w:sz w:val="16"/>
          <w:szCs w:val="16"/>
          <w:lang w:val="es-ES" w:eastAsia="en-US"/>
        </w:rPr>
      </w:pPr>
      <w:r w:rsidRPr="003417DD">
        <w:rPr>
          <w:rFonts w:ascii="Arial" w:eastAsia="Calibri" w:hAnsi="Arial" w:cs="Arial"/>
          <w:sz w:val="16"/>
          <w:szCs w:val="16"/>
          <w:lang w:val="es-ES" w:eastAsia="en-US"/>
        </w:rPr>
        <w:t>SR. MINISTRO</w:t>
      </w:r>
    </w:p>
    <w:p w14:paraId="2391F9D8" w14:textId="77777777" w:rsidR="00B21518" w:rsidRPr="003417DD" w:rsidRDefault="00B21518" w:rsidP="00BE28D2">
      <w:pPr>
        <w:tabs>
          <w:tab w:val="left" w:pos="7309"/>
        </w:tabs>
        <w:spacing w:line="276" w:lineRule="auto"/>
        <w:jc w:val="both"/>
        <w:rPr>
          <w:rFonts w:ascii="Arial" w:eastAsia="Calibri" w:hAnsi="Arial" w:cs="Arial"/>
          <w:sz w:val="16"/>
          <w:szCs w:val="16"/>
          <w:lang w:val="es-ES" w:eastAsia="en-US"/>
        </w:rPr>
      </w:pPr>
    </w:p>
    <w:p w14:paraId="2930ADEB" w14:textId="77777777" w:rsidR="00B21518" w:rsidRPr="003417DD" w:rsidRDefault="00B21518" w:rsidP="00BE28D2">
      <w:pPr>
        <w:tabs>
          <w:tab w:val="left" w:pos="7309"/>
        </w:tabs>
        <w:spacing w:line="276" w:lineRule="auto"/>
        <w:jc w:val="both"/>
        <w:rPr>
          <w:rFonts w:ascii="Arial" w:eastAsia="Calibri" w:hAnsi="Arial" w:cs="Arial"/>
          <w:sz w:val="16"/>
          <w:szCs w:val="16"/>
          <w:lang w:val="es-ES" w:eastAsia="en-US"/>
        </w:rPr>
      </w:pPr>
    </w:p>
    <w:p w14:paraId="496D92E2" w14:textId="6A8F82A2" w:rsidR="00BE28D2" w:rsidRPr="003417DD" w:rsidRDefault="00BE28D2" w:rsidP="00BE28D2">
      <w:pPr>
        <w:spacing w:after="60" w:line="276" w:lineRule="auto"/>
        <w:jc w:val="both"/>
        <w:rPr>
          <w:rFonts w:ascii="Arial" w:eastAsia="Calibri" w:hAnsi="Arial" w:cs="Arial"/>
          <w:b/>
          <w:sz w:val="26"/>
          <w:szCs w:val="26"/>
          <w:lang w:val="es-ES" w:eastAsia="en-US"/>
        </w:rPr>
      </w:pPr>
      <w:r w:rsidRPr="003417DD">
        <w:rPr>
          <w:rFonts w:ascii="Arial" w:eastAsia="Calibri" w:hAnsi="Arial" w:cs="Arial"/>
          <w:b/>
          <w:sz w:val="26"/>
          <w:szCs w:val="26"/>
          <w:lang w:val="es-ES" w:eastAsia="en-US"/>
        </w:rPr>
        <w:t xml:space="preserve">PONENTE: </w:t>
      </w:r>
      <w:r w:rsidR="007C33F3" w:rsidRPr="003417DD">
        <w:rPr>
          <w:rFonts w:ascii="Arial" w:eastAsia="Calibri" w:hAnsi="Arial" w:cs="Arial"/>
          <w:b/>
          <w:sz w:val="26"/>
          <w:szCs w:val="26"/>
          <w:lang w:val="es-ES" w:eastAsia="en-US"/>
        </w:rPr>
        <w:t>MINISTRO ALFREDO GUTIÉRREZ ORTIZ MENA</w:t>
      </w:r>
    </w:p>
    <w:p w14:paraId="0BA8C671" w14:textId="77777777" w:rsidR="00CD2163" w:rsidRPr="003417DD" w:rsidRDefault="00CD2163" w:rsidP="00BE28D2">
      <w:pPr>
        <w:spacing w:after="60" w:line="276" w:lineRule="auto"/>
        <w:jc w:val="both"/>
        <w:rPr>
          <w:rFonts w:ascii="Arial" w:eastAsia="Calibri" w:hAnsi="Arial" w:cs="Arial"/>
          <w:b/>
          <w:sz w:val="26"/>
          <w:szCs w:val="26"/>
          <w:lang w:val="es-ES" w:eastAsia="en-US"/>
        </w:rPr>
      </w:pPr>
    </w:p>
    <w:p w14:paraId="64D18476" w14:textId="479E69D8" w:rsidR="00BE28D2" w:rsidRPr="003417DD" w:rsidRDefault="00BE28D2" w:rsidP="00BE28D2">
      <w:pPr>
        <w:spacing w:line="276" w:lineRule="auto"/>
        <w:jc w:val="both"/>
        <w:rPr>
          <w:rFonts w:ascii="Arial" w:eastAsia="Calibri" w:hAnsi="Arial" w:cs="Arial"/>
          <w:sz w:val="16"/>
          <w:szCs w:val="16"/>
          <w:lang w:val="es-ES" w:eastAsia="en-US"/>
        </w:rPr>
      </w:pPr>
      <w:r w:rsidRPr="003417DD">
        <w:rPr>
          <w:rFonts w:ascii="Arial" w:eastAsia="Calibri" w:hAnsi="Arial" w:cs="Arial"/>
          <w:sz w:val="16"/>
          <w:szCs w:val="16"/>
          <w:lang w:val="es-ES" w:eastAsia="en-US"/>
        </w:rPr>
        <w:t>COTEJÓ</w:t>
      </w:r>
    </w:p>
    <w:p w14:paraId="347F6B1C" w14:textId="77777777" w:rsidR="003057C1" w:rsidRPr="003417DD" w:rsidRDefault="003057C1" w:rsidP="00BE28D2">
      <w:pPr>
        <w:spacing w:line="276" w:lineRule="auto"/>
        <w:jc w:val="both"/>
        <w:rPr>
          <w:rFonts w:ascii="Arial" w:eastAsia="Calibri" w:hAnsi="Arial" w:cs="Arial"/>
          <w:sz w:val="16"/>
          <w:szCs w:val="16"/>
          <w:lang w:val="es-ES" w:eastAsia="en-US"/>
        </w:rPr>
      </w:pPr>
    </w:p>
    <w:p w14:paraId="136A6DCC" w14:textId="77777777" w:rsidR="003057C1" w:rsidRPr="003417DD" w:rsidRDefault="003057C1" w:rsidP="00BE28D2">
      <w:pPr>
        <w:spacing w:line="276" w:lineRule="auto"/>
        <w:jc w:val="both"/>
        <w:rPr>
          <w:rFonts w:ascii="Arial" w:eastAsia="Calibri" w:hAnsi="Arial" w:cs="Arial"/>
          <w:sz w:val="16"/>
          <w:szCs w:val="16"/>
          <w:lang w:val="es-ES" w:eastAsia="en-US"/>
        </w:rPr>
      </w:pPr>
    </w:p>
    <w:p w14:paraId="54D39189" w14:textId="52C69AFE" w:rsidR="00BE28D2" w:rsidRPr="003417DD" w:rsidRDefault="007C33F3" w:rsidP="00BE28D2">
      <w:pPr>
        <w:spacing w:line="276" w:lineRule="auto"/>
        <w:jc w:val="both"/>
        <w:rPr>
          <w:rFonts w:ascii="Arial" w:eastAsia="Calibri" w:hAnsi="Arial" w:cs="Arial"/>
          <w:b/>
          <w:sz w:val="26"/>
          <w:szCs w:val="26"/>
          <w:lang w:val="es-ES" w:eastAsia="en-US"/>
        </w:rPr>
      </w:pPr>
      <w:r w:rsidRPr="003417DD">
        <w:rPr>
          <w:rFonts w:ascii="Arial" w:eastAsia="Calibri" w:hAnsi="Arial" w:cs="Arial"/>
          <w:b/>
          <w:sz w:val="26"/>
          <w:szCs w:val="26"/>
          <w:lang w:val="es-ES" w:eastAsia="en-US"/>
        </w:rPr>
        <w:t>SECRETARIA: SOFÍA DEL CARMEN TREVIÑO FERNÁNDEZ</w:t>
      </w:r>
    </w:p>
    <w:p w14:paraId="53831979" w14:textId="1EA5EB79" w:rsidR="00BE28D2" w:rsidRPr="003417DD" w:rsidRDefault="00BE28D2" w:rsidP="00BE28D2">
      <w:pPr>
        <w:spacing w:line="276" w:lineRule="auto"/>
        <w:jc w:val="both"/>
        <w:rPr>
          <w:rFonts w:ascii="Arial" w:eastAsia="Calibri" w:hAnsi="Arial" w:cs="Arial"/>
          <w:b/>
          <w:sz w:val="26"/>
          <w:szCs w:val="26"/>
          <w:lang w:val="es-ES" w:eastAsia="en-US"/>
        </w:rPr>
      </w:pPr>
      <w:r w:rsidRPr="003417DD">
        <w:rPr>
          <w:rFonts w:ascii="Arial" w:eastAsia="Calibri" w:hAnsi="Arial" w:cs="Arial"/>
          <w:b/>
          <w:sz w:val="26"/>
          <w:szCs w:val="26"/>
          <w:lang w:val="es-ES" w:eastAsia="en-US"/>
        </w:rPr>
        <w:t xml:space="preserve">COLABORÓ: </w:t>
      </w:r>
      <w:r w:rsidR="005E3136" w:rsidRPr="003417DD">
        <w:rPr>
          <w:rFonts w:ascii="Arial" w:hAnsi="Arial" w:cs="Arial"/>
          <w:b/>
          <w:sz w:val="26"/>
          <w:szCs w:val="26"/>
          <w:lang w:val="es-ES"/>
        </w:rPr>
        <w:t>ISABEL LUCÍA RUBIO RUFINO</w:t>
      </w:r>
    </w:p>
    <w:p w14:paraId="67751597" w14:textId="77777777" w:rsidR="00FA5EDE" w:rsidRPr="003417DD" w:rsidRDefault="00FA5EDE" w:rsidP="00FA5EDE">
      <w:pPr>
        <w:rPr>
          <w:rFonts w:ascii="Arial" w:hAnsi="Arial" w:cs="Arial"/>
          <w:b/>
          <w:sz w:val="26"/>
          <w:szCs w:val="26"/>
          <w:lang w:val="es-ES"/>
        </w:rPr>
      </w:pPr>
    </w:p>
    <w:p w14:paraId="11CA2B82" w14:textId="77777777" w:rsidR="00FA5EDE" w:rsidRPr="003417DD" w:rsidRDefault="00FA5EDE" w:rsidP="00FA5EDE">
      <w:pPr>
        <w:rPr>
          <w:rFonts w:ascii="Arial" w:hAnsi="Arial" w:cs="Arial"/>
          <w:b/>
          <w:sz w:val="26"/>
          <w:szCs w:val="26"/>
          <w:lang w:val="es-ES"/>
        </w:rPr>
      </w:pPr>
    </w:p>
    <w:p w14:paraId="13F3D20D" w14:textId="595F627D" w:rsidR="00FA5EDE" w:rsidRPr="003417DD" w:rsidRDefault="00FA5EDE" w:rsidP="00FA5EDE">
      <w:pPr>
        <w:pStyle w:val="corte4fondo"/>
        <w:ind w:right="51" w:firstLine="0"/>
        <w:rPr>
          <w:rFonts w:cs="Arial"/>
          <w:sz w:val="26"/>
          <w:szCs w:val="26"/>
          <w:lang w:val="es-ES"/>
        </w:rPr>
      </w:pPr>
      <w:r w:rsidRPr="003417DD">
        <w:rPr>
          <w:rFonts w:cs="Arial"/>
          <w:sz w:val="26"/>
          <w:szCs w:val="26"/>
          <w:lang w:val="es-ES"/>
        </w:rPr>
        <w:t xml:space="preserve">Ciudad de México. </w:t>
      </w:r>
      <w:r w:rsidR="007C33F3" w:rsidRPr="003417DD">
        <w:rPr>
          <w:rFonts w:cs="Arial"/>
          <w:sz w:val="26"/>
          <w:szCs w:val="26"/>
          <w:lang w:val="es-ES"/>
        </w:rPr>
        <w:t>La Primera Sala</w:t>
      </w:r>
      <w:r w:rsidR="009F1950" w:rsidRPr="003417DD">
        <w:rPr>
          <w:rFonts w:cs="Arial"/>
          <w:sz w:val="26"/>
          <w:szCs w:val="26"/>
          <w:lang w:val="es-ES"/>
        </w:rPr>
        <w:t xml:space="preserve"> </w:t>
      </w:r>
      <w:r w:rsidRPr="003417DD">
        <w:rPr>
          <w:rFonts w:cs="Arial"/>
          <w:sz w:val="26"/>
          <w:szCs w:val="26"/>
          <w:lang w:val="es-ES"/>
        </w:rPr>
        <w:t>de la Suprema Corte de Justicia de la Nación, en sesión correspondiente al</w:t>
      </w:r>
      <w:r w:rsidR="0004747B" w:rsidRPr="003417DD">
        <w:rPr>
          <w:rFonts w:cs="Arial"/>
          <w:sz w:val="26"/>
          <w:szCs w:val="26"/>
          <w:lang w:val="es-ES"/>
        </w:rPr>
        <w:t xml:space="preserve"> </w:t>
      </w:r>
      <w:r w:rsidR="009F11EC">
        <w:rPr>
          <w:rFonts w:cs="Arial"/>
          <w:b/>
          <w:bCs/>
          <w:sz w:val="26"/>
          <w:szCs w:val="26"/>
          <w:lang w:val="es-ES"/>
        </w:rPr>
        <w:t>veintiocho de junio de dos mil veintitrés</w:t>
      </w:r>
      <w:r w:rsidR="00B17EBB" w:rsidRPr="003417DD">
        <w:rPr>
          <w:rFonts w:cs="Arial"/>
          <w:sz w:val="26"/>
          <w:szCs w:val="26"/>
          <w:lang w:val="es-ES"/>
        </w:rPr>
        <w:t>,</w:t>
      </w:r>
      <w:r w:rsidRPr="003417DD">
        <w:rPr>
          <w:rFonts w:cs="Arial"/>
          <w:sz w:val="26"/>
          <w:szCs w:val="26"/>
          <w:lang w:val="es-ES"/>
        </w:rPr>
        <w:t xml:space="preserve"> emite la siguiente:</w:t>
      </w:r>
    </w:p>
    <w:p w14:paraId="5AFB67A0" w14:textId="77777777" w:rsidR="00C01C93" w:rsidRPr="003417DD" w:rsidRDefault="00C01C93" w:rsidP="00FA5EDE">
      <w:pPr>
        <w:pStyle w:val="corte4fondo"/>
        <w:ind w:right="51" w:firstLine="0"/>
        <w:rPr>
          <w:rFonts w:cs="Arial"/>
          <w:sz w:val="26"/>
          <w:szCs w:val="26"/>
          <w:lang w:val="es-ES"/>
        </w:rPr>
      </w:pPr>
    </w:p>
    <w:p w14:paraId="785EF0DB" w14:textId="77777777" w:rsidR="00FA5EDE" w:rsidRPr="003417DD" w:rsidRDefault="00FA5EDE" w:rsidP="00FA5EDE">
      <w:pPr>
        <w:pStyle w:val="corte4fondo"/>
        <w:ind w:right="51" w:firstLine="0"/>
        <w:jc w:val="center"/>
        <w:rPr>
          <w:rFonts w:cs="Arial"/>
          <w:b/>
          <w:sz w:val="26"/>
          <w:szCs w:val="26"/>
          <w:lang w:val="es-ES"/>
        </w:rPr>
      </w:pPr>
      <w:r w:rsidRPr="003417DD">
        <w:rPr>
          <w:rFonts w:cs="Arial"/>
          <w:b/>
          <w:sz w:val="26"/>
          <w:szCs w:val="26"/>
          <w:lang w:val="es-ES"/>
        </w:rPr>
        <w:t>S E N T E N C I A</w:t>
      </w:r>
    </w:p>
    <w:p w14:paraId="6D4B0BE0" w14:textId="77777777" w:rsidR="00FA5EDE" w:rsidRPr="003417DD" w:rsidRDefault="00FA5EDE" w:rsidP="00FA5EDE">
      <w:pPr>
        <w:pStyle w:val="corte4fondo"/>
        <w:tabs>
          <w:tab w:val="left" w:pos="142"/>
        </w:tabs>
        <w:ind w:firstLine="0"/>
        <w:rPr>
          <w:rFonts w:cs="Arial"/>
          <w:b/>
          <w:spacing w:val="160"/>
          <w:sz w:val="26"/>
          <w:szCs w:val="26"/>
          <w:lang w:val="es-ES"/>
        </w:rPr>
      </w:pPr>
    </w:p>
    <w:p w14:paraId="73137633" w14:textId="438915BF" w:rsidR="00FA5EDE" w:rsidRPr="003417DD" w:rsidRDefault="00FA5EDE" w:rsidP="00FA5EDE">
      <w:pPr>
        <w:pStyle w:val="corte4fondo"/>
        <w:ind w:right="51" w:firstLine="0"/>
        <w:rPr>
          <w:rFonts w:cs="Arial"/>
          <w:sz w:val="26"/>
          <w:szCs w:val="26"/>
          <w:lang w:val="es-ES"/>
        </w:rPr>
      </w:pPr>
      <w:r w:rsidRPr="003417DD">
        <w:rPr>
          <w:rFonts w:cs="Arial"/>
          <w:sz w:val="26"/>
          <w:szCs w:val="26"/>
          <w:lang w:val="es-ES"/>
        </w:rPr>
        <w:t>Mediante la cual se resuelve el</w:t>
      </w:r>
      <w:r w:rsidR="00F42032" w:rsidRPr="003417DD">
        <w:rPr>
          <w:rFonts w:cs="Arial"/>
          <w:sz w:val="26"/>
          <w:szCs w:val="26"/>
          <w:lang w:val="es-ES"/>
        </w:rPr>
        <w:t xml:space="preserve"> amparo directo en revisión </w:t>
      </w:r>
      <w:r w:rsidR="007C33F3" w:rsidRPr="003417DD">
        <w:rPr>
          <w:rFonts w:cs="Arial"/>
          <w:sz w:val="26"/>
          <w:szCs w:val="26"/>
          <w:lang w:val="es-ES"/>
        </w:rPr>
        <w:t>4261/2022</w:t>
      </w:r>
      <w:r w:rsidRPr="003417DD">
        <w:rPr>
          <w:rFonts w:cs="Arial"/>
          <w:sz w:val="26"/>
          <w:szCs w:val="26"/>
          <w:lang w:val="es-ES"/>
        </w:rPr>
        <w:t>, promovido en contra de</w:t>
      </w:r>
      <w:r w:rsidR="002F66C0" w:rsidRPr="003417DD">
        <w:rPr>
          <w:rFonts w:cs="Arial"/>
          <w:sz w:val="26"/>
          <w:szCs w:val="26"/>
          <w:lang w:val="es-ES"/>
        </w:rPr>
        <w:t xml:space="preserve"> la</w:t>
      </w:r>
      <w:r w:rsidR="00F42032" w:rsidRPr="003417DD">
        <w:rPr>
          <w:rFonts w:cs="Arial"/>
          <w:sz w:val="26"/>
          <w:szCs w:val="26"/>
          <w:lang w:val="es-ES"/>
        </w:rPr>
        <w:t xml:space="preserve"> </w:t>
      </w:r>
      <w:r w:rsidR="002F66C0" w:rsidRPr="003417DD">
        <w:rPr>
          <w:rFonts w:cs="Arial"/>
          <w:sz w:val="26"/>
          <w:szCs w:val="26"/>
          <w:lang w:val="es-ES"/>
        </w:rPr>
        <w:t>sentencia</w:t>
      </w:r>
      <w:r w:rsidR="00F42032" w:rsidRPr="003417DD">
        <w:rPr>
          <w:rFonts w:cs="Arial"/>
          <w:sz w:val="26"/>
          <w:szCs w:val="26"/>
          <w:lang w:val="es-ES"/>
        </w:rPr>
        <w:t xml:space="preserve"> dictad</w:t>
      </w:r>
      <w:r w:rsidR="002F66C0" w:rsidRPr="003417DD">
        <w:rPr>
          <w:rFonts w:cs="Arial"/>
          <w:sz w:val="26"/>
          <w:szCs w:val="26"/>
          <w:lang w:val="es-ES"/>
        </w:rPr>
        <w:t>a</w:t>
      </w:r>
      <w:r w:rsidR="00F42032" w:rsidRPr="003417DD">
        <w:rPr>
          <w:rFonts w:cs="Arial"/>
          <w:sz w:val="26"/>
          <w:szCs w:val="26"/>
          <w:lang w:val="es-ES"/>
        </w:rPr>
        <w:t xml:space="preserve"> en sesión del </w:t>
      </w:r>
      <w:r w:rsidR="009269FC" w:rsidRPr="003417DD">
        <w:rPr>
          <w:rFonts w:cs="Arial"/>
          <w:sz w:val="26"/>
          <w:szCs w:val="26"/>
          <w:lang w:val="es-ES"/>
        </w:rPr>
        <w:t>7 de</w:t>
      </w:r>
      <w:r w:rsidR="007C33F3" w:rsidRPr="003417DD">
        <w:rPr>
          <w:rFonts w:cs="Arial"/>
          <w:sz w:val="26"/>
          <w:szCs w:val="26"/>
          <w:lang w:val="es-ES"/>
        </w:rPr>
        <w:t xml:space="preserve"> julio de </w:t>
      </w:r>
      <w:r w:rsidR="009269FC" w:rsidRPr="003417DD">
        <w:rPr>
          <w:rFonts w:cs="Arial"/>
          <w:sz w:val="26"/>
          <w:szCs w:val="26"/>
          <w:lang w:val="es-ES"/>
        </w:rPr>
        <w:t>2022</w:t>
      </w:r>
      <w:r w:rsidRPr="003417DD">
        <w:rPr>
          <w:rFonts w:cs="Arial"/>
          <w:sz w:val="26"/>
          <w:szCs w:val="26"/>
          <w:lang w:val="es-ES"/>
        </w:rPr>
        <w:t xml:space="preserve"> por el</w:t>
      </w:r>
      <w:r w:rsidR="00F42032" w:rsidRPr="003417DD">
        <w:rPr>
          <w:rFonts w:cs="Arial"/>
          <w:sz w:val="26"/>
          <w:szCs w:val="26"/>
          <w:lang w:val="es-ES"/>
        </w:rPr>
        <w:t xml:space="preserve"> </w:t>
      </w:r>
      <w:r w:rsidR="007C33F3" w:rsidRPr="003417DD">
        <w:rPr>
          <w:rFonts w:cs="Arial"/>
          <w:sz w:val="26"/>
          <w:szCs w:val="26"/>
          <w:lang w:val="es-ES"/>
        </w:rPr>
        <w:t>Tercer Tribunal Colegiado en Materia Civil del Tercer Circuito</w:t>
      </w:r>
      <w:r w:rsidR="00A3423B" w:rsidRPr="003417DD">
        <w:rPr>
          <w:rFonts w:cs="Arial"/>
          <w:sz w:val="26"/>
          <w:szCs w:val="26"/>
          <w:lang w:val="es-ES"/>
        </w:rPr>
        <w:t>, en el juicio de</w:t>
      </w:r>
      <w:r w:rsidR="00E637A5" w:rsidRPr="003417DD">
        <w:rPr>
          <w:rFonts w:cs="Arial"/>
          <w:sz w:val="26"/>
          <w:szCs w:val="26"/>
          <w:lang w:val="es-ES"/>
        </w:rPr>
        <w:t xml:space="preserve"> </w:t>
      </w:r>
      <w:r w:rsidR="008F0B7A" w:rsidRPr="003417DD">
        <w:rPr>
          <w:rFonts w:cs="Arial"/>
          <w:sz w:val="26"/>
          <w:szCs w:val="26"/>
          <w:lang w:val="es-ES"/>
        </w:rPr>
        <w:t>amparo directo</w:t>
      </w:r>
      <w:r w:rsidR="007C33F3" w:rsidRPr="003417DD">
        <w:rPr>
          <w:rFonts w:cs="Arial"/>
          <w:sz w:val="26"/>
          <w:szCs w:val="26"/>
          <w:lang w:val="es-ES"/>
        </w:rPr>
        <w:t xml:space="preserve"> 77/2022</w:t>
      </w:r>
      <w:r w:rsidR="00A3423B" w:rsidRPr="003417DD">
        <w:rPr>
          <w:rFonts w:cs="Arial"/>
          <w:sz w:val="26"/>
          <w:szCs w:val="26"/>
          <w:lang w:val="es-ES"/>
        </w:rPr>
        <w:t xml:space="preserve">. </w:t>
      </w:r>
    </w:p>
    <w:p w14:paraId="4CAA7D09" w14:textId="77777777" w:rsidR="00FA5EDE" w:rsidRPr="003417DD" w:rsidRDefault="00FA5EDE" w:rsidP="00FA5EDE">
      <w:pPr>
        <w:pStyle w:val="corte4fondo"/>
        <w:tabs>
          <w:tab w:val="left" w:pos="851"/>
        </w:tabs>
        <w:ind w:right="51" w:firstLine="0"/>
        <w:rPr>
          <w:rFonts w:cs="Arial"/>
          <w:sz w:val="26"/>
          <w:szCs w:val="26"/>
          <w:lang w:val="es-ES"/>
        </w:rPr>
      </w:pPr>
    </w:p>
    <w:p w14:paraId="438B9B82" w14:textId="28E515F8" w:rsidR="003D6B3D" w:rsidRPr="003417DD" w:rsidRDefault="00FA5EDE" w:rsidP="007E3554">
      <w:pPr>
        <w:pStyle w:val="corte4fondo"/>
        <w:tabs>
          <w:tab w:val="left" w:pos="851"/>
        </w:tabs>
        <w:ind w:right="51" w:firstLine="0"/>
        <w:rPr>
          <w:rFonts w:cs="Arial"/>
          <w:sz w:val="26"/>
          <w:szCs w:val="26"/>
          <w:lang w:val="es-ES"/>
        </w:rPr>
      </w:pPr>
      <w:r w:rsidRPr="006F1F36">
        <w:rPr>
          <w:rFonts w:cs="Arial"/>
          <w:sz w:val="26"/>
          <w:szCs w:val="26"/>
          <w:lang w:val="es-ES"/>
        </w:rPr>
        <w:t xml:space="preserve">El problema </w:t>
      </w:r>
      <w:r w:rsidR="0004747B" w:rsidRPr="006F1F36">
        <w:rPr>
          <w:rFonts w:cs="Arial"/>
          <w:sz w:val="26"/>
          <w:szCs w:val="26"/>
          <w:lang w:val="es-ES"/>
        </w:rPr>
        <w:t>que</w:t>
      </w:r>
      <w:r w:rsidR="00643348" w:rsidRPr="006F1F36">
        <w:rPr>
          <w:rFonts w:cs="Arial"/>
          <w:sz w:val="26"/>
          <w:szCs w:val="26"/>
          <w:lang w:val="es-ES"/>
        </w:rPr>
        <w:t xml:space="preserve"> </w:t>
      </w:r>
      <w:r w:rsidR="007C33F3" w:rsidRPr="006F1F36">
        <w:rPr>
          <w:rFonts w:cs="Arial"/>
          <w:sz w:val="26"/>
          <w:szCs w:val="26"/>
          <w:lang w:val="es-ES"/>
        </w:rPr>
        <w:t>la Primera Sala</w:t>
      </w:r>
      <w:r w:rsidR="0004747B" w:rsidRPr="006F1F36">
        <w:rPr>
          <w:rFonts w:cs="Arial"/>
          <w:sz w:val="26"/>
          <w:szCs w:val="26"/>
          <w:lang w:val="es-ES"/>
        </w:rPr>
        <w:t xml:space="preserve"> debe resolver</w:t>
      </w:r>
      <w:r w:rsidRPr="006F1F36">
        <w:rPr>
          <w:rFonts w:cs="Arial"/>
          <w:sz w:val="26"/>
          <w:szCs w:val="26"/>
          <w:lang w:val="es-ES"/>
        </w:rPr>
        <w:t xml:space="preserve"> consiste </w:t>
      </w:r>
      <w:r w:rsidR="00F42032" w:rsidRPr="006F1F36">
        <w:rPr>
          <w:rFonts w:cs="Arial"/>
          <w:sz w:val="26"/>
          <w:szCs w:val="26"/>
          <w:lang w:val="es-ES"/>
        </w:rPr>
        <w:t xml:space="preserve">en </w:t>
      </w:r>
      <w:r w:rsidR="002F66C0" w:rsidRPr="006F1F36">
        <w:rPr>
          <w:rFonts w:cs="Arial"/>
          <w:sz w:val="26"/>
          <w:szCs w:val="26"/>
          <w:lang w:val="es-ES"/>
        </w:rPr>
        <w:t xml:space="preserve">determinar </w:t>
      </w:r>
      <w:r w:rsidR="007E3554" w:rsidRPr="006F1F36">
        <w:rPr>
          <w:rFonts w:cs="Arial"/>
          <w:sz w:val="26"/>
          <w:szCs w:val="26"/>
          <w:lang w:val="es-ES"/>
        </w:rPr>
        <w:t>si</w:t>
      </w:r>
      <w:r w:rsidR="00036079" w:rsidRPr="006F1F36">
        <w:rPr>
          <w:rFonts w:cs="Arial"/>
          <w:sz w:val="26"/>
          <w:szCs w:val="26"/>
          <w:lang w:val="es-ES"/>
        </w:rPr>
        <w:t xml:space="preserve"> </w:t>
      </w:r>
      <w:r w:rsidR="002B771A" w:rsidRPr="006F1F36">
        <w:rPr>
          <w:rFonts w:cs="Arial"/>
          <w:sz w:val="26"/>
          <w:szCs w:val="26"/>
          <w:lang w:val="es-ES"/>
        </w:rPr>
        <w:t xml:space="preserve">es inconstitucional el </w:t>
      </w:r>
      <w:r w:rsidR="0096757A" w:rsidRPr="006F1F36">
        <w:rPr>
          <w:rFonts w:cs="Arial"/>
          <w:sz w:val="26"/>
          <w:szCs w:val="26"/>
          <w:lang w:val="es-ES"/>
        </w:rPr>
        <w:t xml:space="preserve">artículo 336 del Código Civil </w:t>
      </w:r>
      <w:r w:rsidR="00EC3754">
        <w:rPr>
          <w:rFonts w:cs="Arial"/>
          <w:sz w:val="26"/>
          <w:szCs w:val="26"/>
          <w:lang w:val="es-ES"/>
        </w:rPr>
        <w:t>del</w:t>
      </w:r>
      <w:r w:rsidR="0096757A" w:rsidRPr="006F1F36">
        <w:rPr>
          <w:rFonts w:cs="Arial"/>
          <w:sz w:val="26"/>
          <w:szCs w:val="26"/>
          <w:lang w:val="es-ES"/>
        </w:rPr>
        <w:t xml:space="preserve"> Estado de Jalisco</w:t>
      </w:r>
      <w:r w:rsidR="00A16B1C" w:rsidRPr="006F1F36">
        <w:rPr>
          <w:rStyle w:val="Refdenotaalpie"/>
          <w:rFonts w:cs="Arial"/>
          <w:sz w:val="26"/>
          <w:szCs w:val="26"/>
          <w:lang w:val="es-ES"/>
        </w:rPr>
        <w:footnoteReference w:id="2"/>
      </w:r>
      <w:r w:rsidR="0096757A" w:rsidRPr="006F1F36">
        <w:rPr>
          <w:rFonts w:cs="Arial"/>
          <w:sz w:val="26"/>
          <w:szCs w:val="26"/>
          <w:lang w:val="es-ES"/>
        </w:rPr>
        <w:t xml:space="preserve">, </w:t>
      </w:r>
      <w:r w:rsidR="000E6E67" w:rsidRPr="006F1F36">
        <w:rPr>
          <w:rFonts w:cs="Arial"/>
          <w:sz w:val="26"/>
          <w:szCs w:val="26"/>
          <w:lang w:val="es-ES"/>
        </w:rPr>
        <w:t xml:space="preserve">que </w:t>
      </w:r>
      <w:r w:rsidR="000E6E67" w:rsidRPr="006F1F36">
        <w:rPr>
          <w:rFonts w:cs="Arial"/>
          <w:sz w:val="26"/>
          <w:szCs w:val="26"/>
          <w:lang w:val="es-ES"/>
        </w:rPr>
        <w:lastRenderedPageBreak/>
        <w:t>establece que</w:t>
      </w:r>
      <w:r w:rsidR="006F1F36" w:rsidRPr="006F1F36">
        <w:rPr>
          <w:rFonts w:cs="Arial"/>
          <w:sz w:val="26"/>
          <w:szCs w:val="26"/>
          <w:lang w:val="es-ES"/>
        </w:rPr>
        <w:t>,</w:t>
      </w:r>
      <w:r w:rsidR="000E6E67" w:rsidRPr="006F1F36">
        <w:rPr>
          <w:rFonts w:cs="Arial"/>
          <w:sz w:val="26"/>
          <w:szCs w:val="26"/>
          <w:lang w:val="es-ES"/>
        </w:rPr>
        <w:t xml:space="preserve"> </w:t>
      </w:r>
      <w:r w:rsidR="0096757A" w:rsidRPr="006F1F36">
        <w:rPr>
          <w:rFonts w:cs="Arial"/>
          <w:sz w:val="26"/>
          <w:szCs w:val="26"/>
          <w:lang w:val="es-ES"/>
        </w:rPr>
        <w:t xml:space="preserve">en </w:t>
      </w:r>
      <w:r w:rsidR="00B83BF3" w:rsidRPr="006F1F36">
        <w:rPr>
          <w:rFonts w:cs="Arial"/>
          <w:sz w:val="26"/>
          <w:szCs w:val="26"/>
          <w:lang w:val="es-ES"/>
        </w:rPr>
        <w:t>la</w:t>
      </w:r>
      <w:r w:rsidR="0096757A" w:rsidRPr="006F1F36">
        <w:rPr>
          <w:rFonts w:cs="Arial"/>
          <w:sz w:val="26"/>
          <w:szCs w:val="26"/>
          <w:lang w:val="es-ES"/>
        </w:rPr>
        <w:t xml:space="preserve"> disolución de la sociedad conyugal </w:t>
      </w:r>
      <w:r w:rsidR="00B83BF3" w:rsidRPr="006F1F36">
        <w:rPr>
          <w:rFonts w:cs="Arial"/>
          <w:sz w:val="26"/>
          <w:szCs w:val="26"/>
          <w:lang w:val="es-ES"/>
        </w:rPr>
        <w:t>de un matrimonio declarado nulo,</w:t>
      </w:r>
      <w:r w:rsidR="0096757A" w:rsidRPr="006F1F36">
        <w:rPr>
          <w:rFonts w:cs="Arial"/>
          <w:sz w:val="26"/>
          <w:szCs w:val="26"/>
          <w:lang w:val="es-ES"/>
        </w:rPr>
        <w:t xml:space="preserve"> el consorte que obró de mala fe</w:t>
      </w:r>
      <w:r w:rsidR="00B83BF3" w:rsidRPr="006F1F36">
        <w:rPr>
          <w:rFonts w:cs="Arial"/>
          <w:sz w:val="26"/>
          <w:szCs w:val="26"/>
          <w:lang w:val="es-ES"/>
        </w:rPr>
        <w:t xml:space="preserve"> no tomará </w:t>
      </w:r>
      <w:r w:rsidR="0096757A" w:rsidRPr="006F1F36">
        <w:rPr>
          <w:rFonts w:cs="Arial"/>
          <w:sz w:val="26"/>
          <w:szCs w:val="26"/>
          <w:lang w:val="es-ES"/>
        </w:rPr>
        <w:t>parte en l</w:t>
      </w:r>
      <w:r w:rsidR="005A3FB0">
        <w:rPr>
          <w:rFonts w:cs="Arial"/>
          <w:sz w:val="26"/>
          <w:szCs w:val="26"/>
          <w:lang w:val="es-ES"/>
        </w:rPr>
        <w:t>o</w:t>
      </w:r>
      <w:r w:rsidR="0096757A" w:rsidRPr="006F1F36">
        <w:rPr>
          <w:rFonts w:cs="Arial"/>
          <w:sz w:val="26"/>
          <w:szCs w:val="26"/>
          <w:lang w:val="es-ES"/>
        </w:rPr>
        <w:t>s gana</w:t>
      </w:r>
      <w:r w:rsidR="006B4FBF" w:rsidRPr="006F1F36">
        <w:rPr>
          <w:rFonts w:cs="Arial"/>
          <w:sz w:val="26"/>
          <w:szCs w:val="26"/>
          <w:lang w:val="es-ES"/>
        </w:rPr>
        <w:t>n</w:t>
      </w:r>
      <w:r w:rsidR="0096757A" w:rsidRPr="006F1F36">
        <w:rPr>
          <w:rFonts w:cs="Arial"/>
          <w:sz w:val="26"/>
          <w:szCs w:val="26"/>
          <w:lang w:val="es-ES"/>
        </w:rPr>
        <w:t>ciales</w:t>
      </w:r>
      <w:r w:rsidR="00512185" w:rsidRPr="006F1F36">
        <w:rPr>
          <w:rFonts w:cs="Arial"/>
          <w:sz w:val="26"/>
          <w:szCs w:val="26"/>
          <w:lang w:val="es-ES"/>
        </w:rPr>
        <w:t>.</w:t>
      </w:r>
    </w:p>
    <w:p w14:paraId="5DD9B0E0" w14:textId="77777777" w:rsidR="003C79EE" w:rsidRPr="003417DD" w:rsidRDefault="003C79EE" w:rsidP="007E3554">
      <w:pPr>
        <w:pStyle w:val="corte4fondo"/>
        <w:tabs>
          <w:tab w:val="left" w:pos="851"/>
        </w:tabs>
        <w:ind w:right="51" w:firstLine="0"/>
        <w:rPr>
          <w:rFonts w:cs="Arial"/>
          <w:sz w:val="26"/>
          <w:szCs w:val="26"/>
          <w:lang w:val="es-ES"/>
        </w:rPr>
      </w:pPr>
    </w:p>
    <w:p w14:paraId="453205E5" w14:textId="77777777" w:rsidR="00CF7D93" w:rsidRPr="003417DD" w:rsidRDefault="00FA5EDE" w:rsidP="00840C89">
      <w:pPr>
        <w:pStyle w:val="corte4fondo"/>
        <w:ind w:right="51" w:firstLine="0"/>
        <w:jc w:val="center"/>
        <w:rPr>
          <w:rFonts w:cs="Arial"/>
          <w:b/>
          <w:sz w:val="26"/>
          <w:szCs w:val="26"/>
          <w:lang w:val="es-ES"/>
        </w:rPr>
      </w:pPr>
      <w:r w:rsidRPr="003417DD">
        <w:rPr>
          <w:rFonts w:cs="Arial"/>
          <w:b/>
          <w:sz w:val="26"/>
          <w:szCs w:val="26"/>
          <w:lang w:val="es-ES"/>
        </w:rPr>
        <w:t xml:space="preserve">ANTECEDENTES </w:t>
      </w:r>
      <w:r w:rsidR="00840C89" w:rsidRPr="003417DD">
        <w:rPr>
          <w:rFonts w:cs="Arial"/>
          <w:b/>
          <w:sz w:val="26"/>
          <w:szCs w:val="26"/>
          <w:lang w:val="es-ES"/>
        </w:rPr>
        <w:t>Y TRÁMITE</w:t>
      </w:r>
    </w:p>
    <w:p w14:paraId="2B18F810" w14:textId="77777777" w:rsidR="00CF7D93" w:rsidRPr="003417DD" w:rsidRDefault="00CF7D93" w:rsidP="00CF7D93">
      <w:pPr>
        <w:pStyle w:val="corte4fondo"/>
        <w:tabs>
          <w:tab w:val="left" w:pos="851"/>
        </w:tabs>
        <w:ind w:right="51" w:firstLine="0"/>
        <w:rPr>
          <w:rFonts w:cs="Arial"/>
          <w:b/>
          <w:sz w:val="26"/>
          <w:szCs w:val="26"/>
          <w:lang w:val="es-ES"/>
        </w:rPr>
      </w:pPr>
    </w:p>
    <w:p w14:paraId="234EF0D6" w14:textId="62C5C2D6" w:rsidR="00716CDD" w:rsidRPr="003417DD" w:rsidRDefault="00681CA7" w:rsidP="00716CDD">
      <w:pPr>
        <w:pStyle w:val="corte4fondo"/>
        <w:numPr>
          <w:ilvl w:val="0"/>
          <w:numId w:val="2"/>
        </w:numPr>
        <w:ind w:left="0" w:hanging="567"/>
        <w:rPr>
          <w:rFonts w:cs="Arial"/>
          <w:sz w:val="26"/>
          <w:szCs w:val="26"/>
          <w:lang w:val="es-ES"/>
        </w:rPr>
      </w:pPr>
      <w:r w:rsidRPr="003417DD">
        <w:rPr>
          <w:rFonts w:cs="Arial"/>
          <w:b/>
          <w:bCs/>
          <w:sz w:val="26"/>
          <w:szCs w:val="26"/>
          <w:lang w:val="es-ES"/>
        </w:rPr>
        <w:t>Juicio</w:t>
      </w:r>
      <w:r w:rsidR="006B4FBF" w:rsidRPr="003417DD">
        <w:rPr>
          <w:rFonts w:cs="Arial"/>
          <w:b/>
          <w:bCs/>
          <w:sz w:val="26"/>
          <w:szCs w:val="26"/>
          <w:lang w:val="es-ES"/>
        </w:rPr>
        <w:t xml:space="preserve"> </w:t>
      </w:r>
      <w:r w:rsidRPr="003417DD">
        <w:rPr>
          <w:rFonts w:cs="Arial"/>
          <w:b/>
          <w:bCs/>
          <w:sz w:val="26"/>
          <w:szCs w:val="26"/>
          <w:lang w:val="es-ES"/>
        </w:rPr>
        <w:t>ordinario civil</w:t>
      </w:r>
      <w:bookmarkEnd w:id="0"/>
      <w:r w:rsidR="00A8758E" w:rsidRPr="003417DD">
        <w:rPr>
          <w:rFonts w:cs="Arial"/>
          <w:b/>
          <w:bCs/>
          <w:sz w:val="26"/>
          <w:szCs w:val="26"/>
          <w:lang w:val="es-ES"/>
        </w:rPr>
        <w:t xml:space="preserve"> (434/</w:t>
      </w:r>
      <w:r w:rsidR="001241C5" w:rsidRPr="003417DD">
        <w:rPr>
          <w:rFonts w:cs="Arial"/>
          <w:b/>
          <w:bCs/>
          <w:sz w:val="26"/>
          <w:szCs w:val="26"/>
          <w:lang w:val="es-ES"/>
        </w:rPr>
        <w:t>2017)</w:t>
      </w:r>
      <w:r w:rsidR="00E760FD" w:rsidRPr="003417DD">
        <w:rPr>
          <w:rFonts w:cs="Arial"/>
          <w:sz w:val="26"/>
          <w:szCs w:val="26"/>
          <w:lang w:val="es-ES"/>
        </w:rPr>
        <w:t>.</w:t>
      </w:r>
      <w:r w:rsidR="00245C0E" w:rsidRPr="003417DD">
        <w:rPr>
          <w:rFonts w:cs="Arial"/>
          <w:sz w:val="26"/>
          <w:szCs w:val="26"/>
          <w:lang w:val="es-ES"/>
        </w:rPr>
        <w:t xml:space="preserve"> El 1 de marzo de 201</w:t>
      </w:r>
      <w:r w:rsidR="00E35E0F" w:rsidRPr="003417DD">
        <w:rPr>
          <w:rFonts w:cs="Arial"/>
          <w:sz w:val="26"/>
          <w:szCs w:val="26"/>
          <w:lang w:val="es-ES"/>
        </w:rPr>
        <w:t>7,</w:t>
      </w:r>
      <w:r w:rsidRPr="003417DD">
        <w:rPr>
          <w:rFonts w:cs="Arial"/>
          <w:sz w:val="26"/>
          <w:szCs w:val="26"/>
          <w:lang w:val="es-ES"/>
        </w:rPr>
        <w:t xml:space="preserve"> </w:t>
      </w:r>
      <w:r w:rsidR="00DC5F05" w:rsidRPr="003417DD">
        <w:rPr>
          <w:rFonts w:cs="Arial"/>
          <w:color w:val="FF0000"/>
          <w:sz w:val="26"/>
          <w:szCs w:val="26"/>
          <w:lang w:val="es-ES"/>
        </w:rPr>
        <w:t xml:space="preserve">MGGI </w:t>
      </w:r>
      <w:r w:rsidR="00DC5F05" w:rsidRPr="003417DD">
        <w:rPr>
          <w:rFonts w:cs="Arial"/>
          <w:sz w:val="26"/>
          <w:szCs w:val="26"/>
          <w:lang w:val="es-ES"/>
        </w:rPr>
        <w:t>demandó de</w:t>
      </w:r>
      <w:r w:rsidR="00B31D10" w:rsidRPr="003417DD">
        <w:rPr>
          <w:rFonts w:cs="Arial"/>
          <w:sz w:val="26"/>
          <w:szCs w:val="26"/>
          <w:lang w:val="es-ES"/>
        </w:rPr>
        <w:t xml:space="preserve"> </w:t>
      </w:r>
      <w:r w:rsidR="000F2A38" w:rsidRPr="003417DD">
        <w:rPr>
          <w:rFonts w:cs="Arial"/>
          <w:color w:val="FF0000"/>
          <w:sz w:val="26"/>
          <w:szCs w:val="26"/>
          <w:lang w:val="es-ES"/>
        </w:rPr>
        <w:t>SLA</w:t>
      </w:r>
      <w:r w:rsidR="006775C1" w:rsidRPr="003417DD">
        <w:rPr>
          <w:rFonts w:cs="Arial"/>
          <w:color w:val="FF0000"/>
          <w:sz w:val="26"/>
          <w:szCs w:val="26"/>
          <w:lang w:val="es-ES"/>
        </w:rPr>
        <w:t xml:space="preserve"> </w:t>
      </w:r>
      <w:r w:rsidR="006775C1" w:rsidRPr="003417DD">
        <w:rPr>
          <w:rFonts w:cs="Arial"/>
          <w:sz w:val="26"/>
          <w:szCs w:val="26"/>
          <w:lang w:val="es-ES"/>
        </w:rPr>
        <w:t>la nulidad del matrimonio</w:t>
      </w:r>
      <w:r w:rsidR="00444739" w:rsidRPr="003417DD">
        <w:rPr>
          <w:rStyle w:val="Refdenotaalpie"/>
          <w:rFonts w:cs="Arial"/>
          <w:sz w:val="26"/>
          <w:szCs w:val="26"/>
          <w:lang w:val="es-ES"/>
        </w:rPr>
        <w:footnoteReference w:id="3"/>
      </w:r>
      <w:r w:rsidR="006775C1" w:rsidRPr="003417DD">
        <w:rPr>
          <w:rFonts w:cs="Arial"/>
          <w:sz w:val="26"/>
          <w:szCs w:val="26"/>
          <w:lang w:val="es-ES"/>
        </w:rPr>
        <w:t>, la disolución de la sociedad legal y la pérdida de los productos gananciales del matrimonio</w:t>
      </w:r>
      <w:r w:rsidR="00244B3A" w:rsidRPr="003417DD">
        <w:rPr>
          <w:rFonts w:cs="Arial"/>
          <w:sz w:val="26"/>
          <w:szCs w:val="26"/>
          <w:lang w:val="es-ES"/>
        </w:rPr>
        <w:t>, con fundamento en el artículo 336 de</w:t>
      </w:r>
      <w:r w:rsidR="00716CDD" w:rsidRPr="003417DD">
        <w:rPr>
          <w:rFonts w:cs="Arial"/>
          <w:sz w:val="26"/>
          <w:szCs w:val="26"/>
          <w:lang w:val="es-ES"/>
        </w:rPr>
        <w:t xml:space="preserve">l Código Civil </w:t>
      </w:r>
      <w:r w:rsidR="00B01520">
        <w:rPr>
          <w:rFonts w:cs="Arial"/>
          <w:sz w:val="26"/>
          <w:szCs w:val="26"/>
          <w:lang w:val="es-ES"/>
        </w:rPr>
        <w:t>del</w:t>
      </w:r>
      <w:r w:rsidR="00716CDD" w:rsidRPr="003417DD">
        <w:rPr>
          <w:rFonts w:cs="Arial"/>
          <w:sz w:val="26"/>
          <w:szCs w:val="26"/>
          <w:lang w:val="es-ES"/>
        </w:rPr>
        <w:t xml:space="preserve"> Estado de Jalisco</w:t>
      </w:r>
      <w:r w:rsidR="00331E5D" w:rsidRPr="003417DD">
        <w:rPr>
          <w:rStyle w:val="Refdenotaalpie"/>
          <w:rFonts w:cs="Arial"/>
          <w:sz w:val="26"/>
          <w:szCs w:val="26"/>
          <w:lang w:val="es-ES"/>
        </w:rPr>
        <w:footnoteReference w:id="4"/>
      </w:r>
      <w:r w:rsidR="002F3F49" w:rsidRPr="003417DD">
        <w:rPr>
          <w:rFonts w:cs="Arial"/>
          <w:sz w:val="26"/>
          <w:szCs w:val="26"/>
          <w:lang w:val="es-ES"/>
        </w:rPr>
        <w:t>. La actora</w:t>
      </w:r>
      <w:r w:rsidR="006775C1" w:rsidRPr="003417DD">
        <w:rPr>
          <w:rFonts w:cs="Arial"/>
          <w:sz w:val="26"/>
          <w:szCs w:val="26"/>
          <w:lang w:val="es-ES"/>
        </w:rPr>
        <w:t xml:space="preserve"> argument</w:t>
      </w:r>
      <w:r w:rsidR="005F58C1" w:rsidRPr="003417DD">
        <w:rPr>
          <w:rFonts w:cs="Arial"/>
          <w:sz w:val="26"/>
          <w:szCs w:val="26"/>
          <w:lang w:val="es-ES"/>
        </w:rPr>
        <w:t>ó</w:t>
      </w:r>
      <w:r w:rsidR="00F873D2" w:rsidRPr="003417DD">
        <w:rPr>
          <w:rFonts w:cs="Arial"/>
          <w:sz w:val="26"/>
          <w:szCs w:val="26"/>
          <w:lang w:val="es-ES"/>
        </w:rPr>
        <w:t xml:space="preserve"> </w:t>
      </w:r>
      <w:r w:rsidR="00D0452E" w:rsidRPr="003417DD">
        <w:rPr>
          <w:rFonts w:cs="Arial"/>
          <w:sz w:val="26"/>
          <w:szCs w:val="26"/>
          <w:lang w:val="es-ES"/>
        </w:rPr>
        <w:t xml:space="preserve">que ella contrajo matrimonio </w:t>
      </w:r>
      <w:r w:rsidR="00716CDD" w:rsidRPr="003417DD">
        <w:rPr>
          <w:rFonts w:cs="Arial"/>
          <w:sz w:val="26"/>
          <w:szCs w:val="26"/>
          <w:lang w:val="es-ES"/>
        </w:rPr>
        <w:t xml:space="preserve">de buena fe </w:t>
      </w:r>
      <w:r w:rsidR="00D0452E" w:rsidRPr="003417DD">
        <w:rPr>
          <w:rFonts w:cs="Arial"/>
          <w:sz w:val="26"/>
          <w:szCs w:val="26"/>
          <w:lang w:val="es-ES"/>
        </w:rPr>
        <w:t>con el demandado, mientras él exhibió</w:t>
      </w:r>
      <w:r w:rsidR="006775C1" w:rsidRPr="003417DD">
        <w:rPr>
          <w:rFonts w:cs="Arial"/>
          <w:sz w:val="26"/>
          <w:szCs w:val="26"/>
          <w:lang w:val="es-ES"/>
        </w:rPr>
        <w:t xml:space="preserve"> mala fe </w:t>
      </w:r>
      <w:r w:rsidR="00D0452E" w:rsidRPr="003417DD">
        <w:rPr>
          <w:rFonts w:cs="Arial"/>
          <w:sz w:val="26"/>
          <w:szCs w:val="26"/>
          <w:lang w:val="es-ES"/>
        </w:rPr>
        <w:t xml:space="preserve">en la celebración, pues </w:t>
      </w:r>
      <w:r w:rsidR="00BF37C9" w:rsidRPr="003417DD">
        <w:rPr>
          <w:rFonts w:cs="Arial"/>
          <w:sz w:val="26"/>
          <w:szCs w:val="26"/>
          <w:lang w:val="es-ES"/>
        </w:rPr>
        <w:t>al momento de casarse seguía vigente su primer matrimonio</w:t>
      </w:r>
      <w:r w:rsidR="00EC783D" w:rsidRPr="003417DD">
        <w:rPr>
          <w:rStyle w:val="Refdenotaalpie"/>
          <w:rFonts w:cs="Arial"/>
          <w:sz w:val="26"/>
          <w:szCs w:val="26"/>
          <w:lang w:val="es-ES"/>
        </w:rPr>
        <w:footnoteReference w:id="5"/>
      </w:r>
      <w:r w:rsidR="00774A75" w:rsidRPr="003417DD">
        <w:rPr>
          <w:rFonts w:cs="Arial"/>
          <w:sz w:val="26"/>
          <w:szCs w:val="26"/>
          <w:lang w:val="es-ES"/>
        </w:rPr>
        <w:t xml:space="preserve">. Por lo anterior, </w:t>
      </w:r>
      <w:r w:rsidR="008F0A25" w:rsidRPr="003417DD">
        <w:rPr>
          <w:rFonts w:cs="Arial"/>
          <w:sz w:val="26"/>
          <w:szCs w:val="26"/>
          <w:lang w:val="es-ES"/>
        </w:rPr>
        <w:t xml:space="preserve">de acuerdo con el artículo </w:t>
      </w:r>
      <w:r w:rsidR="00FB3306" w:rsidRPr="003417DD">
        <w:rPr>
          <w:rFonts w:cs="Arial"/>
          <w:sz w:val="26"/>
          <w:szCs w:val="26"/>
          <w:lang w:val="es-ES"/>
        </w:rPr>
        <w:t>referido</w:t>
      </w:r>
      <w:r w:rsidR="008F0A25" w:rsidRPr="003417DD">
        <w:rPr>
          <w:rFonts w:cs="Arial"/>
          <w:sz w:val="26"/>
          <w:szCs w:val="26"/>
          <w:lang w:val="es-ES"/>
        </w:rPr>
        <w:t xml:space="preserve">, </w:t>
      </w:r>
      <w:r w:rsidR="00774A75" w:rsidRPr="003417DD">
        <w:rPr>
          <w:rFonts w:cs="Arial"/>
          <w:sz w:val="26"/>
          <w:szCs w:val="26"/>
          <w:lang w:val="es-ES"/>
        </w:rPr>
        <w:t xml:space="preserve">demandó que </w:t>
      </w:r>
      <w:r w:rsidR="00065C58" w:rsidRPr="003417DD">
        <w:rPr>
          <w:rFonts w:cs="Arial"/>
          <w:sz w:val="26"/>
          <w:szCs w:val="26"/>
          <w:lang w:val="es-ES"/>
        </w:rPr>
        <w:t>el señor no debía tener parte en l</w:t>
      </w:r>
      <w:r w:rsidR="00CB4494">
        <w:rPr>
          <w:rFonts w:cs="Arial"/>
          <w:sz w:val="26"/>
          <w:szCs w:val="26"/>
          <w:lang w:val="es-ES"/>
        </w:rPr>
        <w:t>o</w:t>
      </w:r>
      <w:r w:rsidR="00065C58" w:rsidRPr="003417DD">
        <w:rPr>
          <w:rFonts w:cs="Arial"/>
          <w:sz w:val="26"/>
          <w:szCs w:val="26"/>
          <w:lang w:val="es-ES"/>
        </w:rPr>
        <w:t>s gananciales de la sociedad.</w:t>
      </w:r>
    </w:p>
    <w:p w14:paraId="6B534125" w14:textId="77777777" w:rsidR="00716CDD" w:rsidRPr="003417DD" w:rsidRDefault="00716CDD" w:rsidP="00716CDD">
      <w:pPr>
        <w:pStyle w:val="corte4fondo"/>
        <w:ind w:firstLine="0"/>
        <w:rPr>
          <w:rFonts w:cs="Arial"/>
          <w:sz w:val="26"/>
          <w:szCs w:val="26"/>
          <w:lang w:val="es-ES"/>
        </w:rPr>
      </w:pPr>
    </w:p>
    <w:p w14:paraId="7C04C0AA" w14:textId="314BBE81" w:rsidR="00E35C88" w:rsidRPr="003417DD" w:rsidRDefault="00BF37C9" w:rsidP="00352A29">
      <w:pPr>
        <w:pStyle w:val="corte4fondo"/>
        <w:numPr>
          <w:ilvl w:val="0"/>
          <w:numId w:val="2"/>
        </w:numPr>
        <w:ind w:left="0" w:hanging="567"/>
        <w:rPr>
          <w:rFonts w:cs="Arial"/>
          <w:sz w:val="26"/>
          <w:szCs w:val="26"/>
          <w:lang w:val="es-ES"/>
        </w:rPr>
      </w:pPr>
      <w:r w:rsidRPr="003417DD">
        <w:rPr>
          <w:rFonts w:cs="Arial"/>
          <w:sz w:val="26"/>
          <w:szCs w:val="26"/>
          <w:lang w:val="es-ES"/>
        </w:rPr>
        <w:t xml:space="preserve">Del asunto </w:t>
      </w:r>
      <w:r w:rsidR="0017324E" w:rsidRPr="003417DD">
        <w:rPr>
          <w:rFonts w:cs="Arial"/>
          <w:sz w:val="26"/>
          <w:szCs w:val="26"/>
          <w:lang w:val="es-ES"/>
        </w:rPr>
        <w:t>conoció el Juzgado Octavo de lo Familiar</w:t>
      </w:r>
      <w:r w:rsidR="00AC3DC6" w:rsidRPr="003417DD">
        <w:rPr>
          <w:rFonts w:cs="Arial"/>
          <w:sz w:val="26"/>
          <w:szCs w:val="26"/>
          <w:lang w:val="es-ES"/>
        </w:rPr>
        <w:t xml:space="preserve"> del Primer Partido Judicial del Estado de Jalisco, que dictó sentencia</w:t>
      </w:r>
      <w:r w:rsidR="00F874D0" w:rsidRPr="003417DD">
        <w:rPr>
          <w:rFonts w:cs="Arial"/>
          <w:sz w:val="26"/>
          <w:szCs w:val="26"/>
          <w:lang w:val="es-ES"/>
        </w:rPr>
        <w:t xml:space="preserve"> el 13 de agosto del 2020</w:t>
      </w:r>
      <w:r w:rsidR="007E559C" w:rsidRPr="003417DD">
        <w:rPr>
          <w:rFonts w:cs="Arial"/>
          <w:sz w:val="26"/>
          <w:szCs w:val="26"/>
          <w:lang w:val="es-ES"/>
        </w:rPr>
        <w:t xml:space="preserve">. El juez </w:t>
      </w:r>
      <w:r w:rsidR="00A320B9" w:rsidRPr="003417DD">
        <w:rPr>
          <w:rFonts w:cs="Arial"/>
          <w:sz w:val="26"/>
          <w:szCs w:val="26"/>
          <w:lang w:val="es-ES"/>
        </w:rPr>
        <w:t>declaró</w:t>
      </w:r>
      <w:r w:rsidR="00B54FD9" w:rsidRPr="003417DD">
        <w:rPr>
          <w:rFonts w:cs="Arial"/>
          <w:sz w:val="26"/>
          <w:szCs w:val="26"/>
          <w:lang w:val="es-ES"/>
        </w:rPr>
        <w:t xml:space="preserve"> </w:t>
      </w:r>
      <w:r w:rsidR="0006313A" w:rsidRPr="003417DD">
        <w:rPr>
          <w:rFonts w:cs="Arial"/>
          <w:sz w:val="26"/>
          <w:szCs w:val="26"/>
          <w:lang w:val="es-ES"/>
        </w:rPr>
        <w:t>procedente la nulidad del matrimonio</w:t>
      </w:r>
      <w:r w:rsidR="00245E7D" w:rsidRPr="003417DD">
        <w:rPr>
          <w:rFonts w:cs="Arial"/>
          <w:sz w:val="26"/>
          <w:szCs w:val="26"/>
          <w:lang w:val="es-ES"/>
        </w:rPr>
        <w:t>,</w:t>
      </w:r>
      <w:r w:rsidR="0006313A" w:rsidRPr="003417DD">
        <w:rPr>
          <w:rFonts w:cs="Arial"/>
          <w:sz w:val="26"/>
          <w:szCs w:val="26"/>
          <w:lang w:val="es-ES"/>
        </w:rPr>
        <w:t xml:space="preserve"> sin decretar la pérdida de los gana</w:t>
      </w:r>
      <w:r w:rsidR="004001BB" w:rsidRPr="003417DD">
        <w:rPr>
          <w:rFonts w:cs="Arial"/>
          <w:sz w:val="26"/>
          <w:szCs w:val="26"/>
          <w:lang w:val="es-ES"/>
        </w:rPr>
        <w:t>n</w:t>
      </w:r>
      <w:r w:rsidR="0006313A" w:rsidRPr="003417DD">
        <w:rPr>
          <w:rFonts w:cs="Arial"/>
          <w:sz w:val="26"/>
          <w:szCs w:val="26"/>
          <w:lang w:val="es-ES"/>
        </w:rPr>
        <w:t>ciales</w:t>
      </w:r>
      <w:r w:rsidR="00245E7D" w:rsidRPr="003417DD">
        <w:rPr>
          <w:rFonts w:cs="Arial"/>
          <w:sz w:val="26"/>
          <w:szCs w:val="26"/>
          <w:lang w:val="es-ES"/>
        </w:rPr>
        <w:t xml:space="preserve">. </w:t>
      </w:r>
      <w:r w:rsidR="007E559C" w:rsidRPr="003417DD">
        <w:rPr>
          <w:rFonts w:cs="Arial"/>
          <w:sz w:val="26"/>
          <w:szCs w:val="26"/>
          <w:lang w:val="es-ES"/>
        </w:rPr>
        <w:t>D</w:t>
      </w:r>
      <w:r w:rsidR="00245E7D" w:rsidRPr="003417DD">
        <w:rPr>
          <w:rFonts w:cs="Arial"/>
          <w:sz w:val="26"/>
          <w:szCs w:val="26"/>
          <w:lang w:val="es-ES"/>
        </w:rPr>
        <w:t xml:space="preserve">eterminó que, </w:t>
      </w:r>
      <w:r w:rsidR="007C4941" w:rsidRPr="003417DD">
        <w:rPr>
          <w:rFonts w:cs="Arial"/>
          <w:sz w:val="26"/>
          <w:szCs w:val="26"/>
          <w:lang w:val="es-ES"/>
        </w:rPr>
        <w:t xml:space="preserve">con base en la aplicación de una perspectiva de género y dada la edad del demandado, que es un adulto mayor, </w:t>
      </w:r>
      <w:r w:rsidR="008E35F9" w:rsidRPr="003417DD">
        <w:rPr>
          <w:rFonts w:cs="Arial"/>
          <w:sz w:val="26"/>
          <w:szCs w:val="26"/>
          <w:lang w:val="es-ES"/>
        </w:rPr>
        <w:t>“</w:t>
      </w:r>
      <w:r w:rsidR="007C4941" w:rsidRPr="003417DD">
        <w:rPr>
          <w:rFonts w:cs="Arial"/>
          <w:sz w:val="26"/>
          <w:szCs w:val="26"/>
          <w:lang w:val="es-ES"/>
        </w:rPr>
        <w:t>resultaría injusto</w:t>
      </w:r>
      <w:r w:rsidR="008E35F9" w:rsidRPr="003417DD">
        <w:rPr>
          <w:rFonts w:cs="Arial"/>
          <w:sz w:val="26"/>
          <w:szCs w:val="26"/>
          <w:lang w:val="es-ES"/>
        </w:rPr>
        <w:t>”</w:t>
      </w:r>
      <w:r w:rsidR="007C4941" w:rsidRPr="003417DD">
        <w:rPr>
          <w:rFonts w:cs="Arial"/>
          <w:sz w:val="26"/>
          <w:szCs w:val="26"/>
          <w:lang w:val="es-ES"/>
        </w:rPr>
        <w:t xml:space="preserve"> que </w:t>
      </w:r>
      <w:r w:rsidR="00FC63A9" w:rsidRPr="003417DD">
        <w:rPr>
          <w:rFonts w:cs="Arial"/>
          <w:sz w:val="26"/>
          <w:szCs w:val="26"/>
          <w:lang w:val="es-ES"/>
        </w:rPr>
        <w:t xml:space="preserve">éste no tuviera participación en los gananciales matrimoniales, </w:t>
      </w:r>
      <w:r w:rsidR="00095946" w:rsidRPr="003417DD">
        <w:rPr>
          <w:rFonts w:cs="Arial"/>
          <w:sz w:val="26"/>
          <w:szCs w:val="26"/>
          <w:lang w:val="es-ES"/>
        </w:rPr>
        <w:t>cuando</w:t>
      </w:r>
      <w:r w:rsidR="00FC63A9" w:rsidRPr="003417DD">
        <w:rPr>
          <w:rFonts w:cs="Arial"/>
          <w:sz w:val="26"/>
          <w:szCs w:val="26"/>
          <w:lang w:val="es-ES"/>
        </w:rPr>
        <w:t xml:space="preserve"> </w:t>
      </w:r>
      <w:r w:rsidR="00C54112" w:rsidRPr="003417DD">
        <w:rPr>
          <w:rFonts w:cs="Arial"/>
          <w:sz w:val="26"/>
          <w:szCs w:val="26"/>
          <w:lang w:val="es-ES"/>
        </w:rPr>
        <w:t>los cónyuges del matrimonio ilegítimo se encontraban en igualdad de circunstancias</w:t>
      </w:r>
      <w:r w:rsidR="00F32310" w:rsidRPr="003417DD">
        <w:rPr>
          <w:rFonts w:cs="Arial"/>
          <w:sz w:val="26"/>
          <w:szCs w:val="26"/>
          <w:lang w:val="es-ES"/>
        </w:rPr>
        <w:t xml:space="preserve">. A </w:t>
      </w:r>
      <w:r w:rsidR="00C54112" w:rsidRPr="003417DD">
        <w:rPr>
          <w:rFonts w:cs="Arial"/>
          <w:sz w:val="26"/>
          <w:szCs w:val="26"/>
          <w:lang w:val="es-ES"/>
        </w:rPr>
        <w:t>partir de esa premisa</w:t>
      </w:r>
      <w:r w:rsidR="00F32310" w:rsidRPr="003417DD">
        <w:rPr>
          <w:rFonts w:cs="Arial"/>
          <w:sz w:val="26"/>
          <w:szCs w:val="26"/>
          <w:lang w:val="es-ES"/>
        </w:rPr>
        <w:t>,</w:t>
      </w:r>
      <w:r w:rsidR="00C54112" w:rsidRPr="003417DD">
        <w:rPr>
          <w:rFonts w:cs="Arial"/>
          <w:sz w:val="26"/>
          <w:szCs w:val="26"/>
          <w:lang w:val="es-ES"/>
        </w:rPr>
        <w:t xml:space="preserve"> decretó la liquidación de la sociedad conyugal, que </w:t>
      </w:r>
      <w:r w:rsidR="00F32310" w:rsidRPr="003417DD">
        <w:rPr>
          <w:rFonts w:cs="Arial"/>
          <w:sz w:val="26"/>
          <w:szCs w:val="26"/>
          <w:lang w:val="es-ES"/>
        </w:rPr>
        <w:t>sería</w:t>
      </w:r>
      <w:r w:rsidR="00C54112" w:rsidRPr="003417DD">
        <w:rPr>
          <w:rFonts w:cs="Arial"/>
          <w:sz w:val="26"/>
          <w:szCs w:val="26"/>
          <w:lang w:val="es-ES"/>
        </w:rPr>
        <w:t xml:space="preserve"> regulada en ejecución de sentencia.</w:t>
      </w:r>
    </w:p>
    <w:p w14:paraId="7BE86AF2" w14:textId="77777777" w:rsidR="006652A7" w:rsidRPr="003417DD" w:rsidRDefault="006652A7" w:rsidP="00352A29">
      <w:pPr>
        <w:pStyle w:val="corte4fondo"/>
        <w:ind w:hanging="567"/>
        <w:rPr>
          <w:rFonts w:cs="Arial"/>
          <w:sz w:val="26"/>
          <w:szCs w:val="26"/>
          <w:lang w:val="es-ES"/>
        </w:rPr>
      </w:pPr>
    </w:p>
    <w:p w14:paraId="54C1F667" w14:textId="45EEA1ED" w:rsidR="00A34497" w:rsidRPr="003417DD" w:rsidRDefault="00681CA7" w:rsidP="00A34497">
      <w:pPr>
        <w:pStyle w:val="corte4fondo"/>
        <w:numPr>
          <w:ilvl w:val="0"/>
          <w:numId w:val="2"/>
        </w:numPr>
        <w:ind w:left="0" w:hanging="567"/>
        <w:rPr>
          <w:rFonts w:cs="Arial"/>
          <w:sz w:val="26"/>
          <w:szCs w:val="26"/>
          <w:lang w:val="es-ES"/>
        </w:rPr>
      </w:pPr>
      <w:r w:rsidRPr="003417DD">
        <w:rPr>
          <w:rFonts w:cs="Arial"/>
          <w:b/>
          <w:bCs/>
          <w:sz w:val="26"/>
          <w:szCs w:val="26"/>
          <w:lang w:val="es-ES"/>
        </w:rPr>
        <w:t>Toca de apelación</w:t>
      </w:r>
      <w:r w:rsidR="00421E8F" w:rsidRPr="003417DD">
        <w:rPr>
          <w:rFonts w:cs="Arial"/>
          <w:b/>
          <w:bCs/>
          <w:sz w:val="26"/>
          <w:szCs w:val="26"/>
          <w:lang w:val="es-ES"/>
        </w:rPr>
        <w:t xml:space="preserve"> (209/</w:t>
      </w:r>
      <w:r w:rsidR="0043262F" w:rsidRPr="003417DD">
        <w:rPr>
          <w:rFonts w:cs="Arial"/>
          <w:b/>
          <w:bCs/>
          <w:sz w:val="26"/>
          <w:szCs w:val="26"/>
          <w:lang w:val="es-ES"/>
        </w:rPr>
        <w:t>2021)</w:t>
      </w:r>
      <w:r w:rsidR="006652A7" w:rsidRPr="003417DD">
        <w:rPr>
          <w:rFonts w:cs="Arial"/>
          <w:sz w:val="26"/>
          <w:szCs w:val="26"/>
          <w:lang w:val="es-ES"/>
        </w:rPr>
        <w:t>.</w:t>
      </w:r>
      <w:r w:rsidR="00CC4B74" w:rsidRPr="003417DD">
        <w:rPr>
          <w:rFonts w:cs="Arial"/>
          <w:sz w:val="26"/>
          <w:szCs w:val="26"/>
          <w:lang w:val="es-ES"/>
        </w:rPr>
        <w:t xml:space="preserve"> Inconforme</w:t>
      </w:r>
      <w:r w:rsidR="002D7FB1" w:rsidRPr="003417DD">
        <w:rPr>
          <w:rFonts w:cs="Arial"/>
          <w:sz w:val="26"/>
          <w:szCs w:val="26"/>
          <w:lang w:val="es-ES"/>
        </w:rPr>
        <w:t>,</w:t>
      </w:r>
      <w:r w:rsidR="00CC4B74" w:rsidRPr="003417DD">
        <w:rPr>
          <w:rFonts w:cs="Arial"/>
          <w:sz w:val="26"/>
          <w:szCs w:val="26"/>
          <w:lang w:val="es-ES"/>
        </w:rPr>
        <w:t xml:space="preserve"> </w:t>
      </w:r>
      <w:r w:rsidR="00E935C6" w:rsidRPr="003417DD">
        <w:rPr>
          <w:rFonts w:cs="Arial"/>
          <w:sz w:val="26"/>
          <w:szCs w:val="26"/>
          <w:lang w:val="es-ES"/>
        </w:rPr>
        <w:t xml:space="preserve">la señora </w:t>
      </w:r>
      <w:r w:rsidR="00E935C6" w:rsidRPr="003417DD">
        <w:rPr>
          <w:rFonts w:cs="Arial"/>
          <w:color w:val="FF0000"/>
          <w:sz w:val="26"/>
          <w:szCs w:val="26"/>
          <w:lang w:val="es-ES"/>
        </w:rPr>
        <w:t xml:space="preserve">GI </w:t>
      </w:r>
      <w:r w:rsidR="00CC4B74" w:rsidRPr="003417DD">
        <w:rPr>
          <w:rFonts w:cs="Arial"/>
          <w:sz w:val="26"/>
          <w:szCs w:val="26"/>
          <w:lang w:val="es-ES"/>
        </w:rPr>
        <w:t>interpuso recurso de apelación</w:t>
      </w:r>
      <w:r w:rsidR="006C4DFC" w:rsidRPr="003417DD">
        <w:rPr>
          <w:rFonts w:cs="Arial"/>
          <w:sz w:val="26"/>
          <w:szCs w:val="26"/>
          <w:lang w:val="es-ES"/>
        </w:rPr>
        <w:t xml:space="preserve">, </w:t>
      </w:r>
      <w:r w:rsidR="002D7FB1" w:rsidRPr="003417DD">
        <w:rPr>
          <w:rFonts w:cs="Arial"/>
          <w:sz w:val="26"/>
          <w:szCs w:val="26"/>
          <w:lang w:val="es-ES"/>
        </w:rPr>
        <w:t xml:space="preserve">del que conoció </w:t>
      </w:r>
      <w:r w:rsidR="006C4DFC" w:rsidRPr="003417DD">
        <w:rPr>
          <w:rFonts w:cs="Arial"/>
          <w:sz w:val="26"/>
          <w:szCs w:val="26"/>
          <w:lang w:val="es-ES"/>
        </w:rPr>
        <w:t xml:space="preserve">la Octava Sala del Supremo Tribunal de Justicia del Estado de </w:t>
      </w:r>
      <w:r w:rsidR="00A8758E" w:rsidRPr="003417DD">
        <w:rPr>
          <w:rFonts w:cs="Arial"/>
          <w:sz w:val="26"/>
          <w:szCs w:val="26"/>
          <w:lang w:val="es-ES"/>
        </w:rPr>
        <w:t>Jalisco</w:t>
      </w:r>
      <w:r w:rsidR="002D7FB1" w:rsidRPr="003417DD">
        <w:rPr>
          <w:rFonts w:cs="Arial"/>
          <w:sz w:val="26"/>
          <w:szCs w:val="26"/>
          <w:lang w:val="es-ES"/>
        </w:rPr>
        <w:t xml:space="preserve">. La sala dictó </w:t>
      </w:r>
      <w:r w:rsidR="00B44649" w:rsidRPr="003417DD">
        <w:rPr>
          <w:rFonts w:cs="Arial"/>
          <w:sz w:val="26"/>
          <w:szCs w:val="26"/>
          <w:lang w:val="es-ES"/>
        </w:rPr>
        <w:t>sentencia el 12 de julio del 2021</w:t>
      </w:r>
      <w:r w:rsidR="000B12B4" w:rsidRPr="003417DD">
        <w:rPr>
          <w:rFonts w:cs="Arial"/>
          <w:sz w:val="26"/>
          <w:szCs w:val="26"/>
          <w:lang w:val="es-ES"/>
        </w:rPr>
        <w:t xml:space="preserve">, </w:t>
      </w:r>
      <w:r w:rsidR="008A3EAE">
        <w:rPr>
          <w:rFonts w:cs="Arial"/>
          <w:sz w:val="26"/>
          <w:szCs w:val="26"/>
          <w:lang w:val="es-ES"/>
        </w:rPr>
        <w:t xml:space="preserve">en el toca 209/2021, </w:t>
      </w:r>
      <w:r w:rsidR="000B12B4" w:rsidRPr="003417DD">
        <w:rPr>
          <w:rFonts w:cs="Arial"/>
          <w:sz w:val="26"/>
          <w:szCs w:val="26"/>
          <w:lang w:val="es-ES"/>
        </w:rPr>
        <w:t xml:space="preserve">en la que confirmó la </w:t>
      </w:r>
      <w:r w:rsidR="00851479" w:rsidRPr="003417DD">
        <w:rPr>
          <w:rFonts w:cs="Arial"/>
          <w:sz w:val="26"/>
          <w:szCs w:val="26"/>
          <w:lang w:val="es-ES"/>
        </w:rPr>
        <w:t>resolución</w:t>
      </w:r>
      <w:r w:rsidR="000B12B4" w:rsidRPr="003417DD">
        <w:rPr>
          <w:rFonts w:cs="Arial"/>
          <w:sz w:val="26"/>
          <w:szCs w:val="26"/>
          <w:lang w:val="es-ES"/>
        </w:rPr>
        <w:t xml:space="preserve"> apelada.</w:t>
      </w:r>
    </w:p>
    <w:p w14:paraId="0E3A099C" w14:textId="77777777" w:rsidR="00A34497" w:rsidRPr="003417DD" w:rsidRDefault="00A34497" w:rsidP="00EB2C5D">
      <w:pPr>
        <w:pStyle w:val="Prrafodelista"/>
        <w:spacing w:line="360" w:lineRule="auto"/>
        <w:contextualSpacing w:val="0"/>
        <w:rPr>
          <w:rFonts w:cs="Arial"/>
          <w:sz w:val="26"/>
          <w:szCs w:val="26"/>
          <w:lang w:val="es-ES"/>
        </w:rPr>
      </w:pPr>
    </w:p>
    <w:p w14:paraId="0716BC14" w14:textId="54BF1306" w:rsidR="00A34497" w:rsidRPr="003417DD" w:rsidRDefault="00A34497" w:rsidP="00060FC9">
      <w:pPr>
        <w:pStyle w:val="corte4fondo"/>
        <w:numPr>
          <w:ilvl w:val="0"/>
          <w:numId w:val="2"/>
        </w:numPr>
        <w:ind w:left="0" w:hanging="567"/>
        <w:rPr>
          <w:rFonts w:cs="Arial"/>
          <w:sz w:val="26"/>
          <w:szCs w:val="26"/>
          <w:lang w:val="es-ES"/>
        </w:rPr>
      </w:pPr>
      <w:r w:rsidRPr="003417DD">
        <w:rPr>
          <w:rFonts w:cs="Arial"/>
          <w:sz w:val="26"/>
          <w:szCs w:val="26"/>
          <w:lang w:val="es-ES"/>
        </w:rPr>
        <w:t xml:space="preserve">La sala de apelación consideró que </w:t>
      </w:r>
      <w:r w:rsidR="00603B30" w:rsidRPr="003417DD">
        <w:rPr>
          <w:rFonts w:cs="Arial"/>
          <w:sz w:val="26"/>
          <w:szCs w:val="26"/>
          <w:lang w:val="es-ES"/>
        </w:rPr>
        <w:t>los agravios de la recurrente eran parcialmente fundados, pero inoperantes</w:t>
      </w:r>
      <w:r w:rsidR="00742D22" w:rsidRPr="003417DD">
        <w:rPr>
          <w:rFonts w:cs="Arial"/>
          <w:sz w:val="26"/>
          <w:szCs w:val="26"/>
          <w:lang w:val="es-ES"/>
        </w:rPr>
        <w:t>. En este sentido, señaló qu</w:t>
      </w:r>
      <w:r w:rsidR="008F2EB8" w:rsidRPr="003417DD">
        <w:rPr>
          <w:rFonts w:cs="Arial"/>
          <w:sz w:val="26"/>
          <w:szCs w:val="26"/>
          <w:lang w:val="es-ES"/>
        </w:rPr>
        <w:t>e</w:t>
      </w:r>
      <w:r w:rsidR="00645E64" w:rsidRPr="003417DD">
        <w:rPr>
          <w:rFonts w:cs="Arial"/>
          <w:sz w:val="26"/>
          <w:szCs w:val="26"/>
          <w:lang w:val="es-ES"/>
        </w:rPr>
        <w:t xml:space="preserve"> era improcedente la prestación de pérdida de gananciales porque </w:t>
      </w:r>
      <w:r w:rsidR="009B0871" w:rsidRPr="003417DD">
        <w:rPr>
          <w:rFonts w:cs="Arial"/>
          <w:sz w:val="26"/>
          <w:szCs w:val="26"/>
          <w:lang w:val="es-ES"/>
        </w:rPr>
        <w:t xml:space="preserve">no se acreditó la mala fe del demandado. </w:t>
      </w:r>
      <w:r w:rsidR="00BB6F36" w:rsidRPr="003417DD">
        <w:rPr>
          <w:rFonts w:cs="Arial"/>
          <w:sz w:val="26"/>
          <w:szCs w:val="26"/>
          <w:lang w:val="es-ES"/>
        </w:rPr>
        <w:t>Además, s</w:t>
      </w:r>
      <w:r w:rsidR="009B0871" w:rsidRPr="003417DD">
        <w:rPr>
          <w:rFonts w:cs="Arial"/>
          <w:sz w:val="26"/>
          <w:szCs w:val="26"/>
          <w:lang w:val="es-ES"/>
        </w:rPr>
        <w:t>ostuvo</w:t>
      </w:r>
      <w:r w:rsidR="00AC2746" w:rsidRPr="003417DD">
        <w:rPr>
          <w:rFonts w:cs="Arial"/>
          <w:sz w:val="26"/>
          <w:szCs w:val="26"/>
          <w:lang w:val="es-ES"/>
        </w:rPr>
        <w:t xml:space="preserve"> </w:t>
      </w:r>
      <w:r w:rsidR="009B0871" w:rsidRPr="003417DD">
        <w:rPr>
          <w:rFonts w:cs="Arial"/>
          <w:sz w:val="26"/>
          <w:szCs w:val="26"/>
          <w:lang w:val="es-ES"/>
        </w:rPr>
        <w:t>que</w:t>
      </w:r>
      <w:r w:rsidR="00AC2746" w:rsidRPr="003417DD">
        <w:rPr>
          <w:rFonts w:cs="Arial"/>
          <w:sz w:val="26"/>
          <w:szCs w:val="26"/>
          <w:lang w:val="es-ES"/>
        </w:rPr>
        <w:t xml:space="preserve"> </w:t>
      </w:r>
      <w:r w:rsidR="00EB20B2" w:rsidRPr="003417DD">
        <w:rPr>
          <w:rFonts w:cs="Arial"/>
          <w:sz w:val="26"/>
          <w:szCs w:val="26"/>
          <w:lang w:val="es-ES"/>
        </w:rPr>
        <w:t>“</w:t>
      </w:r>
      <w:r w:rsidR="00AC2746" w:rsidRPr="003417DD">
        <w:rPr>
          <w:rFonts w:cs="Arial"/>
          <w:sz w:val="26"/>
          <w:szCs w:val="26"/>
          <w:lang w:val="es-ES"/>
        </w:rPr>
        <w:t xml:space="preserve">no existía prueba contundente de que únicamente </w:t>
      </w:r>
      <w:r w:rsidR="00AC2746" w:rsidRPr="003417DD">
        <w:rPr>
          <w:rFonts w:cs="Arial"/>
          <w:color w:val="FF0000"/>
          <w:sz w:val="26"/>
          <w:szCs w:val="26"/>
          <w:lang w:val="es-ES"/>
        </w:rPr>
        <w:t xml:space="preserve">SLA </w:t>
      </w:r>
      <w:r w:rsidR="00AC2746" w:rsidRPr="003417DD">
        <w:rPr>
          <w:rFonts w:cs="Arial"/>
          <w:sz w:val="26"/>
          <w:szCs w:val="26"/>
          <w:lang w:val="es-ES"/>
        </w:rPr>
        <w:t xml:space="preserve">hubiere </w:t>
      </w:r>
      <w:r w:rsidR="00EB20B2" w:rsidRPr="003417DD">
        <w:rPr>
          <w:rFonts w:cs="Arial"/>
          <w:sz w:val="26"/>
          <w:szCs w:val="26"/>
          <w:lang w:val="es-ES"/>
        </w:rPr>
        <w:t>obrado de mala fe al contraer las nupcias…”.</w:t>
      </w:r>
      <w:r w:rsidR="000F5E40" w:rsidRPr="003417DD">
        <w:rPr>
          <w:rStyle w:val="Refdenotaalpie"/>
          <w:rFonts w:cs="Arial"/>
          <w:sz w:val="26"/>
          <w:szCs w:val="26"/>
          <w:lang w:val="es-ES"/>
        </w:rPr>
        <w:footnoteReference w:id="6"/>
      </w:r>
    </w:p>
    <w:p w14:paraId="42D4B2BF" w14:textId="77777777" w:rsidR="00A91DAB" w:rsidRPr="003417DD" w:rsidRDefault="00A91DAB" w:rsidP="00352A29">
      <w:pPr>
        <w:pStyle w:val="corte4fondo"/>
        <w:ind w:hanging="567"/>
        <w:rPr>
          <w:bCs/>
          <w:sz w:val="26"/>
          <w:szCs w:val="26"/>
          <w:lang w:val="es-ES"/>
        </w:rPr>
      </w:pPr>
    </w:p>
    <w:p w14:paraId="7D865313" w14:textId="5FDCFE6D" w:rsidR="00013B39" w:rsidRPr="003417DD" w:rsidRDefault="00A00B0F" w:rsidP="00013B39">
      <w:pPr>
        <w:pStyle w:val="corte4fondo"/>
        <w:numPr>
          <w:ilvl w:val="0"/>
          <w:numId w:val="2"/>
        </w:numPr>
        <w:ind w:left="0" w:hanging="567"/>
        <w:rPr>
          <w:sz w:val="26"/>
          <w:szCs w:val="26"/>
          <w:lang w:val="es-ES"/>
        </w:rPr>
      </w:pPr>
      <w:r w:rsidRPr="003417DD">
        <w:rPr>
          <w:b/>
          <w:bCs/>
          <w:sz w:val="26"/>
          <w:szCs w:val="26"/>
          <w:lang w:val="es-ES"/>
        </w:rPr>
        <w:t>Primer juicio de amparo</w:t>
      </w:r>
      <w:r w:rsidR="00BD2577" w:rsidRPr="003417DD">
        <w:rPr>
          <w:b/>
          <w:bCs/>
          <w:sz w:val="26"/>
          <w:szCs w:val="26"/>
          <w:lang w:val="es-ES"/>
        </w:rPr>
        <w:t xml:space="preserve"> (384/</w:t>
      </w:r>
      <w:r w:rsidR="00050FAE" w:rsidRPr="003417DD">
        <w:rPr>
          <w:b/>
          <w:bCs/>
          <w:sz w:val="26"/>
          <w:szCs w:val="26"/>
          <w:lang w:val="es-ES"/>
        </w:rPr>
        <w:t>2021)</w:t>
      </w:r>
      <w:r w:rsidR="007060D7" w:rsidRPr="003417DD">
        <w:rPr>
          <w:sz w:val="26"/>
          <w:szCs w:val="26"/>
          <w:lang w:val="es-ES"/>
        </w:rPr>
        <w:t>.</w:t>
      </w:r>
      <w:r w:rsidR="00EC48DE" w:rsidRPr="003417DD">
        <w:rPr>
          <w:sz w:val="26"/>
          <w:szCs w:val="26"/>
          <w:lang w:val="es-ES"/>
        </w:rPr>
        <w:t xml:space="preserve"> </w:t>
      </w:r>
      <w:r w:rsidR="00A34503" w:rsidRPr="003417DD">
        <w:rPr>
          <w:sz w:val="26"/>
          <w:szCs w:val="26"/>
          <w:lang w:val="es-ES"/>
        </w:rPr>
        <w:t>En contra de la anterior determinación</w:t>
      </w:r>
      <w:r w:rsidR="006C727E" w:rsidRPr="003417DD">
        <w:rPr>
          <w:sz w:val="26"/>
          <w:szCs w:val="26"/>
          <w:lang w:val="es-ES"/>
        </w:rPr>
        <w:t>,</w:t>
      </w:r>
      <w:r w:rsidR="00A34503" w:rsidRPr="003417DD">
        <w:rPr>
          <w:sz w:val="26"/>
          <w:szCs w:val="26"/>
          <w:lang w:val="es-ES"/>
        </w:rPr>
        <w:t xml:space="preserve"> </w:t>
      </w:r>
      <w:r w:rsidR="00C12A17" w:rsidRPr="003417DD">
        <w:rPr>
          <w:sz w:val="26"/>
          <w:szCs w:val="26"/>
          <w:lang w:val="es-ES"/>
        </w:rPr>
        <w:t xml:space="preserve">por escrito </w:t>
      </w:r>
      <w:r w:rsidR="00FA26A8" w:rsidRPr="003417DD">
        <w:rPr>
          <w:sz w:val="26"/>
          <w:szCs w:val="26"/>
          <w:lang w:val="es-ES"/>
        </w:rPr>
        <w:t xml:space="preserve">del 3 de agosto de 2021, </w:t>
      </w:r>
      <w:r w:rsidR="00A220DE" w:rsidRPr="003417DD">
        <w:rPr>
          <w:sz w:val="26"/>
          <w:szCs w:val="26"/>
          <w:lang w:val="es-ES"/>
        </w:rPr>
        <w:t xml:space="preserve">la </w:t>
      </w:r>
      <w:r w:rsidR="00425F98" w:rsidRPr="003417DD">
        <w:rPr>
          <w:sz w:val="26"/>
          <w:szCs w:val="26"/>
          <w:lang w:val="es-ES"/>
        </w:rPr>
        <w:t xml:space="preserve">señora </w:t>
      </w:r>
      <w:r w:rsidR="00425F98" w:rsidRPr="003417DD">
        <w:rPr>
          <w:color w:val="FF0000"/>
          <w:sz w:val="26"/>
          <w:szCs w:val="26"/>
          <w:lang w:val="es-ES"/>
        </w:rPr>
        <w:t>G</w:t>
      </w:r>
      <w:r w:rsidR="000434ED" w:rsidRPr="003417DD">
        <w:rPr>
          <w:color w:val="FF0000"/>
          <w:sz w:val="26"/>
          <w:szCs w:val="26"/>
          <w:lang w:val="es-ES"/>
        </w:rPr>
        <w:t>I</w:t>
      </w:r>
      <w:r w:rsidR="00425F98" w:rsidRPr="003417DD">
        <w:rPr>
          <w:sz w:val="26"/>
          <w:szCs w:val="26"/>
          <w:lang w:val="es-ES"/>
        </w:rPr>
        <w:t xml:space="preserve"> solicitó el amparo y protección de la justicia federal</w:t>
      </w:r>
      <w:r w:rsidR="006C727E" w:rsidRPr="003417DD">
        <w:rPr>
          <w:sz w:val="26"/>
          <w:szCs w:val="26"/>
          <w:lang w:val="es-ES"/>
        </w:rPr>
        <w:t xml:space="preserve">. </w:t>
      </w:r>
      <w:r w:rsidR="00013B39" w:rsidRPr="003417DD">
        <w:rPr>
          <w:sz w:val="26"/>
          <w:szCs w:val="26"/>
          <w:lang w:val="es-ES"/>
        </w:rPr>
        <w:t>La quejosa argumentó</w:t>
      </w:r>
      <w:r w:rsidR="00551CEC" w:rsidRPr="003417DD">
        <w:rPr>
          <w:sz w:val="26"/>
          <w:szCs w:val="26"/>
          <w:lang w:val="es-ES"/>
        </w:rPr>
        <w:t>,</w:t>
      </w:r>
      <w:r w:rsidR="00013B39" w:rsidRPr="003417DD">
        <w:rPr>
          <w:sz w:val="26"/>
          <w:szCs w:val="26"/>
          <w:lang w:val="es-ES"/>
        </w:rPr>
        <w:t xml:space="preserve"> principalmente</w:t>
      </w:r>
      <w:r w:rsidR="00551CEC" w:rsidRPr="003417DD">
        <w:rPr>
          <w:sz w:val="26"/>
          <w:szCs w:val="26"/>
          <w:lang w:val="es-ES"/>
        </w:rPr>
        <w:t>,</w:t>
      </w:r>
      <w:r w:rsidR="00013B39" w:rsidRPr="003417DD">
        <w:rPr>
          <w:sz w:val="26"/>
          <w:szCs w:val="26"/>
          <w:lang w:val="es-ES"/>
        </w:rPr>
        <w:t xml:space="preserve"> que la sentencia resultaba incongruente </w:t>
      </w:r>
      <w:r w:rsidR="005C53AD" w:rsidRPr="003417DD">
        <w:rPr>
          <w:sz w:val="26"/>
          <w:szCs w:val="26"/>
          <w:lang w:val="es-ES"/>
        </w:rPr>
        <w:t>porque</w:t>
      </w:r>
      <w:r w:rsidR="0022245A" w:rsidRPr="003417DD">
        <w:rPr>
          <w:sz w:val="26"/>
          <w:szCs w:val="26"/>
          <w:lang w:val="es-ES"/>
        </w:rPr>
        <w:t>,</w:t>
      </w:r>
      <w:r w:rsidR="005C53AD" w:rsidRPr="003417DD">
        <w:rPr>
          <w:sz w:val="26"/>
          <w:szCs w:val="26"/>
          <w:lang w:val="es-ES"/>
        </w:rPr>
        <w:t xml:space="preserve"> por un lado</w:t>
      </w:r>
      <w:r w:rsidR="00C57647">
        <w:rPr>
          <w:sz w:val="26"/>
          <w:szCs w:val="26"/>
          <w:lang w:val="es-ES"/>
        </w:rPr>
        <w:t>,</w:t>
      </w:r>
      <w:r w:rsidR="005C53AD" w:rsidRPr="003417DD">
        <w:rPr>
          <w:sz w:val="26"/>
          <w:szCs w:val="26"/>
          <w:lang w:val="es-ES"/>
        </w:rPr>
        <w:t xml:space="preserve"> sostenía que la buena fe se presume, mientras</w:t>
      </w:r>
      <w:r w:rsidR="00D77774">
        <w:rPr>
          <w:sz w:val="26"/>
          <w:szCs w:val="26"/>
          <w:lang w:val="es-ES"/>
        </w:rPr>
        <w:t xml:space="preserve"> que</w:t>
      </w:r>
      <w:r w:rsidR="005C53AD" w:rsidRPr="003417DD">
        <w:rPr>
          <w:sz w:val="26"/>
          <w:szCs w:val="26"/>
          <w:lang w:val="es-ES"/>
        </w:rPr>
        <w:t xml:space="preserve"> la mala fe debía acr</w:t>
      </w:r>
      <w:r w:rsidR="00F7633C" w:rsidRPr="003417DD">
        <w:rPr>
          <w:sz w:val="26"/>
          <w:szCs w:val="26"/>
          <w:lang w:val="es-ES"/>
        </w:rPr>
        <w:t>e</w:t>
      </w:r>
      <w:r w:rsidR="005C53AD" w:rsidRPr="003417DD">
        <w:rPr>
          <w:sz w:val="26"/>
          <w:szCs w:val="26"/>
          <w:lang w:val="es-ES"/>
        </w:rPr>
        <w:t>ditarse</w:t>
      </w:r>
      <w:r w:rsidR="00F7633C" w:rsidRPr="003417DD">
        <w:rPr>
          <w:sz w:val="26"/>
          <w:szCs w:val="26"/>
          <w:lang w:val="es-ES"/>
        </w:rPr>
        <w:t xml:space="preserve"> y</w:t>
      </w:r>
      <w:r w:rsidR="00C57647">
        <w:rPr>
          <w:sz w:val="26"/>
          <w:szCs w:val="26"/>
          <w:lang w:val="es-ES"/>
        </w:rPr>
        <w:t>,</w:t>
      </w:r>
      <w:r w:rsidR="00F7633C" w:rsidRPr="003417DD">
        <w:rPr>
          <w:sz w:val="26"/>
          <w:szCs w:val="26"/>
          <w:lang w:val="es-ES"/>
        </w:rPr>
        <w:t xml:space="preserve"> por otro</w:t>
      </w:r>
      <w:r w:rsidR="00C57647">
        <w:rPr>
          <w:sz w:val="26"/>
          <w:szCs w:val="26"/>
          <w:lang w:val="es-ES"/>
        </w:rPr>
        <w:t>,</w:t>
      </w:r>
      <w:r w:rsidR="00F7633C" w:rsidRPr="003417DD">
        <w:rPr>
          <w:sz w:val="26"/>
          <w:szCs w:val="26"/>
          <w:lang w:val="es-ES"/>
        </w:rPr>
        <w:t xml:space="preserve"> había determinado que </w:t>
      </w:r>
      <w:r w:rsidR="008B5519" w:rsidRPr="003417DD">
        <w:rPr>
          <w:sz w:val="26"/>
          <w:szCs w:val="26"/>
          <w:lang w:val="es-ES"/>
        </w:rPr>
        <w:t xml:space="preserve">ella no </w:t>
      </w:r>
      <w:r w:rsidR="00BE484E">
        <w:rPr>
          <w:sz w:val="26"/>
          <w:szCs w:val="26"/>
          <w:lang w:val="es-ES"/>
        </w:rPr>
        <w:t>acreditó</w:t>
      </w:r>
      <w:r w:rsidR="008B5519" w:rsidRPr="003417DD">
        <w:rPr>
          <w:sz w:val="26"/>
          <w:szCs w:val="26"/>
          <w:lang w:val="es-ES"/>
        </w:rPr>
        <w:t xml:space="preserve"> plenamente su actuación de buena fe al contraer matrimonio. </w:t>
      </w:r>
    </w:p>
    <w:p w14:paraId="27EA3A76" w14:textId="77777777" w:rsidR="00013B39" w:rsidRPr="003417DD" w:rsidRDefault="00013B39" w:rsidP="004077CE">
      <w:pPr>
        <w:pStyle w:val="Prrafodelista"/>
        <w:spacing w:line="360" w:lineRule="auto"/>
        <w:rPr>
          <w:sz w:val="26"/>
          <w:szCs w:val="26"/>
          <w:lang w:val="es-ES"/>
        </w:rPr>
      </w:pPr>
    </w:p>
    <w:p w14:paraId="2F6959B8" w14:textId="312DE6AB" w:rsidR="006F7680" w:rsidRPr="003417DD" w:rsidRDefault="006C727E" w:rsidP="004077CE">
      <w:pPr>
        <w:pStyle w:val="corte4fondo"/>
        <w:numPr>
          <w:ilvl w:val="0"/>
          <w:numId w:val="2"/>
        </w:numPr>
        <w:ind w:left="0" w:hanging="567"/>
        <w:rPr>
          <w:sz w:val="26"/>
          <w:szCs w:val="26"/>
          <w:lang w:val="es-ES"/>
        </w:rPr>
      </w:pPr>
      <w:r w:rsidRPr="003417DD">
        <w:rPr>
          <w:sz w:val="26"/>
          <w:szCs w:val="26"/>
          <w:lang w:val="es-ES"/>
        </w:rPr>
        <w:t>Del asunto</w:t>
      </w:r>
      <w:r w:rsidR="00A00B0F" w:rsidRPr="003417DD">
        <w:rPr>
          <w:sz w:val="26"/>
          <w:szCs w:val="26"/>
          <w:lang w:val="es-ES"/>
        </w:rPr>
        <w:t xml:space="preserve"> </w:t>
      </w:r>
      <w:r w:rsidR="005E7896" w:rsidRPr="003417DD">
        <w:rPr>
          <w:sz w:val="26"/>
          <w:szCs w:val="26"/>
          <w:lang w:val="es-ES"/>
        </w:rPr>
        <w:t>conoció el Tercer Tribunal Colegiado en Materia Civil del Tercer Circuito</w:t>
      </w:r>
      <w:r w:rsidR="002D35AB" w:rsidRPr="003417DD">
        <w:rPr>
          <w:sz w:val="26"/>
          <w:szCs w:val="26"/>
          <w:lang w:val="es-ES"/>
        </w:rPr>
        <w:t xml:space="preserve">. </w:t>
      </w:r>
      <w:r w:rsidR="0022245A" w:rsidRPr="003417DD">
        <w:rPr>
          <w:sz w:val="26"/>
          <w:szCs w:val="26"/>
          <w:lang w:val="es-ES"/>
        </w:rPr>
        <w:t>E</w:t>
      </w:r>
      <w:r w:rsidR="005E7896" w:rsidRPr="003417DD">
        <w:rPr>
          <w:sz w:val="26"/>
          <w:szCs w:val="26"/>
          <w:lang w:val="es-ES"/>
        </w:rPr>
        <w:t xml:space="preserve">l </w:t>
      </w:r>
      <w:r w:rsidR="002D35AB" w:rsidRPr="003417DD">
        <w:rPr>
          <w:sz w:val="26"/>
          <w:szCs w:val="26"/>
          <w:lang w:val="es-ES"/>
        </w:rPr>
        <w:t>11 de noviembre de 2021</w:t>
      </w:r>
      <w:r w:rsidR="0022245A" w:rsidRPr="003417DD">
        <w:rPr>
          <w:sz w:val="26"/>
          <w:szCs w:val="26"/>
          <w:lang w:val="es-ES"/>
        </w:rPr>
        <w:t>,</w:t>
      </w:r>
      <w:r w:rsidR="002D35AB" w:rsidRPr="003417DD">
        <w:rPr>
          <w:sz w:val="26"/>
          <w:szCs w:val="26"/>
          <w:lang w:val="es-ES"/>
        </w:rPr>
        <w:t xml:space="preserve"> el </w:t>
      </w:r>
      <w:r w:rsidR="005E7896" w:rsidRPr="003417DD">
        <w:rPr>
          <w:sz w:val="26"/>
          <w:szCs w:val="26"/>
          <w:lang w:val="es-ES"/>
        </w:rPr>
        <w:t>tribunal colegiado dictó sentencia</w:t>
      </w:r>
      <w:r w:rsidR="00817EF9" w:rsidRPr="003417DD">
        <w:rPr>
          <w:sz w:val="26"/>
          <w:szCs w:val="26"/>
          <w:lang w:val="es-ES"/>
        </w:rPr>
        <w:t xml:space="preserve"> de amparo</w:t>
      </w:r>
      <w:r w:rsidR="00802FD3" w:rsidRPr="003417DD">
        <w:rPr>
          <w:sz w:val="26"/>
          <w:szCs w:val="26"/>
          <w:lang w:val="es-ES"/>
        </w:rPr>
        <w:t>, en la que</w:t>
      </w:r>
      <w:r w:rsidR="00817EF9" w:rsidRPr="003417DD">
        <w:rPr>
          <w:sz w:val="26"/>
          <w:szCs w:val="26"/>
          <w:lang w:val="es-ES"/>
        </w:rPr>
        <w:t xml:space="preserve"> consideró que los conceptos de violación resultaban fundados y suficientes </w:t>
      </w:r>
      <w:r w:rsidR="006445C8" w:rsidRPr="003417DD">
        <w:rPr>
          <w:sz w:val="26"/>
          <w:szCs w:val="26"/>
          <w:lang w:val="es-ES"/>
        </w:rPr>
        <w:t xml:space="preserve">para conceder </w:t>
      </w:r>
      <w:r w:rsidR="00ED09C5" w:rsidRPr="003417DD">
        <w:rPr>
          <w:sz w:val="26"/>
          <w:szCs w:val="26"/>
          <w:lang w:val="es-ES"/>
        </w:rPr>
        <w:t>la protección constitucional</w:t>
      </w:r>
      <w:r w:rsidR="00346F14">
        <w:rPr>
          <w:sz w:val="26"/>
          <w:szCs w:val="26"/>
          <w:lang w:val="es-ES"/>
        </w:rPr>
        <w:t>.</w:t>
      </w:r>
      <w:r w:rsidR="006445C8" w:rsidRPr="003417DD">
        <w:rPr>
          <w:sz w:val="26"/>
          <w:szCs w:val="26"/>
          <w:lang w:val="es-ES"/>
        </w:rPr>
        <w:t xml:space="preserve"> </w:t>
      </w:r>
    </w:p>
    <w:p w14:paraId="77A3A37C" w14:textId="77777777" w:rsidR="006F7680" w:rsidRPr="003417DD" w:rsidRDefault="006F7680" w:rsidP="004077CE">
      <w:pPr>
        <w:pStyle w:val="Prrafodelista"/>
        <w:spacing w:line="360" w:lineRule="auto"/>
        <w:rPr>
          <w:sz w:val="26"/>
          <w:szCs w:val="26"/>
          <w:lang w:val="es-ES"/>
        </w:rPr>
      </w:pPr>
    </w:p>
    <w:p w14:paraId="29904B16" w14:textId="40DD25A4" w:rsidR="00817EF9" w:rsidRPr="003417DD" w:rsidRDefault="00802FD3" w:rsidP="0022245A">
      <w:pPr>
        <w:pStyle w:val="corte4fondo"/>
        <w:numPr>
          <w:ilvl w:val="0"/>
          <w:numId w:val="2"/>
        </w:numPr>
        <w:ind w:left="0" w:hanging="567"/>
        <w:rPr>
          <w:sz w:val="26"/>
          <w:szCs w:val="26"/>
          <w:lang w:val="es-ES"/>
        </w:rPr>
      </w:pPr>
      <w:r w:rsidRPr="003417DD">
        <w:rPr>
          <w:sz w:val="26"/>
          <w:szCs w:val="26"/>
          <w:lang w:val="es-ES"/>
        </w:rPr>
        <w:t>Estableció</w:t>
      </w:r>
      <w:r w:rsidR="001A279B" w:rsidRPr="003417DD">
        <w:rPr>
          <w:sz w:val="26"/>
          <w:szCs w:val="26"/>
          <w:lang w:val="es-ES"/>
        </w:rPr>
        <w:t xml:space="preserve"> que la sentencia reclamada resultaba incongruente </w:t>
      </w:r>
      <w:r w:rsidR="001644B0" w:rsidRPr="003417DD">
        <w:rPr>
          <w:sz w:val="26"/>
          <w:szCs w:val="26"/>
          <w:lang w:val="es-ES"/>
        </w:rPr>
        <w:t>y vulneraba el principio previsto en el artículo 857 del C</w:t>
      </w:r>
      <w:r w:rsidR="00F41EA9" w:rsidRPr="003417DD">
        <w:rPr>
          <w:sz w:val="26"/>
          <w:szCs w:val="26"/>
          <w:lang w:val="es-ES"/>
        </w:rPr>
        <w:t>ó</w:t>
      </w:r>
      <w:r w:rsidR="001644B0" w:rsidRPr="003417DD">
        <w:rPr>
          <w:sz w:val="26"/>
          <w:szCs w:val="26"/>
          <w:lang w:val="es-ES"/>
        </w:rPr>
        <w:t>digo Civil del Estado</w:t>
      </w:r>
      <w:r w:rsidR="005C120C">
        <w:rPr>
          <w:sz w:val="26"/>
          <w:szCs w:val="26"/>
          <w:lang w:val="es-ES"/>
        </w:rPr>
        <w:t xml:space="preserve"> de Jalisco</w:t>
      </w:r>
      <w:r w:rsidR="00F41EA9" w:rsidRPr="003417DD">
        <w:rPr>
          <w:sz w:val="26"/>
          <w:szCs w:val="26"/>
          <w:lang w:val="es-ES"/>
        </w:rPr>
        <w:t>, que prevé que la buena fe se presume y la mala fe debe demostrarse</w:t>
      </w:r>
      <w:r w:rsidR="0018454F" w:rsidRPr="003417DD">
        <w:rPr>
          <w:sz w:val="26"/>
          <w:szCs w:val="26"/>
          <w:lang w:val="es-ES"/>
        </w:rPr>
        <w:t>, pues le atribuyó a la quej</w:t>
      </w:r>
      <w:r w:rsidRPr="003417DD">
        <w:rPr>
          <w:sz w:val="26"/>
          <w:szCs w:val="26"/>
          <w:lang w:val="es-ES"/>
        </w:rPr>
        <w:t>o</w:t>
      </w:r>
      <w:r w:rsidR="0018454F" w:rsidRPr="003417DD">
        <w:rPr>
          <w:sz w:val="26"/>
          <w:szCs w:val="26"/>
          <w:lang w:val="es-ES"/>
        </w:rPr>
        <w:t>sa la carga de demostrar que actuó de buena fe.</w:t>
      </w:r>
      <w:r w:rsidR="0059723F" w:rsidRPr="003417DD">
        <w:rPr>
          <w:sz w:val="26"/>
          <w:szCs w:val="26"/>
          <w:lang w:val="es-ES"/>
        </w:rPr>
        <w:t xml:space="preserve"> En relación con los </w:t>
      </w:r>
      <w:r w:rsidR="0059723F" w:rsidRPr="003417DD">
        <w:rPr>
          <w:sz w:val="26"/>
          <w:szCs w:val="26"/>
          <w:lang w:val="es-ES"/>
        </w:rPr>
        <w:lastRenderedPageBreak/>
        <w:t xml:space="preserve">alegatos formulados por el tercero interesado, el tribunal consideró que no había motivo para plasmar su estudio, pues de su contenido no se apreciaba incidencia que implicara un cambio en el criterio adoptado en la ejecutoria ni hacía valer alguna causa de improcedencia. </w:t>
      </w:r>
    </w:p>
    <w:p w14:paraId="1F9D62CF" w14:textId="77777777" w:rsidR="00817EF9" w:rsidRPr="003417DD" w:rsidRDefault="00817EF9" w:rsidP="00490D1F">
      <w:pPr>
        <w:pStyle w:val="Prrafodelista"/>
        <w:spacing w:line="360" w:lineRule="auto"/>
        <w:rPr>
          <w:sz w:val="26"/>
          <w:szCs w:val="26"/>
          <w:lang w:val="es-ES"/>
        </w:rPr>
      </w:pPr>
    </w:p>
    <w:p w14:paraId="645664FC" w14:textId="772B35AA" w:rsidR="00AC5406" w:rsidRPr="003417DD" w:rsidRDefault="00AE4DDF">
      <w:pPr>
        <w:pStyle w:val="corte4fondo"/>
        <w:numPr>
          <w:ilvl w:val="0"/>
          <w:numId w:val="2"/>
        </w:numPr>
        <w:ind w:left="0" w:hanging="567"/>
        <w:rPr>
          <w:sz w:val="26"/>
          <w:szCs w:val="26"/>
          <w:lang w:val="es-ES"/>
        </w:rPr>
      </w:pPr>
      <w:r w:rsidRPr="003417DD">
        <w:rPr>
          <w:sz w:val="26"/>
          <w:szCs w:val="26"/>
          <w:lang w:val="es-ES"/>
        </w:rPr>
        <w:t xml:space="preserve">Por lo anterior, </w:t>
      </w:r>
      <w:r w:rsidR="00F77E53" w:rsidRPr="003417DD">
        <w:rPr>
          <w:sz w:val="26"/>
          <w:szCs w:val="26"/>
          <w:lang w:val="es-ES"/>
        </w:rPr>
        <w:t xml:space="preserve">concedió el amparo </w:t>
      </w:r>
      <w:r w:rsidR="00AC5406" w:rsidRPr="003417DD">
        <w:rPr>
          <w:sz w:val="26"/>
          <w:szCs w:val="26"/>
          <w:lang w:val="es-ES"/>
        </w:rPr>
        <w:t xml:space="preserve">a la quejosa </w:t>
      </w:r>
      <w:r w:rsidR="00E70701" w:rsidRPr="003417DD">
        <w:rPr>
          <w:sz w:val="26"/>
          <w:szCs w:val="26"/>
          <w:lang w:val="es-ES"/>
        </w:rPr>
        <w:t>en el sentido siguiente</w:t>
      </w:r>
      <w:r w:rsidR="00EE6890" w:rsidRPr="003417DD">
        <w:rPr>
          <w:sz w:val="26"/>
          <w:szCs w:val="26"/>
          <w:lang w:val="es-ES"/>
        </w:rPr>
        <w:t>.</w:t>
      </w:r>
      <w:r w:rsidR="00AC5406" w:rsidRPr="003417DD">
        <w:rPr>
          <w:sz w:val="26"/>
          <w:szCs w:val="26"/>
          <w:lang w:val="es-ES"/>
        </w:rPr>
        <w:t xml:space="preserve"> </w:t>
      </w:r>
    </w:p>
    <w:p w14:paraId="4E5410DC" w14:textId="77777777" w:rsidR="00806995" w:rsidRPr="003417DD" w:rsidRDefault="00806995" w:rsidP="00806995">
      <w:pPr>
        <w:pStyle w:val="corte4fondo"/>
        <w:ind w:firstLine="0"/>
        <w:rPr>
          <w:sz w:val="26"/>
          <w:szCs w:val="26"/>
          <w:lang w:val="es-ES"/>
        </w:rPr>
      </w:pPr>
    </w:p>
    <w:p w14:paraId="1B4FF769" w14:textId="79E4C603" w:rsidR="00F14E59" w:rsidRPr="003417DD" w:rsidRDefault="00E70701" w:rsidP="006A6010">
      <w:pPr>
        <w:pStyle w:val="Prrafodelista"/>
        <w:jc w:val="both"/>
        <w:rPr>
          <w:rFonts w:ascii="Arial" w:hAnsi="Arial" w:cs="Arial"/>
          <w:sz w:val="24"/>
          <w:szCs w:val="24"/>
          <w:lang w:val="es-ES"/>
        </w:rPr>
      </w:pPr>
      <w:r w:rsidRPr="003417DD">
        <w:rPr>
          <w:rFonts w:ascii="Arial" w:hAnsi="Arial" w:cs="Arial"/>
          <w:sz w:val="24"/>
          <w:szCs w:val="24"/>
          <w:lang w:val="es-ES"/>
        </w:rPr>
        <w:t>1.- La Sala responsable deje insubsistente la sentencia reclamada. 2. En su lugar dicte otra en la que parta de la base de que la buena fe se presume y la mala tiene que demostrarse.</w:t>
      </w:r>
      <w:r w:rsidR="00145B6A" w:rsidRPr="003417DD">
        <w:rPr>
          <w:rFonts w:ascii="Arial" w:hAnsi="Arial" w:cs="Arial"/>
          <w:sz w:val="24"/>
          <w:szCs w:val="24"/>
          <w:lang w:val="es-ES"/>
        </w:rPr>
        <w:t xml:space="preserve"> 3. A partir de ahí analice si el demandado acreditó su versión defensiva en el sentido de que la actora tenía conocimiento del vínculo matrimonial anterior al momento de contraer las segundas nupcias. 4. Una vez dilucidado ese punto, examine los agravios de la parte recurrente y con plenitud de jurisdicción resuelva lo que se</w:t>
      </w:r>
      <w:r w:rsidR="00E331BE">
        <w:rPr>
          <w:rFonts w:ascii="Arial" w:hAnsi="Arial" w:cs="Arial"/>
          <w:sz w:val="24"/>
          <w:szCs w:val="24"/>
          <w:lang w:val="es-ES"/>
        </w:rPr>
        <w:t>a</w:t>
      </w:r>
      <w:r w:rsidR="00145B6A" w:rsidRPr="003417DD">
        <w:rPr>
          <w:rFonts w:ascii="Arial" w:hAnsi="Arial" w:cs="Arial"/>
          <w:sz w:val="24"/>
          <w:szCs w:val="24"/>
          <w:lang w:val="es-ES"/>
        </w:rPr>
        <w:t xml:space="preserve"> procedente en derecho.</w:t>
      </w:r>
    </w:p>
    <w:p w14:paraId="2B87E7E7" w14:textId="77777777" w:rsidR="004A777B" w:rsidRPr="003417DD" w:rsidRDefault="004A777B" w:rsidP="006F5A5F">
      <w:pPr>
        <w:pStyle w:val="corte4fondo"/>
        <w:ind w:firstLine="0"/>
        <w:rPr>
          <w:sz w:val="26"/>
          <w:szCs w:val="26"/>
          <w:lang w:val="es-ES"/>
        </w:rPr>
      </w:pPr>
    </w:p>
    <w:p w14:paraId="11B574AE" w14:textId="77777777" w:rsidR="00400B71" w:rsidRPr="003417DD" w:rsidRDefault="006A6010" w:rsidP="009B38CF">
      <w:pPr>
        <w:pStyle w:val="corte4fondo"/>
        <w:numPr>
          <w:ilvl w:val="0"/>
          <w:numId w:val="2"/>
        </w:numPr>
        <w:ind w:left="0" w:hanging="567"/>
        <w:rPr>
          <w:sz w:val="26"/>
          <w:szCs w:val="26"/>
          <w:lang w:val="es-ES"/>
        </w:rPr>
      </w:pPr>
      <w:r w:rsidRPr="003417DD">
        <w:rPr>
          <w:b/>
          <w:bCs/>
          <w:sz w:val="26"/>
          <w:szCs w:val="26"/>
          <w:lang w:val="es-ES"/>
        </w:rPr>
        <w:t>Sentencia de cumplimiento</w:t>
      </w:r>
      <w:r w:rsidRPr="003417DD">
        <w:rPr>
          <w:sz w:val="26"/>
          <w:szCs w:val="26"/>
          <w:lang w:val="es-ES"/>
        </w:rPr>
        <w:t>. En a</w:t>
      </w:r>
      <w:r w:rsidR="00BB5253" w:rsidRPr="003417DD">
        <w:rPr>
          <w:sz w:val="26"/>
          <w:szCs w:val="26"/>
          <w:lang w:val="es-ES"/>
        </w:rPr>
        <w:t xml:space="preserve">catamiento a la resolución del tribunal colegiado, la </w:t>
      </w:r>
      <w:r w:rsidR="009C422B" w:rsidRPr="003417DD">
        <w:rPr>
          <w:sz w:val="26"/>
          <w:szCs w:val="26"/>
          <w:lang w:val="es-ES"/>
        </w:rPr>
        <w:t xml:space="preserve">Octava Sala del </w:t>
      </w:r>
      <w:r w:rsidR="000F0237" w:rsidRPr="003417DD">
        <w:rPr>
          <w:sz w:val="26"/>
          <w:szCs w:val="26"/>
          <w:lang w:val="es-ES"/>
        </w:rPr>
        <w:t>Supremo Tribunal de Justicia del Estado de Jalisco dejó insubsistente la sentencia del 12 de julio de 2021 y</w:t>
      </w:r>
      <w:r w:rsidR="007F158E" w:rsidRPr="003417DD">
        <w:rPr>
          <w:sz w:val="26"/>
          <w:szCs w:val="26"/>
          <w:lang w:val="es-ES"/>
        </w:rPr>
        <w:t>,</w:t>
      </w:r>
      <w:r w:rsidR="000F0237" w:rsidRPr="003417DD">
        <w:rPr>
          <w:sz w:val="26"/>
          <w:szCs w:val="26"/>
          <w:lang w:val="es-ES"/>
        </w:rPr>
        <w:t xml:space="preserve"> en su lugar</w:t>
      </w:r>
      <w:r w:rsidR="007F158E" w:rsidRPr="003417DD">
        <w:rPr>
          <w:sz w:val="26"/>
          <w:szCs w:val="26"/>
          <w:lang w:val="es-ES"/>
        </w:rPr>
        <w:t>,</w:t>
      </w:r>
      <w:r w:rsidR="000F0237" w:rsidRPr="003417DD">
        <w:rPr>
          <w:sz w:val="26"/>
          <w:szCs w:val="26"/>
          <w:lang w:val="es-ES"/>
        </w:rPr>
        <w:t xml:space="preserve"> dictó </w:t>
      </w:r>
      <w:r w:rsidR="009B38CF" w:rsidRPr="003417DD">
        <w:rPr>
          <w:sz w:val="26"/>
          <w:szCs w:val="26"/>
          <w:lang w:val="es-ES"/>
        </w:rPr>
        <w:t xml:space="preserve">una nueva sentencia definitiva el 8 de diciembre del mismo año. En la nueva resolución, </w:t>
      </w:r>
      <w:r w:rsidR="00E425A1" w:rsidRPr="003417DD">
        <w:rPr>
          <w:sz w:val="26"/>
          <w:szCs w:val="26"/>
          <w:lang w:val="es-ES"/>
        </w:rPr>
        <w:t xml:space="preserve">tuvo por parcialmente fundados </w:t>
      </w:r>
      <w:r w:rsidR="0085273D" w:rsidRPr="003417DD">
        <w:rPr>
          <w:sz w:val="26"/>
          <w:szCs w:val="26"/>
          <w:lang w:val="es-ES"/>
        </w:rPr>
        <w:t>los agravios formulados por</w:t>
      </w:r>
      <w:r w:rsidR="002C0255" w:rsidRPr="003417DD">
        <w:rPr>
          <w:sz w:val="26"/>
          <w:szCs w:val="26"/>
          <w:lang w:val="es-ES"/>
        </w:rPr>
        <w:t xml:space="preserve"> la recurrente</w:t>
      </w:r>
      <w:r w:rsidR="00F06F4A" w:rsidRPr="003417DD">
        <w:rPr>
          <w:sz w:val="26"/>
          <w:szCs w:val="26"/>
          <w:lang w:val="es-ES"/>
        </w:rPr>
        <w:t xml:space="preserve"> al considerar que </w:t>
      </w:r>
      <w:r w:rsidR="009C11A5" w:rsidRPr="003417DD">
        <w:rPr>
          <w:sz w:val="26"/>
          <w:szCs w:val="26"/>
          <w:lang w:val="es-ES"/>
        </w:rPr>
        <w:t>el demandado no acreditó su excepción en el sentido de que la parte actora sabía de la existencia de su matrimonio previo</w:t>
      </w:r>
      <w:r w:rsidR="0085273D" w:rsidRPr="003417DD">
        <w:rPr>
          <w:sz w:val="26"/>
          <w:szCs w:val="26"/>
          <w:lang w:val="es-ES"/>
        </w:rPr>
        <w:t>.</w:t>
      </w:r>
      <w:r w:rsidR="00AF27D0" w:rsidRPr="003417DD">
        <w:rPr>
          <w:sz w:val="26"/>
          <w:szCs w:val="26"/>
          <w:lang w:val="es-ES"/>
        </w:rPr>
        <w:t xml:space="preserve"> </w:t>
      </w:r>
    </w:p>
    <w:p w14:paraId="25134439" w14:textId="77777777" w:rsidR="00400B71" w:rsidRPr="003417DD" w:rsidRDefault="00400B71" w:rsidP="00400B71">
      <w:pPr>
        <w:pStyle w:val="corte4fondo"/>
        <w:ind w:firstLine="0"/>
        <w:rPr>
          <w:sz w:val="26"/>
          <w:szCs w:val="26"/>
          <w:lang w:val="es-ES"/>
        </w:rPr>
      </w:pPr>
    </w:p>
    <w:p w14:paraId="3549E9E0" w14:textId="1208A2BB" w:rsidR="004073AF" w:rsidRPr="003417DD" w:rsidRDefault="00AF27D0" w:rsidP="00B702B3">
      <w:pPr>
        <w:pStyle w:val="corte4fondo"/>
        <w:numPr>
          <w:ilvl w:val="0"/>
          <w:numId w:val="2"/>
        </w:numPr>
        <w:ind w:left="0" w:hanging="567"/>
        <w:rPr>
          <w:sz w:val="26"/>
          <w:szCs w:val="26"/>
          <w:lang w:val="es-ES"/>
        </w:rPr>
      </w:pPr>
      <w:r w:rsidRPr="003417DD">
        <w:rPr>
          <w:sz w:val="26"/>
          <w:szCs w:val="26"/>
          <w:lang w:val="es-ES"/>
        </w:rPr>
        <w:t>En consecuencia, determinó que</w:t>
      </w:r>
      <w:r w:rsidR="003C3EC8" w:rsidRPr="003417DD">
        <w:rPr>
          <w:sz w:val="26"/>
          <w:szCs w:val="26"/>
          <w:lang w:val="es-ES"/>
        </w:rPr>
        <w:t>,</w:t>
      </w:r>
      <w:r w:rsidRPr="003417DD">
        <w:rPr>
          <w:sz w:val="26"/>
          <w:szCs w:val="26"/>
          <w:lang w:val="es-ES"/>
        </w:rPr>
        <w:t xml:space="preserve"> </w:t>
      </w:r>
      <w:r w:rsidR="00A13C81" w:rsidRPr="003417DD">
        <w:rPr>
          <w:sz w:val="26"/>
          <w:szCs w:val="26"/>
          <w:lang w:val="es-ES"/>
        </w:rPr>
        <w:t xml:space="preserve">dado </w:t>
      </w:r>
      <w:r w:rsidR="003C3EC8" w:rsidRPr="003417DD">
        <w:rPr>
          <w:sz w:val="26"/>
          <w:szCs w:val="26"/>
          <w:lang w:val="es-ES"/>
        </w:rPr>
        <w:t xml:space="preserve">que </w:t>
      </w:r>
      <w:r w:rsidR="00A13C81" w:rsidRPr="003417DD">
        <w:rPr>
          <w:sz w:val="26"/>
          <w:szCs w:val="26"/>
          <w:lang w:val="es-ES"/>
        </w:rPr>
        <w:t xml:space="preserve">se acreditó que </w:t>
      </w:r>
      <w:r w:rsidR="00A13C81" w:rsidRPr="003417DD">
        <w:rPr>
          <w:color w:val="FF0000"/>
          <w:sz w:val="26"/>
          <w:szCs w:val="26"/>
          <w:lang w:val="es-ES"/>
        </w:rPr>
        <w:t xml:space="preserve">SLA </w:t>
      </w:r>
      <w:r w:rsidR="00A13C81" w:rsidRPr="003417DD">
        <w:rPr>
          <w:sz w:val="26"/>
          <w:szCs w:val="26"/>
          <w:lang w:val="es-ES"/>
        </w:rPr>
        <w:t xml:space="preserve">obró de mala fe, </w:t>
      </w:r>
      <w:r w:rsidR="003C3EC8" w:rsidRPr="003417DD">
        <w:rPr>
          <w:sz w:val="26"/>
          <w:szCs w:val="26"/>
          <w:lang w:val="es-ES"/>
        </w:rPr>
        <w:t>lo procedente era</w:t>
      </w:r>
      <w:r w:rsidR="00720365" w:rsidRPr="003417DD">
        <w:rPr>
          <w:sz w:val="26"/>
          <w:szCs w:val="26"/>
          <w:lang w:val="es-ES"/>
        </w:rPr>
        <w:t xml:space="preserve"> modificar la resolución apelada para aplicar correctamente el artículo 336 del Código Civil del Estado de </w:t>
      </w:r>
      <w:r w:rsidR="00400B71" w:rsidRPr="003417DD">
        <w:rPr>
          <w:sz w:val="26"/>
          <w:szCs w:val="26"/>
          <w:lang w:val="es-ES"/>
        </w:rPr>
        <w:t xml:space="preserve">Jalisco. </w:t>
      </w:r>
      <w:r w:rsidR="003C3EC8" w:rsidRPr="003417DD">
        <w:rPr>
          <w:sz w:val="26"/>
          <w:szCs w:val="26"/>
          <w:lang w:val="es-ES"/>
        </w:rPr>
        <w:t xml:space="preserve">En este sentido, </w:t>
      </w:r>
      <w:r w:rsidR="00670B7A" w:rsidRPr="003417DD">
        <w:rPr>
          <w:sz w:val="26"/>
          <w:szCs w:val="26"/>
          <w:lang w:val="es-ES"/>
        </w:rPr>
        <w:t>declaró la pérdida del demandado de l</w:t>
      </w:r>
      <w:r w:rsidR="00CA4229">
        <w:rPr>
          <w:sz w:val="26"/>
          <w:szCs w:val="26"/>
          <w:lang w:val="es-ES"/>
        </w:rPr>
        <w:t>o</w:t>
      </w:r>
      <w:r w:rsidR="00670B7A" w:rsidRPr="003417DD">
        <w:rPr>
          <w:sz w:val="26"/>
          <w:szCs w:val="26"/>
          <w:lang w:val="es-ES"/>
        </w:rPr>
        <w:t>s gananciales adquirid</w:t>
      </w:r>
      <w:r w:rsidR="00B03530">
        <w:rPr>
          <w:sz w:val="26"/>
          <w:szCs w:val="26"/>
          <w:lang w:val="es-ES"/>
        </w:rPr>
        <w:t>a</w:t>
      </w:r>
      <w:r w:rsidR="00670B7A" w:rsidRPr="003417DD">
        <w:rPr>
          <w:sz w:val="26"/>
          <w:szCs w:val="26"/>
          <w:lang w:val="es-ES"/>
        </w:rPr>
        <w:t xml:space="preserve">s en la sociedad conyugal formada con la señora </w:t>
      </w:r>
      <w:r w:rsidR="00670B7A" w:rsidRPr="003417DD">
        <w:rPr>
          <w:color w:val="FF0000"/>
          <w:sz w:val="26"/>
          <w:szCs w:val="26"/>
          <w:lang w:val="es-ES"/>
        </w:rPr>
        <w:t>GI</w:t>
      </w:r>
      <w:r w:rsidR="00700D88" w:rsidRPr="003417DD">
        <w:rPr>
          <w:color w:val="FF0000"/>
          <w:sz w:val="26"/>
          <w:szCs w:val="26"/>
          <w:lang w:val="es-ES"/>
        </w:rPr>
        <w:t xml:space="preserve"> </w:t>
      </w:r>
      <w:r w:rsidR="00700D88" w:rsidRPr="003417DD">
        <w:rPr>
          <w:sz w:val="26"/>
          <w:szCs w:val="26"/>
          <w:lang w:val="es-ES"/>
        </w:rPr>
        <w:t xml:space="preserve">y </w:t>
      </w:r>
      <w:r w:rsidR="0075166E" w:rsidRPr="003417DD">
        <w:rPr>
          <w:sz w:val="26"/>
          <w:szCs w:val="26"/>
          <w:lang w:val="es-ES"/>
        </w:rPr>
        <w:t xml:space="preserve">lo </w:t>
      </w:r>
      <w:r w:rsidR="00700D88" w:rsidRPr="003417DD">
        <w:rPr>
          <w:sz w:val="26"/>
          <w:szCs w:val="26"/>
          <w:lang w:val="es-ES"/>
        </w:rPr>
        <w:t xml:space="preserve">condenó al pago de las costas judiciales correspondientes. </w:t>
      </w:r>
    </w:p>
    <w:p w14:paraId="2DDA7B4D" w14:textId="77777777" w:rsidR="00A779BA" w:rsidRPr="003417DD" w:rsidRDefault="00A779BA" w:rsidP="00A779BA">
      <w:pPr>
        <w:pStyle w:val="corte4fondo"/>
        <w:ind w:firstLine="0"/>
        <w:rPr>
          <w:sz w:val="26"/>
          <w:szCs w:val="26"/>
          <w:lang w:val="es-ES"/>
        </w:rPr>
      </w:pPr>
    </w:p>
    <w:p w14:paraId="5C47ADAA" w14:textId="3039BFF1" w:rsidR="00161114" w:rsidRPr="003417DD" w:rsidRDefault="00AF07CE" w:rsidP="00A31093">
      <w:pPr>
        <w:pStyle w:val="corte4fondo"/>
        <w:numPr>
          <w:ilvl w:val="0"/>
          <w:numId w:val="2"/>
        </w:numPr>
        <w:ind w:left="0" w:hanging="567"/>
        <w:rPr>
          <w:sz w:val="26"/>
          <w:szCs w:val="26"/>
          <w:lang w:val="es-ES"/>
        </w:rPr>
      </w:pPr>
      <w:r w:rsidRPr="003417DD">
        <w:rPr>
          <w:b/>
          <w:sz w:val="26"/>
          <w:szCs w:val="26"/>
          <w:lang w:val="es-ES"/>
        </w:rPr>
        <w:lastRenderedPageBreak/>
        <w:t xml:space="preserve">Demanda de amparo. </w:t>
      </w:r>
      <w:r w:rsidR="009F7585" w:rsidRPr="003417DD">
        <w:rPr>
          <w:bCs/>
          <w:sz w:val="26"/>
          <w:szCs w:val="26"/>
          <w:lang w:val="es-ES"/>
        </w:rPr>
        <w:t>Inconforme</w:t>
      </w:r>
      <w:r w:rsidR="005A1ECC" w:rsidRPr="003417DD">
        <w:rPr>
          <w:bCs/>
          <w:sz w:val="26"/>
          <w:szCs w:val="26"/>
          <w:lang w:val="es-ES"/>
        </w:rPr>
        <w:t>,</w:t>
      </w:r>
      <w:r w:rsidR="00EA4768" w:rsidRPr="003417DD">
        <w:rPr>
          <w:bCs/>
          <w:sz w:val="26"/>
          <w:szCs w:val="26"/>
          <w:lang w:val="es-ES"/>
        </w:rPr>
        <w:t xml:space="preserve"> el señor </w:t>
      </w:r>
      <w:r w:rsidR="00EA4768" w:rsidRPr="003417DD">
        <w:rPr>
          <w:bCs/>
          <w:color w:val="FF0000"/>
          <w:sz w:val="26"/>
          <w:szCs w:val="26"/>
          <w:lang w:val="es-ES"/>
        </w:rPr>
        <w:t xml:space="preserve">LA </w:t>
      </w:r>
      <w:r w:rsidR="00125698" w:rsidRPr="003417DD">
        <w:rPr>
          <w:bCs/>
          <w:sz w:val="26"/>
          <w:szCs w:val="26"/>
          <w:lang w:val="es-ES"/>
        </w:rPr>
        <w:t>s</w:t>
      </w:r>
      <w:r w:rsidR="00850E6F" w:rsidRPr="003417DD">
        <w:rPr>
          <w:bCs/>
          <w:sz w:val="26"/>
          <w:szCs w:val="26"/>
          <w:lang w:val="es-ES"/>
        </w:rPr>
        <w:t xml:space="preserve">olicitó el amparo y protección </w:t>
      </w:r>
      <w:r w:rsidR="00B62B5C" w:rsidRPr="003417DD">
        <w:rPr>
          <w:bCs/>
          <w:sz w:val="26"/>
          <w:szCs w:val="26"/>
          <w:lang w:val="es-ES"/>
        </w:rPr>
        <w:t>de la justi</w:t>
      </w:r>
      <w:r w:rsidR="009D28E8" w:rsidRPr="003417DD">
        <w:rPr>
          <w:bCs/>
          <w:sz w:val="26"/>
          <w:szCs w:val="26"/>
          <w:lang w:val="es-ES"/>
        </w:rPr>
        <w:t>ci</w:t>
      </w:r>
      <w:r w:rsidR="00B62B5C" w:rsidRPr="003417DD">
        <w:rPr>
          <w:bCs/>
          <w:sz w:val="26"/>
          <w:szCs w:val="26"/>
          <w:lang w:val="es-ES"/>
        </w:rPr>
        <w:t>a federal</w:t>
      </w:r>
      <w:r w:rsidR="009F0D12" w:rsidRPr="003417DD">
        <w:rPr>
          <w:bCs/>
          <w:sz w:val="26"/>
          <w:szCs w:val="26"/>
          <w:lang w:val="es-ES"/>
        </w:rPr>
        <w:t>. En su demanda</w:t>
      </w:r>
      <w:r w:rsidR="00145235" w:rsidRPr="003417DD">
        <w:rPr>
          <w:bCs/>
          <w:sz w:val="26"/>
          <w:szCs w:val="26"/>
          <w:lang w:val="es-ES"/>
        </w:rPr>
        <w:t>, el quejoso hizo valer</w:t>
      </w:r>
      <w:r w:rsidR="00161114" w:rsidRPr="003417DD">
        <w:rPr>
          <w:bCs/>
          <w:sz w:val="26"/>
          <w:szCs w:val="26"/>
          <w:lang w:val="es-ES"/>
        </w:rPr>
        <w:t>, en síntesis,</w:t>
      </w:r>
      <w:r w:rsidR="00145235" w:rsidRPr="003417DD">
        <w:rPr>
          <w:bCs/>
          <w:sz w:val="26"/>
          <w:szCs w:val="26"/>
          <w:lang w:val="es-ES"/>
        </w:rPr>
        <w:t xml:space="preserve"> los </w:t>
      </w:r>
      <w:r w:rsidR="0029247E" w:rsidRPr="003417DD">
        <w:rPr>
          <w:bCs/>
          <w:sz w:val="26"/>
          <w:szCs w:val="26"/>
          <w:lang w:val="es-ES"/>
        </w:rPr>
        <w:t>conceptos de violación</w:t>
      </w:r>
      <w:r w:rsidR="00161114" w:rsidRPr="003417DD">
        <w:rPr>
          <w:bCs/>
          <w:sz w:val="26"/>
          <w:szCs w:val="26"/>
          <w:lang w:val="es-ES"/>
        </w:rPr>
        <w:t xml:space="preserve"> siguientes.</w:t>
      </w:r>
    </w:p>
    <w:p w14:paraId="20ED49BA" w14:textId="44DE2E8C" w:rsidR="001B7626" w:rsidRPr="003417DD" w:rsidRDefault="001B7626" w:rsidP="00161114">
      <w:pPr>
        <w:pStyle w:val="corte4fondo"/>
        <w:ind w:firstLine="0"/>
        <w:rPr>
          <w:sz w:val="26"/>
          <w:szCs w:val="26"/>
          <w:lang w:val="es-ES"/>
        </w:rPr>
      </w:pPr>
    </w:p>
    <w:p w14:paraId="5034F7AB" w14:textId="6182073B" w:rsidR="00E44C31" w:rsidRPr="003417DD" w:rsidRDefault="00484F1C" w:rsidP="00EE7C57">
      <w:pPr>
        <w:pStyle w:val="corte4fondo"/>
        <w:numPr>
          <w:ilvl w:val="0"/>
          <w:numId w:val="36"/>
        </w:numPr>
        <w:tabs>
          <w:tab w:val="left" w:pos="567"/>
        </w:tabs>
        <w:spacing w:line="276" w:lineRule="auto"/>
        <w:ind w:left="851" w:hanging="284"/>
        <w:rPr>
          <w:sz w:val="26"/>
          <w:szCs w:val="26"/>
          <w:lang w:val="es-ES"/>
        </w:rPr>
      </w:pPr>
      <w:r w:rsidRPr="003417DD">
        <w:rPr>
          <w:b/>
          <w:bCs/>
          <w:sz w:val="26"/>
          <w:szCs w:val="26"/>
          <w:lang w:val="es-ES"/>
        </w:rPr>
        <w:t>Primer</w:t>
      </w:r>
      <w:r w:rsidR="005A1ECC" w:rsidRPr="003417DD">
        <w:rPr>
          <w:b/>
          <w:bCs/>
          <w:sz w:val="26"/>
          <w:szCs w:val="26"/>
          <w:lang w:val="es-ES"/>
        </w:rPr>
        <w:t>o.</w:t>
      </w:r>
      <w:r w:rsidR="005A1ECC" w:rsidRPr="003417DD">
        <w:rPr>
          <w:sz w:val="26"/>
          <w:szCs w:val="26"/>
          <w:lang w:val="es-ES"/>
        </w:rPr>
        <w:t xml:space="preserve"> </w:t>
      </w:r>
      <w:r w:rsidR="006F1F36" w:rsidRPr="008362B9">
        <w:rPr>
          <w:sz w:val="26"/>
          <w:szCs w:val="26"/>
        </w:rPr>
        <w:t>El quejoso señal</w:t>
      </w:r>
      <w:r w:rsidR="006F1F36">
        <w:rPr>
          <w:sz w:val="26"/>
          <w:szCs w:val="26"/>
        </w:rPr>
        <w:t>ó</w:t>
      </w:r>
      <w:r w:rsidR="006F1F36" w:rsidRPr="008362B9">
        <w:rPr>
          <w:sz w:val="26"/>
          <w:szCs w:val="26"/>
        </w:rPr>
        <w:t xml:space="preserve"> que en la sentencia de apelación no se acreditó su actuar de mala fe, conforme al principio que señala que la buena fe se presume, mientras la mala fe debe acreditarse. </w:t>
      </w:r>
      <w:r w:rsidR="006F1F36">
        <w:rPr>
          <w:sz w:val="26"/>
          <w:szCs w:val="26"/>
        </w:rPr>
        <w:t>A</w:t>
      </w:r>
      <w:r w:rsidR="006F1F36" w:rsidRPr="008362B9">
        <w:rPr>
          <w:sz w:val="26"/>
          <w:szCs w:val="26"/>
        </w:rPr>
        <w:t xml:space="preserve"> pesar de su confesión sobre la existencia del primer matrimonio no disuelto, </w:t>
      </w:r>
      <w:r w:rsidR="006F1F36">
        <w:rPr>
          <w:sz w:val="26"/>
          <w:szCs w:val="26"/>
        </w:rPr>
        <w:t xml:space="preserve">señala que </w:t>
      </w:r>
      <w:r w:rsidR="006F1F36" w:rsidRPr="00A2035F">
        <w:rPr>
          <w:color w:val="FF0000"/>
          <w:sz w:val="26"/>
          <w:szCs w:val="26"/>
        </w:rPr>
        <w:t xml:space="preserve">MGGI </w:t>
      </w:r>
      <w:r w:rsidR="006F1F36" w:rsidRPr="008362B9">
        <w:rPr>
          <w:sz w:val="26"/>
          <w:szCs w:val="26"/>
        </w:rPr>
        <w:t xml:space="preserve">tenía conocimiento de ese hecho. En este sentido, argumentó que no resulta razonable que después de cuarenta años de relación matrimonial su cónyuge argumente que se enteró del matrimonio subsistente </w:t>
      </w:r>
      <w:r w:rsidR="006F1F36">
        <w:rPr>
          <w:sz w:val="26"/>
          <w:szCs w:val="26"/>
        </w:rPr>
        <w:t>y de los hijos procreados en él</w:t>
      </w:r>
      <w:r w:rsidR="008A1643">
        <w:rPr>
          <w:sz w:val="26"/>
          <w:szCs w:val="26"/>
        </w:rPr>
        <w:t>,</w:t>
      </w:r>
      <w:r w:rsidR="006F1F36">
        <w:rPr>
          <w:sz w:val="26"/>
          <w:szCs w:val="26"/>
        </w:rPr>
        <w:t xml:space="preserve"> </w:t>
      </w:r>
      <w:r w:rsidR="006F1F36" w:rsidRPr="008362B9">
        <w:rPr>
          <w:sz w:val="26"/>
          <w:szCs w:val="26"/>
        </w:rPr>
        <w:t>solo hasta el momento en que solicitó la nulidad del matrimonio que los unía.</w:t>
      </w:r>
    </w:p>
    <w:p w14:paraId="16877D07" w14:textId="77777777" w:rsidR="0099271E" w:rsidRPr="003417DD" w:rsidRDefault="0099271E" w:rsidP="004552DA">
      <w:pPr>
        <w:spacing w:line="276" w:lineRule="auto"/>
        <w:rPr>
          <w:sz w:val="26"/>
          <w:szCs w:val="26"/>
          <w:lang w:val="es-ES"/>
        </w:rPr>
      </w:pPr>
    </w:p>
    <w:p w14:paraId="3D091761" w14:textId="39205652" w:rsidR="006F1F36" w:rsidRDefault="00DA101D" w:rsidP="00713E21">
      <w:pPr>
        <w:pStyle w:val="corte4fondo"/>
        <w:numPr>
          <w:ilvl w:val="0"/>
          <w:numId w:val="36"/>
        </w:numPr>
        <w:tabs>
          <w:tab w:val="left" w:pos="567"/>
        </w:tabs>
        <w:spacing w:line="276" w:lineRule="auto"/>
        <w:ind w:left="851" w:hanging="284"/>
        <w:rPr>
          <w:sz w:val="26"/>
          <w:szCs w:val="26"/>
          <w:lang w:val="es-MX"/>
        </w:rPr>
      </w:pPr>
      <w:r w:rsidRPr="003417DD">
        <w:rPr>
          <w:b/>
          <w:bCs/>
          <w:sz w:val="26"/>
          <w:szCs w:val="26"/>
          <w:lang w:val="es-ES"/>
        </w:rPr>
        <w:t>Segundo</w:t>
      </w:r>
      <w:r w:rsidR="00832EDF" w:rsidRPr="003417DD">
        <w:rPr>
          <w:b/>
          <w:bCs/>
          <w:sz w:val="26"/>
          <w:szCs w:val="26"/>
          <w:lang w:val="es-ES"/>
        </w:rPr>
        <w:t>.</w:t>
      </w:r>
      <w:r w:rsidR="00C47E95" w:rsidRPr="003417DD">
        <w:rPr>
          <w:sz w:val="26"/>
          <w:szCs w:val="26"/>
          <w:lang w:val="es-ES"/>
        </w:rPr>
        <w:t xml:space="preserve"> </w:t>
      </w:r>
      <w:r w:rsidR="006F1F36" w:rsidRPr="001D5C06">
        <w:rPr>
          <w:color w:val="FF0000"/>
          <w:sz w:val="26"/>
          <w:szCs w:val="26"/>
          <w:lang w:val="es-MX"/>
        </w:rPr>
        <w:t xml:space="preserve">SLA </w:t>
      </w:r>
      <w:r w:rsidR="006F1F36" w:rsidRPr="00400E34">
        <w:rPr>
          <w:sz w:val="26"/>
          <w:szCs w:val="26"/>
          <w:lang w:val="es-MX"/>
        </w:rPr>
        <w:t>argument</w:t>
      </w:r>
      <w:r w:rsidR="006F1F36">
        <w:rPr>
          <w:sz w:val="26"/>
          <w:szCs w:val="26"/>
          <w:lang w:val="es-MX"/>
        </w:rPr>
        <w:t>ó</w:t>
      </w:r>
      <w:r w:rsidR="006F1F36" w:rsidRPr="00400E34">
        <w:rPr>
          <w:sz w:val="26"/>
          <w:szCs w:val="26"/>
          <w:lang w:val="es-MX"/>
        </w:rPr>
        <w:t xml:space="preserve"> que el artículo 336 del Código Civil del Estado de Jalisco resulta inconstitucional, injusto e inequitativo, al despojar de tod</w:t>
      </w:r>
      <w:r w:rsidR="00114CBA">
        <w:rPr>
          <w:sz w:val="26"/>
          <w:szCs w:val="26"/>
          <w:lang w:val="es-MX"/>
        </w:rPr>
        <w:t>o</w:t>
      </w:r>
      <w:r w:rsidR="006F1F36" w:rsidRPr="00400E34">
        <w:rPr>
          <w:sz w:val="26"/>
          <w:szCs w:val="26"/>
          <w:lang w:val="es-MX"/>
        </w:rPr>
        <w:t>s l</w:t>
      </w:r>
      <w:r w:rsidR="0049247F">
        <w:rPr>
          <w:sz w:val="26"/>
          <w:szCs w:val="26"/>
          <w:lang w:val="es-MX"/>
        </w:rPr>
        <w:t>o</w:t>
      </w:r>
      <w:r w:rsidR="006F1F36" w:rsidRPr="00400E34">
        <w:rPr>
          <w:sz w:val="26"/>
          <w:szCs w:val="26"/>
          <w:lang w:val="es-MX"/>
        </w:rPr>
        <w:t>s gananciales a uno de los consortes, sin acreditarse la mala fe de su actuación. El quejoso argumenta que una norma ordinaria, como el artículo reclamado</w:t>
      </w:r>
      <w:r w:rsidR="006F1F36">
        <w:rPr>
          <w:sz w:val="26"/>
          <w:szCs w:val="26"/>
          <w:lang w:val="es-MX"/>
        </w:rPr>
        <w:t>,</w:t>
      </w:r>
      <w:r w:rsidR="006F1F36" w:rsidRPr="00400E34">
        <w:rPr>
          <w:sz w:val="26"/>
          <w:szCs w:val="26"/>
          <w:lang w:val="es-MX"/>
        </w:rPr>
        <w:t xml:space="preserve"> no puede restringir ni suspender derechos como la propiedad, a la protección familiar y a la igualdad de derechos y equivalencia de responsabilidades en el matrimonio. </w:t>
      </w:r>
    </w:p>
    <w:p w14:paraId="20D2C1FA" w14:textId="77777777" w:rsidR="006F1F36" w:rsidRPr="00400E34" w:rsidRDefault="006F1F36" w:rsidP="00713E21">
      <w:pPr>
        <w:pStyle w:val="corte4fondo"/>
        <w:tabs>
          <w:tab w:val="left" w:pos="567"/>
        </w:tabs>
        <w:spacing w:line="276" w:lineRule="auto"/>
        <w:ind w:left="851" w:hanging="284"/>
        <w:rPr>
          <w:sz w:val="26"/>
          <w:szCs w:val="26"/>
          <w:lang w:val="es-MX"/>
        </w:rPr>
      </w:pPr>
    </w:p>
    <w:p w14:paraId="72DDAB7F" w14:textId="0205FF8E" w:rsidR="006F1F36" w:rsidRDefault="006F1F36" w:rsidP="00713E21">
      <w:pPr>
        <w:pStyle w:val="corte4fondo"/>
        <w:numPr>
          <w:ilvl w:val="0"/>
          <w:numId w:val="36"/>
        </w:numPr>
        <w:tabs>
          <w:tab w:val="left" w:pos="567"/>
        </w:tabs>
        <w:spacing w:line="276" w:lineRule="auto"/>
        <w:ind w:left="851" w:hanging="284"/>
        <w:rPr>
          <w:sz w:val="26"/>
          <w:szCs w:val="26"/>
          <w:lang w:val="es-ES"/>
        </w:rPr>
      </w:pPr>
      <w:r w:rsidRPr="00400E34">
        <w:rPr>
          <w:sz w:val="26"/>
          <w:szCs w:val="26"/>
          <w:lang w:val="es-MX"/>
        </w:rPr>
        <w:t>Asimismo, el quejoso señal</w:t>
      </w:r>
      <w:r>
        <w:rPr>
          <w:sz w:val="26"/>
          <w:szCs w:val="26"/>
          <w:lang w:val="es-MX"/>
        </w:rPr>
        <w:t>ó</w:t>
      </w:r>
      <w:r w:rsidRPr="00400E34">
        <w:rPr>
          <w:sz w:val="26"/>
          <w:szCs w:val="26"/>
          <w:lang w:val="es-MX"/>
        </w:rPr>
        <w:t xml:space="preserve"> que la disposición implica privarlo de todo el producto del trabajo que desempeñó a lo largo de su vida, pues estuvo más de cuarenta años casado con la parte actora, por el mero hecho de no haber disuelto un matrimonio que en la realidad no subsiste. Argumenta que todos los bienes adquiridos en el segundo matrimonio no están relacionados con la primera relación no disuelta, dado que fueron incorporados al patrimonio familiar varios años después de haber contraído matrimonio con la parte actora, por lo que la medida resulta violatoria de los artículo</w:t>
      </w:r>
      <w:r w:rsidR="00412BB0">
        <w:rPr>
          <w:sz w:val="26"/>
          <w:szCs w:val="26"/>
          <w:lang w:val="es-MX"/>
        </w:rPr>
        <w:t>s</w:t>
      </w:r>
      <w:r w:rsidRPr="00400E34">
        <w:rPr>
          <w:sz w:val="26"/>
          <w:szCs w:val="26"/>
          <w:lang w:val="es-MX"/>
        </w:rPr>
        <w:t xml:space="preserve"> 14</w:t>
      </w:r>
      <w:r>
        <w:rPr>
          <w:sz w:val="26"/>
          <w:szCs w:val="26"/>
          <w:lang w:val="es-MX"/>
        </w:rPr>
        <w:t>, 16</w:t>
      </w:r>
      <w:r w:rsidRPr="00400E34">
        <w:rPr>
          <w:sz w:val="26"/>
          <w:szCs w:val="26"/>
          <w:lang w:val="es-MX"/>
        </w:rPr>
        <w:t xml:space="preserve"> y 1</w:t>
      </w:r>
      <w:r>
        <w:rPr>
          <w:sz w:val="26"/>
          <w:szCs w:val="26"/>
          <w:lang w:val="es-MX"/>
        </w:rPr>
        <w:t>7</w:t>
      </w:r>
      <w:r w:rsidRPr="00400E34">
        <w:rPr>
          <w:sz w:val="26"/>
          <w:szCs w:val="26"/>
          <w:lang w:val="es-MX"/>
        </w:rPr>
        <w:t xml:space="preserve"> constitucionales, al tratarse de una medida privativa no fundada y motivada.</w:t>
      </w:r>
    </w:p>
    <w:p w14:paraId="72D10DEA" w14:textId="77777777" w:rsidR="008A3B4B" w:rsidRPr="003417DD" w:rsidRDefault="008A3B4B" w:rsidP="00713E21">
      <w:pPr>
        <w:pStyle w:val="corte4fondo"/>
        <w:tabs>
          <w:tab w:val="left" w:pos="567"/>
        </w:tabs>
        <w:spacing w:line="276" w:lineRule="auto"/>
        <w:ind w:left="851" w:hanging="284"/>
        <w:rPr>
          <w:sz w:val="26"/>
          <w:szCs w:val="26"/>
          <w:lang w:val="es-ES"/>
        </w:rPr>
      </w:pPr>
    </w:p>
    <w:p w14:paraId="0591375C" w14:textId="51FACF44" w:rsidR="00004B56" w:rsidRPr="003417DD" w:rsidRDefault="00EB338B" w:rsidP="00713E21">
      <w:pPr>
        <w:pStyle w:val="corte4fondo"/>
        <w:numPr>
          <w:ilvl w:val="0"/>
          <w:numId w:val="36"/>
        </w:numPr>
        <w:tabs>
          <w:tab w:val="left" w:pos="567"/>
        </w:tabs>
        <w:spacing w:line="276" w:lineRule="auto"/>
        <w:ind w:left="851" w:hanging="284"/>
        <w:rPr>
          <w:sz w:val="26"/>
          <w:szCs w:val="26"/>
          <w:lang w:val="es-ES"/>
        </w:rPr>
      </w:pPr>
      <w:r w:rsidRPr="003417DD">
        <w:rPr>
          <w:sz w:val="26"/>
          <w:szCs w:val="26"/>
          <w:lang w:val="es-ES"/>
        </w:rPr>
        <w:t xml:space="preserve">En apoyo a sus argumentos, citó las </w:t>
      </w:r>
      <w:r w:rsidR="00A91416" w:rsidRPr="003417DD">
        <w:rPr>
          <w:sz w:val="26"/>
          <w:szCs w:val="26"/>
          <w:lang w:val="es-ES"/>
        </w:rPr>
        <w:t xml:space="preserve">tesis de rubro: </w:t>
      </w:r>
      <w:r w:rsidR="00F351DB" w:rsidRPr="003417DD">
        <w:rPr>
          <w:sz w:val="26"/>
          <w:szCs w:val="26"/>
          <w:lang w:val="es-ES"/>
        </w:rPr>
        <w:t xml:space="preserve">“LIQUIDACIÓN DE LA SOCIEDAD CONYUGAL DEL SEGUNDO MATRIMONIO DECLARADO NULO. EL INMUEBLE QUE CONSTITUYÓ SU MORADA, PERTENECE AL FONDO SOCIAL DE AQUÉLLA, AUN CUANDO SE ACREDITE QUE </w:t>
      </w:r>
      <w:r w:rsidR="00F351DB" w:rsidRPr="003417DD">
        <w:rPr>
          <w:sz w:val="26"/>
          <w:szCs w:val="26"/>
          <w:lang w:val="es-ES"/>
        </w:rPr>
        <w:lastRenderedPageBreak/>
        <w:t>FUE ADQUIRIDO POR EL CONSORTE QUE OBR</w:t>
      </w:r>
      <w:r w:rsidR="005C37FC">
        <w:rPr>
          <w:sz w:val="26"/>
          <w:szCs w:val="26"/>
          <w:lang w:val="es-ES"/>
        </w:rPr>
        <w:t>Ó</w:t>
      </w:r>
      <w:r w:rsidR="00F351DB" w:rsidRPr="003417DD">
        <w:rPr>
          <w:sz w:val="26"/>
          <w:szCs w:val="26"/>
          <w:lang w:val="es-ES"/>
        </w:rPr>
        <w:t xml:space="preserve"> DE MALA FE AL CONTRAER DOBLES NUPCIAS, DURANTE LA VIGENCIA DE AMBOS MATRIMONIOS CELEBRADOS BAJO EL MISMO RÉGIMEN.”</w:t>
      </w:r>
      <w:r w:rsidR="00F351DB" w:rsidRPr="003417DD">
        <w:rPr>
          <w:rStyle w:val="Refdenotaalpie"/>
          <w:sz w:val="26"/>
          <w:szCs w:val="26"/>
          <w:lang w:val="es-ES"/>
        </w:rPr>
        <w:footnoteReference w:id="7"/>
      </w:r>
      <w:r w:rsidR="00A63AFA" w:rsidRPr="003417DD">
        <w:rPr>
          <w:sz w:val="26"/>
          <w:szCs w:val="26"/>
          <w:lang w:val="es-ES"/>
        </w:rPr>
        <w:t xml:space="preserve"> y </w:t>
      </w:r>
      <w:r w:rsidR="00F20DEB" w:rsidRPr="003417DD">
        <w:rPr>
          <w:sz w:val="26"/>
          <w:szCs w:val="26"/>
          <w:lang w:val="es-ES"/>
        </w:rPr>
        <w:t>“SOCIEDAD LEGAL. LOS BIENES ADQUIRIDOS DURANTE LA VIGENCIA DE UN MATRIMONIO QUE ES DECLARADO NULO POR COEXISTIR CON UNO PRIMARIO, PERTENECEN EN COPROPIEDAD A LA SEGUNDA CÓNYUGE, CON INDEPENDENCIA DE LA DECLARACIÓN DE NULIDAD (LEGISLACIÓN DEL ESTADO DE JALISCO).”</w:t>
      </w:r>
      <w:r w:rsidR="00F20DEB" w:rsidRPr="003417DD">
        <w:rPr>
          <w:rStyle w:val="Refdenotaalpie"/>
          <w:sz w:val="26"/>
          <w:szCs w:val="26"/>
          <w:lang w:val="es-ES"/>
        </w:rPr>
        <w:footnoteReference w:id="8"/>
      </w:r>
    </w:p>
    <w:p w14:paraId="2F71CD96" w14:textId="77777777" w:rsidR="00004B56" w:rsidRPr="003417DD" w:rsidRDefault="00004B56" w:rsidP="00713E21">
      <w:pPr>
        <w:pStyle w:val="corte4fondo"/>
        <w:tabs>
          <w:tab w:val="left" w:pos="567"/>
        </w:tabs>
        <w:spacing w:line="276" w:lineRule="auto"/>
        <w:ind w:left="851" w:hanging="284"/>
        <w:rPr>
          <w:sz w:val="26"/>
          <w:szCs w:val="26"/>
          <w:lang w:val="es-ES"/>
        </w:rPr>
      </w:pPr>
    </w:p>
    <w:p w14:paraId="3EC91F27" w14:textId="4740B2A1" w:rsidR="00663579" w:rsidRPr="003417DD" w:rsidRDefault="00580DDB" w:rsidP="00713E21">
      <w:pPr>
        <w:pStyle w:val="corte4fondo"/>
        <w:numPr>
          <w:ilvl w:val="0"/>
          <w:numId w:val="36"/>
        </w:numPr>
        <w:tabs>
          <w:tab w:val="left" w:pos="567"/>
        </w:tabs>
        <w:spacing w:line="276" w:lineRule="auto"/>
        <w:ind w:left="851" w:hanging="284"/>
        <w:rPr>
          <w:sz w:val="26"/>
          <w:szCs w:val="26"/>
          <w:lang w:val="es-ES"/>
        </w:rPr>
      </w:pPr>
      <w:r w:rsidRPr="003417DD">
        <w:rPr>
          <w:b/>
          <w:bCs/>
          <w:sz w:val="26"/>
          <w:szCs w:val="26"/>
          <w:lang w:val="es-ES"/>
        </w:rPr>
        <w:t>Tercer</w:t>
      </w:r>
      <w:r w:rsidR="000825FD" w:rsidRPr="003417DD">
        <w:rPr>
          <w:b/>
          <w:bCs/>
          <w:sz w:val="26"/>
          <w:szCs w:val="26"/>
          <w:lang w:val="es-ES"/>
        </w:rPr>
        <w:t>o.</w:t>
      </w:r>
      <w:r w:rsidR="000825FD" w:rsidRPr="003417DD">
        <w:rPr>
          <w:sz w:val="26"/>
          <w:szCs w:val="26"/>
          <w:lang w:val="es-ES"/>
        </w:rPr>
        <w:t xml:space="preserve"> </w:t>
      </w:r>
      <w:r w:rsidR="00E34232" w:rsidRPr="003417DD">
        <w:rPr>
          <w:sz w:val="26"/>
          <w:szCs w:val="26"/>
          <w:lang w:val="es-ES"/>
        </w:rPr>
        <w:t>Señaló</w:t>
      </w:r>
      <w:r w:rsidR="009048B1" w:rsidRPr="003417DD">
        <w:rPr>
          <w:sz w:val="26"/>
          <w:szCs w:val="26"/>
          <w:lang w:val="es-ES"/>
        </w:rPr>
        <w:t xml:space="preserve"> que la </w:t>
      </w:r>
      <w:r w:rsidR="00106C92">
        <w:rPr>
          <w:sz w:val="26"/>
          <w:szCs w:val="26"/>
          <w:lang w:val="es-ES"/>
        </w:rPr>
        <w:t>s</w:t>
      </w:r>
      <w:r w:rsidR="009048B1" w:rsidRPr="003417DD">
        <w:rPr>
          <w:sz w:val="26"/>
          <w:szCs w:val="26"/>
          <w:lang w:val="es-ES"/>
        </w:rPr>
        <w:t>ala responsable desestimó en su caso la necesidad de juzgar con perspectiva de género que había sido usada por el juez de primera instancia</w:t>
      </w:r>
      <w:r w:rsidR="0087357A" w:rsidRPr="003417DD">
        <w:rPr>
          <w:sz w:val="26"/>
          <w:szCs w:val="26"/>
          <w:lang w:val="es-ES"/>
        </w:rPr>
        <w:t>, dado que el juzgador no explicó los motivos para el uso de tal herramienta</w:t>
      </w:r>
      <w:r w:rsidR="009048B1" w:rsidRPr="003417DD">
        <w:rPr>
          <w:sz w:val="26"/>
          <w:szCs w:val="26"/>
          <w:lang w:val="es-ES"/>
        </w:rPr>
        <w:t xml:space="preserve">. </w:t>
      </w:r>
      <w:r w:rsidR="0087357A" w:rsidRPr="003417DD">
        <w:rPr>
          <w:sz w:val="26"/>
          <w:szCs w:val="26"/>
          <w:lang w:val="es-ES"/>
        </w:rPr>
        <w:t xml:space="preserve">Esta resolución -argumentó- es errónea porque </w:t>
      </w:r>
      <w:r w:rsidR="00AC27D3" w:rsidRPr="003417DD">
        <w:rPr>
          <w:sz w:val="26"/>
          <w:szCs w:val="26"/>
          <w:lang w:val="es-ES"/>
        </w:rPr>
        <w:t xml:space="preserve">efectivamente en el caso existía </w:t>
      </w:r>
      <w:r w:rsidR="005D51A6" w:rsidRPr="003417DD">
        <w:rPr>
          <w:sz w:val="26"/>
          <w:szCs w:val="26"/>
          <w:lang w:val="es-ES"/>
        </w:rPr>
        <w:t>una diferencia de trato irrazonable e injustificable en su contra</w:t>
      </w:r>
      <w:r w:rsidR="00663579" w:rsidRPr="003417DD">
        <w:rPr>
          <w:sz w:val="26"/>
          <w:szCs w:val="26"/>
          <w:lang w:val="es-ES"/>
        </w:rPr>
        <w:t>.</w:t>
      </w:r>
    </w:p>
    <w:p w14:paraId="09E54301" w14:textId="77777777" w:rsidR="000F638A" w:rsidRPr="003417DD" w:rsidRDefault="000F638A" w:rsidP="00713E21">
      <w:pPr>
        <w:pStyle w:val="corte4fondo"/>
        <w:tabs>
          <w:tab w:val="left" w:pos="567"/>
        </w:tabs>
        <w:spacing w:line="276" w:lineRule="auto"/>
        <w:ind w:left="851" w:hanging="284"/>
        <w:rPr>
          <w:sz w:val="26"/>
          <w:szCs w:val="26"/>
          <w:lang w:val="es-ES"/>
        </w:rPr>
      </w:pPr>
    </w:p>
    <w:p w14:paraId="4B532529" w14:textId="2D69DC95" w:rsidR="006F1F36" w:rsidRDefault="006F1F36" w:rsidP="00713E21">
      <w:pPr>
        <w:pStyle w:val="corte4fondo"/>
        <w:numPr>
          <w:ilvl w:val="0"/>
          <w:numId w:val="36"/>
        </w:numPr>
        <w:tabs>
          <w:tab w:val="left" w:pos="567"/>
        </w:tabs>
        <w:spacing w:line="276" w:lineRule="auto"/>
        <w:ind w:left="851" w:hanging="284"/>
        <w:rPr>
          <w:sz w:val="26"/>
          <w:szCs w:val="26"/>
          <w:lang w:val="es-MX"/>
        </w:rPr>
      </w:pPr>
      <w:r w:rsidRPr="00F01B11">
        <w:rPr>
          <w:sz w:val="26"/>
          <w:szCs w:val="26"/>
          <w:lang w:val="es-MX"/>
        </w:rPr>
        <w:t>El quejoso argument</w:t>
      </w:r>
      <w:r>
        <w:rPr>
          <w:sz w:val="26"/>
          <w:szCs w:val="26"/>
          <w:lang w:val="es-MX"/>
        </w:rPr>
        <w:t>ó</w:t>
      </w:r>
      <w:r w:rsidRPr="00F01B11">
        <w:rPr>
          <w:sz w:val="26"/>
          <w:szCs w:val="26"/>
          <w:lang w:val="es-MX"/>
        </w:rPr>
        <w:t xml:space="preserve"> que la referencia realizada por la juzgadora de primera instancia a la perspectiva de género tenía el propósito de visibilizar la necesidad de juzgar en un plano de igualdad a las partes, dada la injusticia en la repartición y liquidación de bienes derivada del artículo 336 reclamado. En este sentido, la perspectiva de género permite corregir los tratamientos derivados de los estereotipos, que generan una diferencia de trato irrazonable que vulnera los derechos de una de las partes. </w:t>
      </w:r>
      <w:r>
        <w:rPr>
          <w:sz w:val="26"/>
          <w:szCs w:val="26"/>
          <w:lang w:val="es-MX"/>
        </w:rPr>
        <w:t>De modo que</w:t>
      </w:r>
      <w:r w:rsidRPr="00F01B11">
        <w:rPr>
          <w:sz w:val="26"/>
          <w:szCs w:val="26"/>
          <w:lang w:val="es-MX"/>
        </w:rPr>
        <w:t xml:space="preserve"> la idea de premiar a la cónyuge de buena fe resulta de una visión estereotípica, que genera discriminación indirecta por razón de género, lo que fomenta y perpetúa la desigualdad económica entre cónyuges.</w:t>
      </w:r>
    </w:p>
    <w:p w14:paraId="416FEF7F" w14:textId="2CBDB559" w:rsidR="00004B56" w:rsidRPr="006F1F36" w:rsidRDefault="00004B56" w:rsidP="00CB5027">
      <w:pPr>
        <w:pStyle w:val="corte4fondo"/>
        <w:tabs>
          <w:tab w:val="left" w:pos="567"/>
        </w:tabs>
        <w:ind w:firstLine="0"/>
        <w:rPr>
          <w:sz w:val="26"/>
          <w:szCs w:val="26"/>
          <w:lang w:val="es-MX"/>
        </w:rPr>
      </w:pPr>
    </w:p>
    <w:p w14:paraId="630770D5" w14:textId="0954205B" w:rsidR="003020BF" w:rsidRPr="003417DD" w:rsidRDefault="00470AD9" w:rsidP="00EE7202">
      <w:pPr>
        <w:pStyle w:val="corte4fondo"/>
        <w:numPr>
          <w:ilvl w:val="0"/>
          <w:numId w:val="2"/>
        </w:numPr>
        <w:ind w:left="0" w:hanging="567"/>
        <w:rPr>
          <w:sz w:val="26"/>
          <w:szCs w:val="26"/>
          <w:lang w:val="es-ES"/>
        </w:rPr>
      </w:pPr>
      <w:r w:rsidRPr="003417DD">
        <w:rPr>
          <w:b/>
          <w:sz w:val="26"/>
          <w:szCs w:val="26"/>
          <w:lang w:val="es-ES"/>
        </w:rPr>
        <w:t>Segundo juicio de amparo (77/202</w:t>
      </w:r>
      <w:r w:rsidR="008C3E0D" w:rsidRPr="003417DD">
        <w:rPr>
          <w:b/>
          <w:sz w:val="26"/>
          <w:szCs w:val="26"/>
          <w:lang w:val="es-ES"/>
        </w:rPr>
        <w:t>2)</w:t>
      </w:r>
      <w:r w:rsidRPr="003417DD">
        <w:rPr>
          <w:bCs/>
          <w:sz w:val="26"/>
          <w:szCs w:val="26"/>
          <w:lang w:val="es-ES"/>
        </w:rPr>
        <w:t xml:space="preserve">. </w:t>
      </w:r>
      <w:r w:rsidR="008C3E0D" w:rsidRPr="003417DD">
        <w:rPr>
          <w:bCs/>
          <w:sz w:val="26"/>
          <w:szCs w:val="26"/>
          <w:lang w:val="es-ES"/>
        </w:rPr>
        <w:t xml:space="preserve">De </w:t>
      </w:r>
      <w:r w:rsidR="00AB7F13" w:rsidRPr="003417DD">
        <w:rPr>
          <w:bCs/>
          <w:sz w:val="26"/>
          <w:szCs w:val="26"/>
          <w:lang w:val="es-ES"/>
        </w:rPr>
        <w:t>la demanda conoció el mismo</w:t>
      </w:r>
      <w:r w:rsidR="00B85879" w:rsidRPr="003417DD">
        <w:rPr>
          <w:bCs/>
          <w:sz w:val="26"/>
          <w:szCs w:val="26"/>
          <w:lang w:val="es-ES"/>
        </w:rPr>
        <w:t xml:space="preserve"> Tercer Tribunal Colegiado en Materia Civil del Tercer Circuito</w:t>
      </w:r>
      <w:r w:rsidR="00B55903" w:rsidRPr="003417DD">
        <w:rPr>
          <w:bCs/>
          <w:sz w:val="26"/>
          <w:szCs w:val="26"/>
          <w:lang w:val="es-ES"/>
        </w:rPr>
        <w:t>. E</w:t>
      </w:r>
      <w:r w:rsidR="008201DE" w:rsidRPr="003417DD">
        <w:rPr>
          <w:bCs/>
          <w:sz w:val="26"/>
          <w:szCs w:val="26"/>
          <w:lang w:val="es-ES"/>
        </w:rPr>
        <w:t xml:space="preserve">l tribunal colegiado dictó </w:t>
      </w:r>
      <w:r w:rsidR="00C67A3C" w:rsidRPr="003417DD">
        <w:rPr>
          <w:bCs/>
          <w:sz w:val="26"/>
          <w:szCs w:val="26"/>
          <w:lang w:val="es-ES"/>
        </w:rPr>
        <w:t xml:space="preserve">sentencia </w:t>
      </w:r>
      <w:r w:rsidR="008201DE" w:rsidRPr="003417DD">
        <w:rPr>
          <w:bCs/>
          <w:sz w:val="26"/>
          <w:szCs w:val="26"/>
          <w:lang w:val="es-ES"/>
        </w:rPr>
        <w:t xml:space="preserve">el 7 de julio de 2022, </w:t>
      </w:r>
      <w:r w:rsidR="00DF4D38" w:rsidRPr="003417DD">
        <w:rPr>
          <w:bCs/>
          <w:sz w:val="26"/>
          <w:szCs w:val="26"/>
          <w:lang w:val="es-ES"/>
        </w:rPr>
        <w:t xml:space="preserve">en la que </w:t>
      </w:r>
      <w:r w:rsidR="00470CC2" w:rsidRPr="003417DD">
        <w:rPr>
          <w:bCs/>
          <w:sz w:val="26"/>
          <w:szCs w:val="26"/>
          <w:lang w:val="es-ES"/>
        </w:rPr>
        <w:t xml:space="preserve">otorgó el amparo y protección </w:t>
      </w:r>
      <w:r w:rsidR="009E7A4D" w:rsidRPr="003417DD">
        <w:rPr>
          <w:bCs/>
          <w:sz w:val="26"/>
          <w:szCs w:val="26"/>
          <w:lang w:val="es-ES"/>
        </w:rPr>
        <w:t xml:space="preserve">a </w:t>
      </w:r>
      <w:r w:rsidR="009E7A4D" w:rsidRPr="003417DD">
        <w:rPr>
          <w:bCs/>
          <w:color w:val="FF0000"/>
          <w:sz w:val="26"/>
          <w:szCs w:val="26"/>
          <w:lang w:val="es-ES"/>
        </w:rPr>
        <w:t>S</w:t>
      </w:r>
      <w:r w:rsidR="002E7A6C">
        <w:rPr>
          <w:bCs/>
          <w:color w:val="FF0000"/>
          <w:sz w:val="26"/>
          <w:szCs w:val="26"/>
          <w:lang w:val="es-ES"/>
        </w:rPr>
        <w:t>L</w:t>
      </w:r>
      <w:r w:rsidR="009E7A4D" w:rsidRPr="003417DD">
        <w:rPr>
          <w:bCs/>
          <w:color w:val="FF0000"/>
          <w:sz w:val="26"/>
          <w:szCs w:val="26"/>
          <w:lang w:val="es-ES"/>
        </w:rPr>
        <w:t xml:space="preserve">A </w:t>
      </w:r>
      <w:r w:rsidR="00645EC0" w:rsidRPr="003417DD">
        <w:rPr>
          <w:bCs/>
          <w:sz w:val="26"/>
          <w:szCs w:val="26"/>
          <w:lang w:val="es-ES"/>
        </w:rPr>
        <w:t>en</w:t>
      </w:r>
      <w:r w:rsidR="00DF4D38" w:rsidRPr="003417DD">
        <w:rPr>
          <w:bCs/>
          <w:sz w:val="26"/>
          <w:szCs w:val="26"/>
          <w:lang w:val="es-ES"/>
        </w:rPr>
        <w:t xml:space="preserve"> los siguiente</w:t>
      </w:r>
      <w:r w:rsidR="003020BF" w:rsidRPr="003417DD">
        <w:rPr>
          <w:bCs/>
          <w:sz w:val="26"/>
          <w:szCs w:val="26"/>
          <w:lang w:val="es-ES"/>
        </w:rPr>
        <w:t>s</w:t>
      </w:r>
      <w:r w:rsidR="009E7A4D" w:rsidRPr="003417DD">
        <w:rPr>
          <w:bCs/>
          <w:sz w:val="26"/>
          <w:szCs w:val="26"/>
          <w:lang w:val="es-ES"/>
        </w:rPr>
        <w:t xml:space="preserve"> términos</w:t>
      </w:r>
      <w:r w:rsidR="003020BF" w:rsidRPr="003417DD">
        <w:rPr>
          <w:bCs/>
          <w:sz w:val="26"/>
          <w:szCs w:val="26"/>
          <w:lang w:val="es-ES"/>
        </w:rPr>
        <w:t>:</w:t>
      </w:r>
    </w:p>
    <w:p w14:paraId="52D01BBE" w14:textId="77777777" w:rsidR="003020BF" w:rsidRPr="003417DD" w:rsidRDefault="003020BF" w:rsidP="004552DA">
      <w:pPr>
        <w:pStyle w:val="corte4fondo"/>
        <w:spacing w:line="276" w:lineRule="auto"/>
        <w:rPr>
          <w:bCs/>
          <w:sz w:val="26"/>
          <w:szCs w:val="26"/>
          <w:lang w:val="es-ES"/>
        </w:rPr>
      </w:pPr>
    </w:p>
    <w:p w14:paraId="47AAFBB4" w14:textId="062D891E" w:rsidR="006F1F36" w:rsidRPr="000B5A7C" w:rsidRDefault="006F1F36" w:rsidP="004552DA">
      <w:pPr>
        <w:pStyle w:val="corte4fondo"/>
        <w:numPr>
          <w:ilvl w:val="0"/>
          <w:numId w:val="19"/>
        </w:numPr>
        <w:spacing w:line="276" w:lineRule="auto"/>
        <w:ind w:left="851" w:hanging="284"/>
        <w:rPr>
          <w:bCs/>
          <w:sz w:val="26"/>
          <w:szCs w:val="26"/>
        </w:rPr>
      </w:pPr>
      <w:r w:rsidRPr="000B5A7C">
        <w:rPr>
          <w:bCs/>
          <w:sz w:val="26"/>
          <w:szCs w:val="26"/>
        </w:rPr>
        <w:t xml:space="preserve">La tercera interesada sostuvo como causas de sobreseimiento que el quejoso consintió la sentencia reclamada porque no apeló inicialmente la resolución en la que le fue aplicado el artículo 336 del Código Civil del Estado de Jalisco y señaló que estaba incorporando cuestiones novedosas que no fueron materia de la litis en su demanda de amparo, tales como la relativa a la aplicación de la perspectiva de género en el caso. Sobre estos argumentos el tribunal colegiado </w:t>
      </w:r>
      <w:r w:rsidR="00792E4A">
        <w:rPr>
          <w:bCs/>
          <w:sz w:val="26"/>
          <w:szCs w:val="26"/>
        </w:rPr>
        <w:t xml:space="preserve">los </w:t>
      </w:r>
      <w:r w:rsidRPr="000B5A7C">
        <w:rPr>
          <w:bCs/>
          <w:sz w:val="26"/>
          <w:szCs w:val="26"/>
        </w:rPr>
        <w:t xml:space="preserve">desestimó, al considerar que técnicamente no era posible analizarlos como causas de sobreseimiento, sino que se trataba de argumentos que debían estudiarse en el fondo de la resolución. Asimismo, señaló que el análisis sobre la constitucionalidad del fallo reclamado en función de los conceptos de violación se vincula directamente con el fondo del asunto y que no puede considerarse que la sentencia impugnada fue consentida porque en su contra se promovió el presente juicio de amparo. </w:t>
      </w:r>
    </w:p>
    <w:p w14:paraId="55CC51D5" w14:textId="77777777" w:rsidR="00C82FD6" w:rsidRPr="006F1F36" w:rsidRDefault="00C82FD6" w:rsidP="004552DA">
      <w:pPr>
        <w:pStyle w:val="corte4fondo"/>
        <w:spacing w:line="276" w:lineRule="auto"/>
        <w:ind w:left="851" w:firstLine="0"/>
        <w:rPr>
          <w:bCs/>
          <w:sz w:val="26"/>
          <w:szCs w:val="26"/>
        </w:rPr>
      </w:pPr>
    </w:p>
    <w:p w14:paraId="2350C4C9" w14:textId="4546F369" w:rsidR="006F1F36" w:rsidRDefault="006F1F36" w:rsidP="004552DA">
      <w:pPr>
        <w:pStyle w:val="corte4fondo"/>
        <w:numPr>
          <w:ilvl w:val="0"/>
          <w:numId w:val="19"/>
        </w:numPr>
        <w:spacing w:line="276" w:lineRule="auto"/>
        <w:ind w:left="851" w:hanging="284"/>
        <w:rPr>
          <w:bCs/>
          <w:sz w:val="26"/>
          <w:szCs w:val="26"/>
        </w:rPr>
      </w:pPr>
      <w:r w:rsidRPr="0053161C">
        <w:rPr>
          <w:bCs/>
          <w:sz w:val="26"/>
          <w:szCs w:val="26"/>
        </w:rPr>
        <w:t xml:space="preserve">En relación con el argumento del quejoso acerca de que la mala fe de su actuación no estaba probada, el tribunal colegiado determinó </w:t>
      </w:r>
      <w:r w:rsidR="005F1A28">
        <w:rPr>
          <w:bCs/>
          <w:sz w:val="26"/>
          <w:szCs w:val="26"/>
        </w:rPr>
        <w:t xml:space="preserve">calificar como </w:t>
      </w:r>
      <w:r w:rsidRPr="0053161C">
        <w:rPr>
          <w:bCs/>
          <w:sz w:val="26"/>
          <w:szCs w:val="26"/>
        </w:rPr>
        <w:t xml:space="preserve">infundado el concepto de violación. Señaló que la parte actora ofreció elementos de prueba como la documental pública consistente en la copia certificada del acta de matrimonio celebrado entre el quejoso y su primera esposa, con fecha de registro </w:t>
      </w:r>
      <w:r w:rsidR="0035146B">
        <w:rPr>
          <w:bCs/>
          <w:sz w:val="26"/>
          <w:szCs w:val="26"/>
        </w:rPr>
        <w:t>de 13</w:t>
      </w:r>
      <w:r w:rsidRPr="0053161C">
        <w:rPr>
          <w:bCs/>
          <w:sz w:val="26"/>
          <w:szCs w:val="26"/>
        </w:rPr>
        <w:t xml:space="preserve"> de marzo de 1976, lo que revela que cuando contrajo matrimonio con la actora, el 31 de mayo de 1977, se encontraba casado previamente sin haber disuelto esa unión. </w:t>
      </w:r>
      <w:r w:rsidRPr="001F3F88">
        <w:rPr>
          <w:bCs/>
          <w:sz w:val="26"/>
          <w:szCs w:val="26"/>
        </w:rPr>
        <w:t>Asimismo, en la contestación a los hechos de la demanda, el quejoso reconoció tales hechos y señaló que por ignorancia no había disuelto el matrimonio previo.</w:t>
      </w:r>
    </w:p>
    <w:p w14:paraId="6451A973" w14:textId="77777777" w:rsidR="005B5F03" w:rsidRPr="006F1F36" w:rsidRDefault="005B5F03" w:rsidP="004552DA">
      <w:pPr>
        <w:pStyle w:val="corte4fondo"/>
        <w:spacing w:line="276" w:lineRule="auto"/>
        <w:ind w:left="851" w:firstLine="0"/>
        <w:rPr>
          <w:bCs/>
          <w:sz w:val="26"/>
          <w:szCs w:val="26"/>
        </w:rPr>
      </w:pPr>
    </w:p>
    <w:p w14:paraId="053D26C2" w14:textId="726BA109" w:rsidR="006F1F36" w:rsidRDefault="006F1F36" w:rsidP="003E7CF8">
      <w:pPr>
        <w:pStyle w:val="corte4fondo"/>
        <w:numPr>
          <w:ilvl w:val="0"/>
          <w:numId w:val="19"/>
        </w:numPr>
        <w:spacing w:line="276" w:lineRule="auto"/>
        <w:rPr>
          <w:bCs/>
          <w:sz w:val="26"/>
          <w:szCs w:val="26"/>
        </w:rPr>
      </w:pPr>
      <w:r w:rsidRPr="00082C89">
        <w:rPr>
          <w:bCs/>
          <w:sz w:val="26"/>
          <w:szCs w:val="26"/>
        </w:rPr>
        <w:t>Derivado de lo anterior, cuando la ilegitimidad deriva de la existencia de un vínculo matrimonial anterior, la demostración de la mala fe de quien contrajo matrimonio dos veces queda plenamente acreditada con la sola exhibición del acta de matrimonio respectiva, en la que no aparezca anotación alguna de que el primero de los matrimonios quedó insubsistente. La celebración de un segundo matrimonio sin disolver el primero es suficiente para evidenciar que el cónyuge tenía pleno conocimiento de la existencia de ambos vínculos y, con ello, su actuar de mala fe.</w:t>
      </w:r>
      <w:r>
        <w:rPr>
          <w:bCs/>
          <w:sz w:val="26"/>
          <w:szCs w:val="26"/>
        </w:rPr>
        <w:t xml:space="preserve"> Tal situación actualiza uno de los supuestos para el ejercicio de </w:t>
      </w:r>
      <w:r>
        <w:rPr>
          <w:bCs/>
          <w:sz w:val="26"/>
          <w:szCs w:val="26"/>
        </w:rPr>
        <w:lastRenderedPageBreak/>
        <w:t>la acción por ilegitimidad por ineficacia del matrimonio, regulada en el artículo 378 del Código Civil del Estado de Jalisco.</w:t>
      </w:r>
      <w:r>
        <w:rPr>
          <w:rStyle w:val="Refdenotaalpie"/>
          <w:bCs/>
          <w:sz w:val="26"/>
          <w:szCs w:val="26"/>
        </w:rPr>
        <w:footnoteReference w:id="9"/>
      </w:r>
      <w:r>
        <w:rPr>
          <w:bCs/>
          <w:sz w:val="26"/>
          <w:szCs w:val="26"/>
        </w:rPr>
        <w:t xml:space="preserve"> </w:t>
      </w:r>
    </w:p>
    <w:p w14:paraId="0B0C5D9A" w14:textId="77777777" w:rsidR="00957021" w:rsidRPr="006F1F36" w:rsidRDefault="00957021" w:rsidP="004552DA">
      <w:pPr>
        <w:pStyle w:val="corte4fondo"/>
        <w:spacing w:line="276" w:lineRule="auto"/>
        <w:ind w:left="851" w:firstLine="0"/>
        <w:rPr>
          <w:bCs/>
          <w:sz w:val="26"/>
          <w:szCs w:val="26"/>
        </w:rPr>
      </w:pPr>
    </w:p>
    <w:p w14:paraId="58BC43B9" w14:textId="5A94D4B1" w:rsidR="006F1F36" w:rsidRPr="001F3F88" w:rsidRDefault="006F1F36" w:rsidP="00C13E1E">
      <w:pPr>
        <w:pStyle w:val="corte4fondo"/>
        <w:numPr>
          <w:ilvl w:val="0"/>
          <w:numId w:val="19"/>
        </w:numPr>
        <w:spacing w:line="276" w:lineRule="auto"/>
        <w:rPr>
          <w:bCs/>
          <w:sz w:val="26"/>
          <w:szCs w:val="26"/>
        </w:rPr>
      </w:pPr>
      <w:r w:rsidRPr="008C1E66">
        <w:rPr>
          <w:bCs/>
          <w:sz w:val="26"/>
          <w:szCs w:val="26"/>
        </w:rPr>
        <w:t xml:space="preserve">En </w:t>
      </w:r>
      <w:r>
        <w:rPr>
          <w:bCs/>
          <w:sz w:val="26"/>
          <w:szCs w:val="26"/>
        </w:rPr>
        <w:t>cuanto a</w:t>
      </w:r>
      <w:r w:rsidRPr="008C1E66">
        <w:rPr>
          <w:bCs/>
          <w:sz w:val="26"/>
          <w:szCs w:val="26"/>
        </w:rPr>
        <w:t>l argumento del quejoso acerca de que la actora tenía conocimiento de la primera unión, señala que es infundado</w:t>
      </w:r>
      <w:r>
        <w:rPr>
          <w:bCs/>
          <w:sz w:val="26"/>
          <w:szCs w:val="26"/>
        </w:rPr>
        <w:t xml:space="preserve">. El tribunal estableció que </w:t>
      </w:r>
      <w:r w:rsidRPr="008C1E66">
        <w:rPr>
          <w:bCs/>
          <w:sz w:val="26"/>
          <w:szCs w:val="26"/>
        </w:rPr>
        <w:t xml:space="preserve">la sola afirmación sobre la mala fe de la actora es insuficiente para acreditar la mala fe que se le atribuye, ya que la carga demostrativa para justificar ese conocimiento recaía en </w:t>
      </w:r>
      <w:r>
        <w:rPr>
          <w:bCs/>
          <w:sz w:val="26"/>
          <w:szCs w:val="26"/>
        </w:rPr>
        <w:t>e</w:t>
      </w:r>
      <w:r w:rsidRPr="008C1E66">
        <w:rPr>
          <w:bCs/>
          <w:sz w:val="26"/>
          <w:szCs w:val="26"/>
        </w:rPr>
        <w:t>l</w:t>
      </w:r>
      <w:r>
        <w:rPr>
          <w:bCs/>
          <w:sz w:val="26"/>
          <w:szCs w:val="26"/>
        </w:rPr>
        <w:t xml:space="preserve"> quejoso</w:t>
      </w:r>
      <w:r w:rsidRPr="008C1E66">
        <w:rPr>
          <w:bCs/>
          <w:sz w:val="26"/>
          <w:szCs w:val="26"/>
        </w:rPr>
        <w:t>. En este sentido, ni la “lógica” ni el “mero transcurso del tiempo” constituyen pruebas para acreditar que su contraparte tenía conocimiento pleno de la existencia del matrimonio previo al momento de celebrar segundas nupcias, sino que dichas afirmaciones son simples suposiciones o conjeturas inferidas por el quejoso.</w:t>
      </w:r>
    </w:p>
    <w:p w14:paraId="12CC9A07" w14:textId="77777777" w:rsidR="00FA1EEC" w:rsidRPr="006F1F36" w:rsidRDefault="00FA1EEC" w:rsidP="004552DA">
      <w:pPr>
        <w:pStyle w:val="corte4fondo"/>
        <w:spacing w:line="276" w:lineRule="auto"/>
        <w:ind w:left="851" w:firstLine="0"/>
        <w:rPr>
          <w:bCs/>
          <w:sz w:val="26"/>
          <w:szCs w:val="26"/>
        </w:rPr>
      </w:pPr>
    </w:p>
    <w:p w14:paraId="0ADB19A2" w14:textId="77777777" w:rsidR="006F1F36" w:rsidRDefault="006F1F36" w:rsidP="004552DA">
      <w:pPr>
        <w:pStyle w:val="corte4fondo"/>
        <w:numPr>
          <w:ilvl w:val="0"/>
          <w:numId w:val="19"/>
        </w:numPr>
        <w:spacing w:line="276" w:lineRule="auto"/>
        <w:rPr>
          <w:bCs/>
          <w:sz w:val="26"/>
          <w:szCs w:val="26"/>
        </w:rPr>
      </w:pPr>
      <w:r w:rsidRPr="00C611A5">
        <w:rPr>
          <w:bCs/>
          <w:sz w:val="26"/>
          <w:szCs w:val="26"/>
        </w:rPr>
        <w:t xml:space="preserve">En relación con el segundo concepto de violación, en el que </w:t>
      </w:r>
      <w:r>
        <w:rPr>
          <w:bCs/>
          <w:sz w:val="26"/>
          <w:szCs w:val="26"/>
        </w:rPr>
        <w:t xml:space="preserve">el quejoso </w:t>
      </w:r>
      <w:r w:rsidRPr="00C611A5">
        <w:rPr>
          <w:bCs/>
          <w:sz w:val="26"/>
          <w:szCs w:val="26"/>
        </w:rPr>
        <w:t xml:space="preserve">alegó la inconstitucionalidad del artículo 336 del Código Civil del Estado de Jalisco al privarle de todos los gananciales conyugales adquiridos durante los cuarenta y tres años que duró el matrimonio, como consecuencia de su actuar de mala fe, determinó que el concepto era fundado. En primer lugar, señaló que el precepto establece una sanción para el cónyuge que atenta en contra de la institución del matrimonio, pues expresamente se prevé la pérdida de los gananciales conyugales cuando se obre con mala fe y ello provoque la ilegitimidad del matrimonio. </w:t>
      </w:r>
    </w:p>
    <w:p w14:paraId="36919A59" w14:textId="77777777" w:rsidR="006F1F36" w:rsidRDefault="006F1F36" w:rsidP="004552DA">
      <w:pPr>
        <w:pStyle w:val="corte4fondo"/>
        <w:spacing w:line="276" w:lineRule="auto"/>
        <w:ind w:left="927" w:firstLine="0"/>
        <w:rPr>
          <w:bCs/>
          <w:sz w:val="26"/>
          <w:szCs w:val="26"/>
          <w:lang w:val="es-ES"/>
        </w:rPr>
      </w:pPr>
    </w:p>
    <w:p w14:paraId="24D8331B" w14:textId="5B93EBBE" w:rsidR="006F1F36" w:rsidRDefault="006F1F36" w:rsidP="00126AEA">
      <w:pPr>
        <w:pStyle w:val="corte4fondo"/>
        <w:numPr>
          <w:ilvl w:val="0"/>
          <w:numId w:val="19"/>
        </w:numPr>
        <w:spacing w:line="276" w:lineRule="auto"/>
        <w:rPr>
          <w:bCs/>
          <w:sz w:val="26"/>
          <w:szCs w:val="26"/>
        </w:rPr>
      </w:pPr>
      <w:r w:rsidRPr="00C611A5">
        <w:rPr>
          <w:bCs/>
          <w:sz w:val="26"/>
          <w:szCs w:val="26"/>
        </w:rPr>
        <w:t xml:space="preserve">Para el estudio de la constitucionalidad de la norma, el tribunal desarrolló inicialmente algunas consideraciones sobre la naturaleza del matrimonio y la sociedad conyugal. </w:t>
      </w:r>
      <w:r>
        <w:rPr>
          <w:bCs/>
          <w:sz w:val="26"/>
          <w:szCs w:val="26"/>
        </w:rPr>
        <w:t xml:space="preserve">Señaló que </w:t>
      </w:r>
      <w:r w:rsidRPr="00E44D1B">
        <w:rPr>
          <w:bCs/>
          <w:sz w:val="26"/>
          <w:szCs w:val="26"/>
        </w:rPr>
        <w:t>el matrimonio es una institución de orden público, porque el interés que con él se tutela no es solo el particular o individual de quienes lo forman, sino un interés superior —el de la familia—, que constituye la célula primaria de la sociedad; por eso el matrimonio es también de orden y trascendencia social y no meramente del orden privado</w:t>
      </w:r>
      <w:r>
        <w:rPr>
          <w:bCs/>
          <w:sz w:val="26"/>
          <w:szCs w:val="26"/>
        </w:rPr>
        <w:t xml:space="preserve">. Agregó que, aunque </w:t>
      </w:r>
      <w:r w:rsidRPr="00EC623E">
        <w:rPr>
          <w:bCs/>
          <w:sz w:val="26"/>
          <w:szCs w:val="26"/>
        </w:rPr>
        <w:t>en la actualidad se</w:t>
      </w:r>
      <w:r>
        <w:rPr>
          <w:bCs/>
          <w:sz w:val="26"/>
          <w:szCs w:val="26"/>
        </w:rPr>
        <w:t xml:space="preserve"> </w:t>
      </w:r>
      <w:r w:rsidRPr="00EC623E">
        <w:rPr>
          <w:bCs/>
          <w:sz w:val="26"/>
          <w:szCs w:val="26"/>
        </w:rPr>
        <w:t xml:space="preserve">reconocen y protegen todos los tipos de familia y uniones posibles entre las personas </w:t>
      </w:r>
      <w:r w:rsidRPr="00EC623E">
        <w:rPr>
          <w:bCs/>
          <w:sz w:val="26"/>
          <w:szCs w:val="26"/>
        </w:rPr>
        <w:lastRenderedPageBreak/>
        <w:t>(que no necesariamente requieren de estar casadas para constituir un conglomerado familiar), el matrimonio continúa recibiendo un</w:t>
      </w:r>
      <w:r>
        <w:rPr>
          <w:bCs/>
          <w:sz w:val="26"/>
          <w:szCs w:val="26"/>
        </w:rPr>
        <w:t xml:space="preserve"> </w:t>
      </w:r>
      <w:r w:rsidRPr="001D73B8">
        <w:rPr>
          <w:bCs/>
          <w:sz w:val="26"/>
          <w:szCs w:val="26"/>
        </w:rPr>
        <w:t>tratamiento de protección especial, pues es una de las formas en las que se puede constituir una familia y brindarle a ésta un soporte y una estructura jurídicas sólidas</w:t>
      </w:r>
      <w:r>
        <w:rPr>
          <w:bCs/>
          <w:sz w:val="26"/>
          <w:szCs w:val="26"/>
        </w:rPr>
        <w:t>.</w:t>
      </w:r>
    </w:p>
    <w:p w14:paraId="2D614520" w14:textId="77777777" w:rsidR="00C57647" w:rsidRDefault="00C57647" w:rsidP="004552DA">
      <w:pPr>
        <w:pStyle w:val="corte4fondo"/>
        <w:spacing w:line="276" w:lineRule="auto"/>
        <w:ind w:left="927" w:firstLine="0"/>
        <w:rPr>
          <w:bCs/>
          <w:sz w:val="26"/>
          <w:szCs w:val="26"/>
        </w:rPr>
      </w:pPr>
    </w:p>
    <w:p w14:paraId="188A67F6" w14:textId="74987BC5" w:rsidR="006F1F36" w:rsidRDefault="006F1F36" w:rsidP="00126AEA">
      <w:pPr>
        <w:pStyle w:val="corte4fondo"/>
        <w:numPr>
          <w:ilvl w:val="0"/>
          <w:numId w:val="19"/>
        </w:numPr>
        <w:spacing w:line="276" w:lineRule="auto"/>
        <w:rPr>
          <w:bCs/>
          <w:sz w:val="26"/>
          <w:szCs w:val="26"/>
        </w:rPr>
      </w:pPr>
      <w:r>
        <w:rPr>
          <w:bCs/>
          <w:sz w:val="26"/>
          <w:szCs w:val="26"/>
        </w:rPr>
        <w:t xml:space="preserve">Como características de esta unión, el tribunal apuntó que la </w:t>
      </w:r>
      <w:r w:rsidRPr="00451812">
        <w:rPr>
          <w:bCs/>
          <w:sz w:val="26"/>
          <w:szCs w:val="26"/>
        </w:rPr>
        <w:t>vida en común de los cónyuges</w:t>
      </w:r>
      <w:r>
        <w:rPr>
          <w:bCs/>
          <w:sz w:val="26"/>
          <w:szCs w:val="26"/>
        </w:rPr>
        <w:t xml:space="preserve"> </w:t>
      </w:r>
      <w:r w:rsidRPr="00451812">
        <w:rPr>
          <w:bCs/>
          <w:sz w:val="26"/>
          <w:szCs w:val="26"/>
        </w:rPr>
        <w:t>genera para éstos la posibilidad de constituir y consolidar un patrimonio económico</w:t>
      </w:r>
      <w:r>
        <w:rPr>
          <w:bCs/>
          <w:sz w:val="26"/>
          <w:szCs w:val="26"/>
        </w:rPr>
        <w:t xml:space="preserve"> en conjunto, cuya administración y dominio corresponde a ambos. Asimismo, genera para ambos la obligación de contribuir económicamente al sustento del hogar.</w:t>
      </w:r>
    </w:p>
    <w:p w14:paraId="10C3042A" w14:textId="77777777" w:rsidR="006F1F36" w:rsidRDefault="006F1F36" w:rsidP="004552DA">
      <w:pPr>
        <w:pStyle w:val="corte4fondo"/>
        <w:spacing w:line="276" w:lineRule="auto"/>
        <w:ind w:left="851" w:firstLine="0"/>
        <w:rPr>
          <w:bCs/>
          <w:sz w:val="26"/>
          <w:szCs w:val="26"/>
        </w:rPr>
      </w:pPr>
    </w:p>
    <w:p w14:paraId="248370CA" w14:textId="14F6C797" w:rsidR="006F1F36" w:rsidRDefault="006F1F36" w:rsidP="00126AEA">
      <w:pPr>
        <w:pStyle w:val="corte4fondo"/>
        <w:numPr>
          <w:ilvl w:val="0"/>
          <w:numId w:val="19"/>
        </w:numPr>
        <w:spacing w:line="276" w:lineRule="auto"/>
        <w:rPr>
          <w:bCs/>
          <w:sz w:val="26"/>
          <w:szCs w:val="26"/>
        </w:rPr>
      </w:pPr>
      <w:r w:rsidRPr="009F11EC">
        <w:rPr>
          <w:bCs/>
          <w:sz w:val="26"/>
          <w:szCs w:val="26"/>
        </w:rPr>
        <w:t>De lo anterior</w:t>
      </w:r>
      <w:r w:rsidRPr="00363FE6">
        <w:rPr>
          <w:bCs/>
          <w:sz w:val="26"/>
          <w:szCs w:val="26"/>
        </w:rPr>
        <w:t xml:space="preserve"> </w:t>
      </w:r>
      <w:r>
        <w:rPr>
          <w:bCs/>
          <w:sz w:val="26"/>
          <w:szCs w:val="26"/>
        </w:rPr>
        <w:t>desprende</w:t>
      </w:r>
      <w:r w:rsidRPr="00363FE6">
        <w:rPr>
          <w:bCs/>
          <w:sz w:val="26"/>
          <w:szCs w:val="26"/>
        </w:rPr>
        <w:t xml:space="preserve"> que la institución de la familia</w:t>
      </w:r>
      <w:r>
        <w:rPr>
          <w:bCs/>
          <w:sz w:val="26"/>
          <w:szCs w:val="26"/>
        </w:rPr>
        <w:t xml:space="preserve"> </w:t>
      </w:r>
      <w:r w:rsidRPr="00363FE6">
        <w:rPr>
          <w:bCs/>
          <w:sz w:val="26"/>
          <w:szCs w:val="26"/>
        </w:rPr>
        <w:t>—y el matrimonio como su base — es una institución pública protegida como parte del orden y desarrollo de la sociedad</w:t>
      </w:r>
      <w:r>
        <w:rPr>
          <w:bCs/>
          <w:sz w:val="26"/>
          <w:szCs w:val="26"/>
        </w:rPr>
        <w:t xml:space="preserve">. Por ello, </w:t>
      </w:r>
      <w:r w:rsidRPr="00363FE6">
        <w:rPr>
          <w:bCs/>
          <w:sz w:val="26"/>
          <w:szCs w:val="26"/>
        </w:rPr>
        <w:t>el legislador estableció un sistema para garantizar su correcto desarrollo</w:t>
      </w:r>
      <w:r>
        <w:rPr>
          <w:bCs/>
          <w:sz w:val="26"/>
          <w:szCs w:val="26"/>
        </w:rPr>
        <w:t xml:space="preserve"> e </w:t>
      </w:r>
      <w:r w:rsidRPr="00363FE6">
        <w:rPr>
          <w:bCs/>
          <w:sz w:val="26"/>
          <w:szCs w:val="26"/>
        </w:rPr>
        <w:t>implementó un mecanismo sancionador para aquel cónyuge que violente dicha institución</w:t>
      </w:r>
      <w:r>
        <w:rPr>
          <w:bCs/>
          <w:sz w:val="26"/>
          <w:szCs w:val="26"/>
        </w:rPr>
        <w:t xml:space="preserve">, consistente en </w:t>
      </w:r>
      <w:r w:rsidRPr="00AE0408">
        <w:rPr>
          <w:bCs/>
          <w:sz w:val="26"/>
          <w:szCs w:val="26"/>
        </w:rPr>
        <w:t xml:space="preserve">la pérdida de todos los bienes que conforman el patrimonio conyugal común en favor del consorte que actuó de </w:t>
      </w:r>
      <w:r>
        <w:rPr>
          <w:bCs/>
          <w:sz w:val="26"/>
          <w:szCs w:val="26"/>
        </w:rPr>
        <w:t>buena</w:t>
      </w:r>
      <w:r w:rsidRPr="00AE0408">
        <w:rPr>
          <w:bCs/>
          <w:sz w:val="26"/>
          <w:szCs w:val="26"/>
        </w:rPr>
        <w:t xml:space="preserve"> fe</w:t>
      </w:r>
      <w:r>
        <w:rPr>
          <w:bCs/>
          <w:sz w:val="26"/>
          <w:szCs w:val="26"/>
        </w:rPr>
        <w:t>.</w:t>
      </w:r>
    </w:p>
    <w:p w14:paraId="618AAB54" w14:textId="77777777" w:rsidR="006F1F36" w:rsidRDefault="006F1F36" w:rsidP="004552DA">
      <w:pPr>
        <w:pStyle w:val="corte4fondo"/>
        <w:spacing w:line="276" w:lineRule="auto"/>
        <w:ind w:left="851" w:firstLine="0"/>
        <w:rPr>
          <w:bCs/>
          <w:sz w:val="26"/>
          <w:szCs w:val="26"/>
        </w:rPr>
      </w:pPr>
    </w:p>
    <w:p w14:paraId="1FDBAD54" w14:textId="4079D7CD" w:rsidR="006F1F36" w:rsidRDefault="006F1F36" w:rsidP="00126AEA">
      <w:pPr>
        <w:pStyle w:val="corte4fondo"/>
        <w:numPr>
          <w:ilvl w:val="0"/>
          <w:numId w:val="19"/>
        </w:numPr>
        <w:spacing w:line="276" w:lineRule="auto"/>
        <w:rPr>
          <w:bCs/>
          <w:sz w:val="26"/>
          <w:szCs w:val="26"/>
        </w:rPr>
      </w:pPr>
      <w:r>
        <w:rPr>
          <w:bCs/>
          <w:sz w:val="26"/>
          <w:szCs w:val="26"/>
        </w:rPr>
        <w:t xml:space="preserve">Sobre esta medida, el tribunal realizó un test de proporcionalidad conforme a la </w:t>
      </w:r>
      <w:r w:rsidRPr="00DC4F93">
        <w:rPr>
          <w:bCs/>
          <w:sz w:val="26"/>
          <w:szCs w:val="26"/>
        </w:rPr>
        <w:t>tesis 1a. CCLXIII/2016 (10a.)</w:t>
      </w:r>
      <w:r w:rsidRPr="00DC4F93">
        <w:rPr>
          <w:rStyle w:val="Refdenotaalpie"/>
          <w:bCs/>
          <w:sz w:val="26"/>
          <w:szCs w:val="26"/>
        </w:rPr>
        <w:footnoteReference w:id="10"/>
      </w:r>
      <w:r>
        <w:rPr>
          <w:bCs/>
          <w:sz w:val="26"/>
          <w:szCs w:val="26"/>
        </w:rPr>
        <w:t xml:space="preserve"> de esta Primera Sala. De dicho análisis concluyó que la norma </w:t>
      </w:r>
      <w:r w:rsidRPr="00273830">
        <w:rPr>
          <w:bCs/>
          <w:sz w:val="26"/>
          <w:szCs w:val="26"/>
        </w:rPr>
        <w:t>contiene una disposición restrictiva y privativa del derecho humano a la propiedad privada</w:t>
      </w:r>
      <w:r>
        <w:rPr>
          <w:bCs/>
          <w:sz w:val="26"/>
          <w:szCs w:val="26"/>
        </w:rPr>
        <w:t>, al establecer que</w:t>
      </w:r>
      <w:r w:rsidRPr="00C10AFB">
        <w:t xml:space="preserve"> </w:t>
      </w:r>
      <w:r w:rsidRPr="00C10AFB">
        <w:rPr>
          <w:bCs/>
          <w:sz w:val="26"/>
          <w:szCs w:val="26"/>
        </w:rPr>
        <w:t>el cónyuge que actuó de mala fe y generó la ilegitimidad del matrimonio pierd</w:t>
      </w:r>
      <w:r>
        <w:rPr>
          <w:bCs/>
          <w:sz w:val="26"/>
          <w:szCs w:val="26"/>
        </w:rPr>
        <w:t>e</w:t>
      </w:r>
      <w:r w:rsidRPr="00C10AFB">
        <w:rPr>
          <w:bCs/>
          <w:sz w:val="26"/>
          <w:szCs w:val="26"/>
        </w:rPr>
        <w:t xml:space="preserve"> el derecho de propiedad que le corresponde respecto de los bienes que conforman el caudal patrimonial común</w:t>
      </w:r>
      <w:r>
        <w:rPr>
          <w:bCs/>
          <w:sz w:val="26"/>
          <w:szCs w:val="26"/>
        </w:rPr>
        <w:t xml:space="preserve">. </w:t>
      </w:r>
    </w:p>
    <w:p w14:paraId="49953400" w14:textId="77777777" w:rsidR="006F1F36" w:rsidRDefault="006F1F36" w:rsidP="004552DA">
      <w:pPr>
        <w:pStyle w:val="corte4fondo"/>
        <w:spacing w:line="276" w:lineRule="auto"/>
        <w:ind w:left="851" w:firstLine="0"/>
        <w:rPr>
          <w:bCs/>
          <w:sz w:val="26"/>
          <w:szCs w:val="26"/>
        </w:rPr>
      </w:pPr>
    </w:p>
    <w:p w14:paraId="7BF8BE96" w14:textId="09EC1299" w:rsidR="006F1F36" w:rsidRDefault="006F1F36" w:rsidP="00126AEA">
      <w:pPr>
        <w:pStyle w:val="corte4fondo"/>
        <w:numPr>
          <w:ilvl w:val="0"/>
          <w:numId w:val="19"/>
        </w:numPr>
        <w:spacing w:line="276" w:lineRule="auto"/>
        <w:rPr>
          <w:bCs/>
          <w:sz w:val="26"/>
          <w:szCs w:val="26"/>
        </w:rPr>
      </w:pPr>
      <w:r>
        <w:rPr>
          <w:bCs/>
          <w:sz w:val="26"/>
          <w:szCs w:val="26"/>
        </w:rPr>
        <w:t>Que la norma persigue un fin constitucionalmente válido, dado que</w:t>
      </w:r>
      <w:r w:rsidRPr="00F95DAF">
        <w:rPr>
          <w:bCs/>
          <w:sz w:val="26"/>
          <w:szCs w:val="26"/>
        </w:rPr>
        <w:t xml:space="preserve"> </w:t>
      </w:r>
      <w:r>
        <w:rPr>
          <w:bCs/>
          <w:sz w:val="26"/>
          <w:szCs w:val="26"/>
        </w:rPr>
        <w:t>tutela</w:t>
      </w:r>
      <w:r w:rsidRPr="00F95DAF">
        <w:rPr>
          <w:bCs/>
          <w:sz w:val="26"/>
          <w:szCs w:val="26"/>
        </w:rPr>
        <w:t xml:space="preserve"> el derecho de la familia y la protección de la institución matrimonial en términos del artículo 4° </w:t>
      </w:r>
      <w:r w:rsidR="009072E2">
        <w:rPr>
          <w:bCs/>
          <w:sz w:val="26"/>
          <w:szCs w:val="26"/>
        </w:rPr>
        <w:t>c</w:t>
      </w:r>
      <w:r w:rsidRPr="00F95DAF">
        <w:rPr>
          <w:bCs/>
          <w:sz w:val="26"/>
          <w:szCs w:val="26"/>
        </w:rPr>
        <w:t>onstitucional</w:t>
      </w:r>
      <w:r>
        <w:rPr>
          <w:bCs/>
          <w:sz w:val="26"/>
          <w:szCs w:val="26"/>
        </w:rPr>
        <w:t xml:space="preserve">. El tribunal reiteró que, </w:t>
      </w:r>
      <w:r w:rsidRPr="005A301E">
        <w:rPr>
          <w:bCs/>
          <w:sz w:val="26"/>
          <w:szCs w:val="26"/>
        </w:rPr>
        <w:t>si bien la familia y el matrimonio no son</w:t>
      </w:r>
      <w:r>
        <w:rPr>
          <w:bCs/>
          <w:sz w:val="26"/>
          <w:szCs w:val="26"/>
        </w:rPr>
        <w:t xml:space="preserve"> </w:t>
      </w:r>
      <w:r w:rsidRPr="005A301E">
        <w:rPr>
          <w:bCs/>
          <w:sz w:val="26"/>
          <w:szCs w:val="26"/>
        </w:rPr>
        <w:t xml:space="preserve">equivalentes, el matrimonio es una de las formas que existen para constituir y dar estructura y soporte legal a una </w:t>
      </w:r>
      <w:r w:rsidRPr="005A301E">
        <w:rPr>
          <w:bCs/>
          <w:sz w:val="26"/>
          <w:szCs w:val="26"/>
        </w:rPr>
        <w:lastRenderedPageBreak/>
        <w:t>familia</w:t>
      </w:r>
      <w:r>
        <w:rPr>
          <w:bCs/>
          <w:sz w:val="26"/>
          <w:szCs w:val="26"/>
        </w:rPr>
        <w:t>. En este tenor,</w:t>
      </w:r>
      <w:r w:rsidRPr="005A301E">
        <w:rPr>
          <w:bCs/>
          <w:sz w:val="26"/>
          <w:szCs w:val="26"/>
        </w:rPr>
        <w:t xml:space="preserve"> el derecho de protección a la familia implica favorecer ampliamente el desarrollo y la fortaleza de su núcleo</w:t>
      </w:r>
      <w:r>
        <w:rPr>
          <w:bCs/>
          <w:sz w:val="26"/>
          <w:szCs w:val="26"/>
        </w:rPr>
        <w:t>.</w:t>
      </w:r>
    </w:p>
    <w:p w14:paraId="10B4717D" w14:textId="77777777" w:rsidR="006F1F36" w:rsidRDefault="006F1F36" w:rsidP="004552DA">
      <w:pPr>
        <w:pStyle w:val="corte4fondo"/>
        <w:spacing w:line="276" w:lineRule="auto"/>
        <w:ind w:left="851" w:firstLine="0"/>
        <w:rPr>
          <w:bCs/>
          <w:sz w:val="26"/>
          <w:szCs w:val="26"/>
        </w:rPr>
      </w:pPr>
    </w:p>
    <w:p w14:paraId="75727896" w14:textId="6C4E8A80" w:rsidR="006F1F36" w:rsidRDefault="006F1F36" w:rsidP="00126AEA">
      <w:pPr>
        <w:pStyle w:val="corte4fondo"/>
        <w:numPr>
          <w:ilvl w:val="0"/>
          <w:numId w:val="19"/>
        </w:numPr>
        <w:spacing w:line="276" w:lineRule="auto"/>
        <w:rPr>
          <w:bCs/>
          <w:sz w:val="26"/>
          <w:szCs w:val="26"/>
        </w:rPr>
      </w:pPr>
      <w:r w:rsidRPr="00C32319">
        <w:rPr>
          <w:bCs/>
          <w:sz w:val="26"/>
          <w:szCs w:val="26"/>
        </w:rPr>
        <w:t xml:space="preserve">Consideró que el legislador estableció una sanción a quien por su conducta produzca la ineficacia del matrimonio, derivada de su ilegitimidad, a fin de favorecer que el matrimonio se celebre legalmente, y evitar causas de ilicitud en él. De modo que la restricción contenida en el artículo 336 del Código Civil del Estado de Jalisco encuentra una justificación constitucionalmente válida, consistente en tutelar el derecho de la familia y, para garantizarlo, impone una sanción a quien haya contraído matrimonio no obstante estar impedido para ello. </w:t>
      </w:r>
    </w:p>
    <w:p w14:paraId="43890AD4" w14:textId="77777777" w:rsidR="006F1F36" w:rsidRDefault="006F1F36" w:rsidP="004552DA">
      <w:pPr>
        <w:pStyle w:val="corte4fondo"/>
        <w:spacing w:line="276" w:lineRule="auto"/>
        <w:ind w:left="851" w:firstLine="0"/>
        <w:rPr>
          <w:bCs/>
          <w:sz w:val="26"/>
          <w:szCs w:val="26"/>
        </w:rPr>
      </w:pPr>
    </w:p>
    <w:p w14:paraId="7B713610" w14:textId="3FA9A7A3" w:rsidR="006F1F36" w:rsidRDefault="006F1F36" w:rsidP="00C46CEF">
      <w:pPr>
        <w:pStyle w:val="corte4fondo"/>
        <w:numPr>
          <w:ilvl w:val="0"/>
          <w:numId w:val="19"/>
        </w:numPr>
        <w:spacing w:line="276" w:lineRule="auto"/>
        <w:rPr>
          <w:bCs/>
          <w:sz w:val="26"/>
          <w:szCs w:val="26"/>
        </w:rPr>
      </w:pPr>
      <w:r>
        <w:rPr>
          <w:bCs/>
          <w:sz w:val="26"/>
          <w:szCs w:val="26"/>
        </w:rPr>
        <w:t xml:space="preserve">El tribunal estimó que la medida </w:t>
      </w:r>
      <w:r w:rsidRPr="00BA299C">
        <w:rPr>
          <w:bCs/>
          <w:sz w:val="26"/>
          <w:szCs w:val="26"/>
        </w:rPr>
        <w:t>no es idónea para</w:t>
      </w:r>
      <w:r>
        <w:rPr>
          <w:bCs/>
          <w:sz w:val="26"/>
          <w:szCs w:val="26"/>
        </w:rPr>
        <w:t xml:space="preserve"> </w:t>
      </w:r>
      <w:r w:rsidRPr="00BA299C">
        <w:rPr>
          <w:bCs/>
          <w:sz w:val="26"/>
          <w:szCs w:val="26"/>
        </w:rPr>
        <w:t>satisfacer el fin constitucional y tampoco es proporcional en función de la finalidad que persigue</w:t>
      </w:r>
      <w:r>
        <w:rPr>
          <w:bCs/>
          <w:sz w:val="26"/>
          <w:szCs w:val="26"/>
        </w:rPr>
        <w:t xml:space="preserve"> porque, aunque</w:t>
      </w:r>
      <w:r w:rsidRPr="00BA299C">
        <w:rPr>
          <w:bCs/>
          <w:sz w:val="26"/>
          <w:szCs w:val="26"/>
        </w:rPr>
        <w:t xml:space="preserve"> la familia es una institución enérgicamente protegida por la Constitución, no sólo deben garantizarse los derechos y responsabilidades</w:t>
      </w:r>
      <w:r w:rsidRPr="00742D2B">
        <w:t xml:space="preserve"> </w:t>
      </w:r>
      <w:r w:rsidRPr="00742D2B">
        <w:rPr>
          <w:bCs/>
          <w:sz w:val="26"/>
          <w:szCs w:val="26"/>
        </w:rPr>
        <w:t>durante el matrimonio, sino también debe procurarse que una vez terminado, el impacto a los derechos patrimoniales de quienes estuvieron casados no sea tan lesivo</w:t>
      </w:r>
      <w:r>
        <w:rPr>
          <w:bCs/>
          <w:sz w:val="26"/>
          <w:szCs w:val="26"/>
        </w:rPr>
        <w:t>.</w:t>
      </w:r>
    </w:p>
    <w:p w14:paraId="4133F5DB" w14:textId="77777777" w:rsidR="006F1F36" w:rsidRDefault="006F1F36" w:rsidP="004552DA">
      <w:pPr>
        <w:pStyle w:val="corte4fondo"/>
        <w:spacing w:line="276" w:lineRule="auto"/>
        <w:ind w:left="851" w:firstLine="0"/>
        <w:rPr>
          <w:bCs/>
          <w:sz w:val="26"/>
          <w:szCs w:val="26"/>
        </w:rPr>
      </w:pPr>
    </w:p>
    <w:p w14:paraId="016B97B9" w14:textId="1B763A27" w:rsidR="006F1F36" w:rsidRDefault="006F1F36" w:rsidP="00C46CEF">
      <w:pPr>
        <w:pStyle w:val="corte4fondo"/>
        <w:numPr>
          <w:ilvl w:val="0"/>
          <w:numId w:val="19"/>
        </w:numPr>
        <w:spacing w:line="276" w:lineRule="auto"/>
        <w:rPr>
          <w:bCs/>
          <w:sz w:val="26"/>
          <w:szCs w:val="26"/>
        </w:rPr>
      </w:pPr>
      <w:r w:rsidRPr="003577E9">
        <w:rPr>
          <w:bCs/>
          <w:sz w:val="26"/>
          <w:szCs w:val="26"/>
        </w:rPr>
        <w:t xml:space="preserve">Señaló que la norma implica una aplicación absoluta y desproporcionada, dado que no toma en cuenta ningún parámetro para regular su aplicación. La consecuencia de la norma es que el cónyuge que obró de mala fe pierda todo derecho patrimonial que hubiese adquirido durante el matrimonio en caso de que éste se haya celebrado bajo el régimen de sociedad legal, por lo que se trata de una medida radical, que no permite que se tomen en cuenta las circunstancias de cada caso particular. </w:t>
      </w:r>
    </w:p>
    <w:p w14:paraId="17A83A6C" w14:textId="77777777" w:rsidR="006F1F36" w:rsidRDefault="006F1F36" w:rsidP="004552DA">
      <w:pPr>
        <w:pStyle w:val="corte4fondo"/>
        <w:spacing w:line="276" w:lineRule="auto"/>
        <w:ind w:left="851" w:firstLine="0"/>
        <w:rPr>
          <w:bCs/>
          <w:sz w:val="26"/>
          <w:szCs w:val="26"/>
        </w:rPr>
      </w:pPr>
    </w:p>
    <w:p w14:paraId="2BD60D24" w14:textId="164E3413" w:rsidR="006F1F36" w:rsidRPr="00D73823" w:rsidRDefault="006F1F36" w:rsidP="00C46CEF">
      <w:pPr>
        <w:pStyle w:val="corte4fondo"/>
        <w:numPr>
          <w:ilvl w:val="0"/>
          <w:numId w:val="19"/>
        </w:numPr>
        <w:spacing w:line="276" w:lineRule="auto"/>
        <w:rPr>
          <w:bCs/>
          <w:sz w:val="26"/>
          <w:szCs w:val="26"/>
        </w:rPr>
      </w:pPr>
      <w:r w:rsidRPr="00D73823">
        <w:rPr>
          <w:bCs/>
          <w:sz w:val="26"/>
          <w:szCs w:val="26"/>
        </w:rPr>
        <w:t xml:space="preserve">La medida permite obviar factores </w:t>
      </w:r>
      <w:r>
        <w:rPr>
          <w:bCs/>
          <w:sz w:val="26"/>
          <w:szCs w:val="26"/>
        </w:rPr>
        <w:t>del matrimonio y de las personas involucradas</w:t>
      </w:r>
      <w:r w:rsidRPr="00D73823">
        <w:rPr>
          <w:bCs/>
          <w:sz w:val="26"/>
          <w:szCs w:val="26"/>
        </w:rPr>
        <w:t>. Por ello, el tribunal consideró que precisamente el hecho de que la sanción sea absoluta la convierte en excesiva, pues genera la pérdida de prácticamente todos los derechos patrimoniales que una persona obtuvo durante la vigencia de su matrimonio.</w:t>
      </w:r>
    </w:p>
    <w:p w14:paraId="4DC2DD21" w14:textId="77777777" w:rsidR="006F1F36" w:rsidRDefault="006F1F36" w:rsidP="004552DA">
      <w:pPr>
        <w:pStyle w:val="corte4fondo"/>
        <w:spacing w:line="276" w:lineRule="auto"/>
        <w:ind w:left="851" w:firstLine="0"/>
        <w:rPr>
          <w:bCs/>
          <w:sz w:val="26"/>
          <w:szCs w:val="26"/>
        </w:rPr>
      </w:pPr>
    </w:p>
    <w:p w14:paraId="47AA2247" w14:textId="0FFBBA21" w:rsidR="006F1F36" w:rsidRDefault="009636D7" w:rsidP="00C46CEF">
      <w:pPr>
        <w:pStyle w:val="corte4fondo"/>
        <w:spacing w:line="276" w:lineRule="auto"/>
        <w:ind w:left="851" w:hanging="284"/>
        <w:rPr>
          <w:bCs/>
          <w:sz w:val="26"/>
          <w:szCs w:val="26"/>
        </w:rPr>
      </w:pPr>
      <w:r>
        <w:rPr>
          <w:bCs/>
          <w:sz w:val="26"/>
          <w:szCs w:val="26"/>
        </w:rPr>
        <w:t>o)</w:t>
      </w:r>
      <w:r w:rsidR="00C46CEF">
        <w:rPr>
          <w:bCs/>
          <w:sz w:val="26"/>
          <w:szCs w:val="26"/>
        </w:rPr>
        <w:tab/>
      </w:r>
      <w:r w:rsidR="006F1F36">
        <w:rPr>
          <w:bCs/>
          <w:sz w:val="26"/>
          <w:szCs w:val="26"/>
        </w:rPr>
        <w:t>Finalmente, determinó que se trata de una sanción inconstitucional por absoluta y excesiva. Asimismo, señaló que una medida de este tipo debería tomar en cuenta diversos elementos que permitan su modulación, como l</w:t>
      </w:r>
      <w:r w:rsidR="006F1F36" w:rsidRPr="003521F5">
        <w:rPr>
          <w:bCs/>
          <w:sz w:val="26"/>
          <w:szCs w:val="26"/>
        </w:rPr>
        <w:t>a duración del matrimonio</w:t>
      </w:r>
      <w:r w:rsidR="006F1F36">
        <w:rPr>
          <w:bCs/>
          <w:sz w:val="26"/>
          <w:szCs w:val="26"/>
        </w:rPr>
        <w:t>, l</w:t>
      </w:r>
      <w:r w:rsidR="006F1F36" w:rsidRPr="003521F5">
        <w:rPr>
          <w:bCs/>
          <w:sz w:val="26"/>
          <w:szCs w:val="26"/>
        </w:rPr>
        <w:t>a cantidad de bienes adquiridos</w:t>
      </w:r>
      <w:r w:rsidR="006F1F36">
        <w:rPr>
          <w:bCs/>
          <w:sz w:val="26"/>
          <w:szCs w:val="26"/>
        </w:rPr>
        <w:t>, q</w:t>
      </w:r>
      <w:r w:rsidR="006F1F36" w:rsidRPr="003521F5">
        <w:rPr>
          <w:bCs/>
          <w:sz w:val="26"/>
          <w:szCs w:val="26"/>
        </w:rPr>
        <w:t>uién aportó los recursos para adquirir dichos</w:t>
      </w:r>
      <w:r w:rsidR="006F1F36">
        <w:rPr>
          <w:bCs/>
          <w:sz w:val="26"/>
          <w:szCs w:val="26"/>
        </w:rPr>
        <w:t xml:space="preserve"> b</w:t>
      </w:r>
      <w:r w:rsidR="006F1F36" w:rsidRPr="003521F5">
        <w:rPr>
          <w:bCs/>
          <w:sz w:val="26"/>
          <w:szCs w:val="26"/>
        </w:rPr>
        <w:t>ienes</w:t>
      </w:r>
      <w:r w:rsidR="006F1F36">
        <w:rPr>
          <w:bCs/>
          <w:sz w:val="26"/>
          <w:szCs w:val="26"/>
        </w:rPr>
        <w:t>, c</w:t>
      </w:r>
      <w:r w:rsidR="006F1F36" w:rsidRPr="003521F5">
        <w:rPr>
          <w:bCs/>
          <w:sz w:val="26"/>
          <w:szCs w:val="26"/>
        </w:rPr>
        <w:t xml:space="preserve">ómo se desarrolló la </w:t>
      </w:r>
      <w:r w:rsidR="006F1F36" w:rsidRPr="003521F5">
        <w:rPr>
          <w:bCs/>
          <w:sz w:val="26"/>
          <w:szCs w:val="26"/>
        </w:rPr>
        <w:lastRenderedPageBreak/>
        <w:t>dinámica del matrimonio, e incluso</w:t>
      </w:r>
      <w:r w:rsidR="006F1F36">
        <w:rPr>
          <w:bCs/>
          <w:sz w:val="26"/>
          <w:szCs w:val="26"/>
        </w:rPr>
        <w:t xml:space="preserve"> l</w:t>
      </w:r>
      <w:r w:rsidR="006F1F36" w:rsidRPr="003521F5">
        <w:rPr>
          <w:bCs/>
          <w:sz w:val="26"/>
          <w:szCs w:val="26"/>
        </w:rPr>
        <w:t>a edad de los consortes al momento de la declaratoria de nulidad del matrimonio</w:t>
      </w:r>
      <w:r w:rsidR="006F1F36">
        <w:rPr>
          <w:bCs/>
          <w:sz w:val="26"/>
          <w:szCs w:val="26"/>
        </w:rPr>
        <w:t xml:space="preserve">. </w:t>
      </w:r>
    </w:p>
    <w:p w14:paraId="64F1D382" w14:textId="77777777" w:rsidR="006F1F36" w:rsidRDefault="006F1F36" w:rsidP="004552DA">
      <w:pPr>
        <w:pStyle w:val="corte4fondo"/>
        <w:spacing w:line="276" w:lineRule="auto"/>
        <w:ind w:left="851" w:firstLine="0"/>
        <w:rPr>
          <w:bCs/>
          <w:sz w:val="26"/>
          <w:szCs w:val="26"/>
        </w:rPr>
      </w:pPr>
    </w:p>
    <w:p w14:paraId="2C4C1AA3" w14:textId="03FD6E04" w:rsidR="006F1F36" w:rsidRDefault="00C46CEF" w:rsidP="009636D7">
      <w:pPr>
        <w:pStyle w:val="corte4fondo"/>
        <w:spacing w:line="276" w:lineRule="auto"/>
        <w:ind w:left="851" w:hanging="284"/>
        <w:rPr>
          <w:bCs/>
          <w:sz w:val="26"/>
          <w:szCs w:val="26"/>
        </w:rPr>
      </w:pPr>
      <w:r>
        <w:rPr>
          <w:bCs/>
          <w:sz w:val="26"/>
          <w:szCs w:val="26"/>
        </w:rPr>
        <w:t xml:space="preserve">p) </w:t>
      </w:r>
      <w:r w:rsidR="006F1F36">
        <w:rPr>
          <w:bCs/>
          <w:sz w:val="26"/>
          <w:szCs w:val="26"/>
        </w:rPr>
        <w:t xml:space="preserve">El tribunal agregó que en el caso resulta evidente la inconstitucionalidad dado que el matrimonio duró aproximadamente </w:t>
      </w:r>
      <w:r w:rsidR="006F1F36" w:rsidRPr="005431D7">
        <w:rPr>
          <w:bCs/>
          <w:sz w:val="26"/>
          <w:szCs w:val="26"/>
        </w:rPr>
        <w:t>cuarenta y tres años</w:t>
      </w:r>
      <w:r w:rsidR="006F1F36">
        <w:rPr>
          <w:bCs/>
          <w:sz w:val="26"/>
          <w:szCs w:val="26"/>
        </w:rPr>
        <w:t>,</w:t>
      </w:r>
      <w:r w:rsidR="006F1F36" w:rsidRPr="005431D7">
        <w:rPr>
          <w:bCs/>
          <w:sz w:val="26"/>
          <w:szCs w:val="26"/>
        </w:rPr>
        <w:t xml:space="preserve"> que durante ese periodo ambos consortes aportaron económicamente a ese patrimonio común</w:t>
      </w:r>
      <w:r w:rsidR="006F1F36">
        <w:rPr>
          <w:bCs/>
          <w:sz w:val="26"/>
          <w:szCs w:val="26"/>
        </w:rPr>
        <w:t xml:space="preserve"> y que el cónyuge que actuó de mala fe tenía </w:t>
      </w:r>
      <w:r w:rsidR="00D47F13">
        <w:rPr>
          <w:bCs/>
          <w:sz w:val="26"/>
          <w:szCs w:val="26"/>
        </w:rPr>
        <w:t>sesenta y ocho</w:t>
      </w:r>
      <w:r w:rsidR="006F1F36">
        <w:rPr>
          <w:bCs/>
          <w:sz w:val="26"/>
          <w:szCs w:val="26"/>
        </w:rPr>
        <w:t xml:space="preserve"> años a la fecha de la resolución. Por ello, </w:t>
      </w:r>
      <w:r w:rsidR="006F1F36" w:rsidRPr="00EC6827">
        <w:rPr>
          <w:bCs/>
          <w:sz w:val="26"/>
          <w:szCs w:val="26"/>
        </w:rPr>
        <w:t>si bien es constitucionalmente válido imponer una sanción al consorte que actuó de mala fe, dicha sanción no puede ser desproporcionada, lo que sucedería si se le priva de todos los bienes del patrimonio común sin hacer previamente un ejercicio de proporcionalidad, en donde se tomen en cuenta, a manera de ejemplo, los elementos que ya se enumeraron</w:t>
      </w:r>
      <w:r w:rsidR="006F1F36">
        <w:rPr>
          <w:bCs/>
          <w:sz w:val="26"/>
          <w:szCs w:val="26"/>
        </w:rPr>
        <w:t xml:space="preserve">. </w:t>
      </w:r>
    </w:p>
    <w:p w14:paraId="7EA6B514" w14:textId="77777777" w:rsidR="006F1F36" w:rsidRDefault="006F1F36" w:rsidP="004552DA">
      <w:pPr>
        <w:pStyle w:val="corte4fondo"/>
        <w:spacing w:line="276" w:lineRule="auto"/>
        <w:ind w:left="851" w:firstLine="0"/>
        <w:rPr>
          <w:bCs/>
          <w:sz w:val="26"/>
          <w:szCs w:val="26"/>
        </w:rPr>
      </w:pPr>
    </w:p>
    <w:p w14:paraId="5C7DC69C" w14:textId="6687E877" w:rsidR="006F1F36" w:rsidRDefault="009636D7" w:rsidP="009636D7">
      <w:pPr>
        <w:pStyle w:val="corte4fondo"/>
        <w:spacing w:line="276" w:lineRule="auto"/>
        <w:ind w:left="851" w:hanging="284"/>
        <w:rPr>
          <w:bCs/>
          <w:sz w:val="26"/>
          <w:szCs w:val="26"/>
        </w:rPr>
      </w:pPr>
      <w:r>
        <w:rPr>
          <w:bCs/>
          <w:sz w:val="26"/>
          <w:szCs w:val="26"/>
        </w:rPr>
        <w:t>q)</w:t>
      </w:r>
      <w:r>
        <w:rPr>
          <w:bCs/>
          <w:sz w:val="26"/>
          <w:szCs w:val="26"/>
        </w:rPr>
        <w:tab/>
      </w:r>
      <w:r w:rsidR="006F1F36">
        <w:rPr>
          <w:bCs/>
          <w:sz w:val="26"/>
          <w:szCs w:val="26"/>
        </w:rPr>
        <w:t>De todo lo anterior, el tribunal concluyó que</w:t>
      </w:r>
      <w:r w:rsidR="006F1F36" w:rsidRPr="00C00B6F">
        <w:t xml:space="preserve"> </w:t>
      </w:r>
      <w:r w:rsidR="006F1F36" w:rsidRPr="00C00B6F">
        <w:rPr>
          <w:bCs/>
          <w:sz w:val="26"/>
          <w:szCs w:val="26"/>
        </w:rPr>
        <w:t>la aplicación sin modulaciones de la</w:t>
      </w:r>
      <w:r w:rsidR="006F1F36">
        <w:rPr>
          <w:bCs/>
          <w:sz w:val="26"/>
          <w:szCs w:val="26"/>
        </w:rPr>
        <w:t xml:space="preserve"> </w:t>
      </w:r>
      <w:r w:rsidR="006F1F36" w:rsidRPr="00C00B6F">
        <w:rPr>
          <w:bCs/>
          <w:sz w:val="26"/>
          <w:szCs w:val="26"/>
        </w:rPr>
        <w:t>última parte del artículo 336 del Código Civil del Estado de Jalisco sí genera un desequilibrio económico total para el cónyuge que actuó de mala fe</w:t>
      </w:r>
      <w:r w:rsidR="006F1F36">
        <w:rPr>
          <w:bCs/>
          <w:sz w:val="26"/>
          <w:szCs w:val="26"/>
        </w:rPr>
        <w:t>. E</w:t>
      </w:r>
      <w:r w:rsidR="006F1F36" w:rsidRPr="00C00B6F">
        <w:rPr>
          <w:bCs/>
          <w:sz w:val="26"/>
          <w:szCs w:val="26"/>
        </w:rPr>
        <w:t>n esa medida</w:t>
      </w:r>
      <w:r w:rsidR="006F1F36">
        <w:rPr>
          <w:bCs/>
          <w:sz w:val="26"/>
          <w:szCs w:val="26"/>
        </w:rPr>
        <w:t>,</w:t>
      </w:r>
      <w:r w:rsidR="006F1F36" w:rsidRPr="00C00B6F">
        <w:rPr>
          <w:bCs/>
          <w:sz w:val="26"/>
          <w:szCs w:val="26"/>
        </w:rPr>
        <w:t xml:space="preserve"> afecta el derecho fundamental a la propiedad e incluso el derecho de acceso a una vida digna</w:t>
      </w:r>
      <w:r w:rsidR="006F1F36">
        <w:rPr>
          <w:bCs/>
          <w:sz w:val="26"/>
          <w:szCs w:val="26"/>
        </w:rPr>
        <w:t xml:space="preserve"> y </w:t>
      </w:r>
      <w:r w:rsidR="006F1F36" w:rsidRPr="000E1CE0">
        <w:rPr>
          <w:bCs/>
          <w:sz w:val="26"/>
          <w:szCs w:val="26"/>
        </w:rPr>
        <w:t>no resulta idónea para satisfacer, en alguna medida, su propósito constitucional</w:t>
      </w:r>
      <w:r w:rsidR="006F1F36">
        <w:rPr>
          <w:bCs/>
          <w:sz w:val="26"/>
          <w:szCs w:val="26"/>
        </w:rPr>
        <w:t>. No está</w:t>
      </w:r>
      <w:r w:rsidR="006F1F36" w:rsidRPr="000E1CE0">
        <w:rPr>
          <w:bCs/>
          <w:sz w:val="26"/>
          <w:szCs w:val="26"/>
        </w:rPr>
        <w:t xml:space="preserve"> justifi</w:t>
      </w:r>
      <w:r w:rsidR="006F1F36">
        <w:rPr>
          <w:bCs/>
          <w:sz w:val="26"/>
          <w:szCs w:val="26"/>
        </w:rPr>
        <w:t>cado</w:t>
      </w:r>
      <w:r w:rsidR="006F1F36" w:rsidRPr="000E1CE0">
        <w:rPr>
          <w:bCs/>
          <w:sz w:val="26"/>
          <w:szCs w:val="26"/>
        </w:rPr>
        <w:t xml:space="preserve"> que una persona sea privada de prácticamente todos sus derechos patrimoniales por haber incurrido en alguna causal de ilicitud al contraer matrimonio.</w:t>
      </w:r>
    </w:p>
    <w:p w14:paraId="603942BC" w14:textId="77777777" w:rsidR="006F1F36" w:rsidRDefault="006F1F36" w:rsidP="009636D7">
      <w:pPr>
        <w:pStyle w:val="corte4fondo"/>
        <w:spacing w:line="276" w:lineRule="auto"/>
        <w:ind w:left="851" w:hanging="284"/>
        <w:rPr>
          <w:bCs/>
          <w:sz w:val="26"/>
          <w:szCs w:val="26"/>
        </w:rPr>
      </w:pPr>
    </w:p>
    <w:p w14:paraId="0FC20E00" w14:textId="2BD928E1" w:rsidR="006F1F36" w:rsidRDefault="009636D7" w:rsidP="009636D7">
      <w:pPr>
        <w:pStyle w:val="corte4fondo"/>
        <w:spacing w:line="276" w:lineRule="auto"/>
        <w:ind w:left="851" w:hanging="284"/>
        <w:rPr>
          <w:bCs/>
          <w:sz w:val="26"/>
          <w:szCs w:val="26"/>
        </w:rPr>
      </w:pPr>
      <w:r>
        <w:rPr>
          <w:bCs/>
          <w:sz w:val="26"/>
          <w:szCs w:val="26"/>
        </w:rPr>
        <w:t>r)</w:t>
      </w:r>
      <w:r>
        <w:rPr>
          <w:bCs/>
          <w:sz w:val="26"/>
          <w:szCs w:val="26"/>
        </w:rPr>
        <w:tab/>
      </w:r>
      <w:r w:rsidR="006F1F36">
        <w:rPr>
          <w:bCs/>
          <w:sz w:val="26"/>
          <w:szCs w:val="26"/>
        </w:rPr>
        <w:t xml:space="preserve">El tribunal colegiado consideró que </w:t>
      </w:r>
      <w:r w:rsidR="006F1F36" w:rsidRPr="000A1C50">
        <w:rPr>
          <w:bCs/>
          <w:sz w:val="26"/>
          <w:szCs w:val="26"/>
        </w:rPr>
        <w:t>la legislación no prevé ninguna medida</w:t>
      </w:r>
      <w:r w:rsidR="006F1F36">
        <w:rPr>
          <w:bCs/>
          <w:sz w:val="26"/>
          <w:szCs w:val="26"/>
        </w:rPr>
        <w:t xml:space="preserve"> </w:t>
      </w:r>
      <w:r w:rsidR="006F1F36" w:rsidRPr="000A1C50">
        <w:rPr>
          <w:bCs/>
          <w:sz w:val="26"/>
          <w:szCs w:val="26"/>
        </w:rPr>
        <w:t>sancionadora que sea menos gravosa para castigar al cónyuge que actuó de mala fe</w:t>
      </w:r>
      <w:r w:rsidR="006F1F36">
        <w:t xml:space="preserve"> </w:t>
      </w:r>
      <w:r w:rsidR="006F1F36">
        <w:rPr>
          <w:bCs/>
          <w:sz w:val="26"/>
          <w:szCs w:val="26"/>
        </w:rPr>
        <w:t>y que e</w:t>
      </w:r>
      <w:r w:rsidR="006F1F36" w:rsidRPr="00F4525A">
        <w:rPr>
          <w:bCs/>
          <w:sz w:val="26"/>
          <w:szCs w:val="26"/>
        </w:rPr>
        <w:t>l grado de afectación que resiente el sancionado es mayor al grado de realización del fin que se persigue con dicha norma</w:t>
      </w:r>
      <w:r w:rsidR="006F1F36">
        <w:rPr>
          <w:bCs/>
          <w:sz w:val="26"/>
          <w:szCs w:val="26"/>
        </w:rPr>
        <w:t>. E</w:t>
      </w:r>
      <w:r w:rsidR="006F1F36" w:rsidRPr="00F4525A">
        <w:rPr>
          <w:bCs/>
          <w:sz w:val="26"/>
          <w:szCs w:val="26"/>
        </w:rPr>
        <w:t>l vínculo matrimonial declarado ilegítimo ya no puede ser objeto de protección, y en cambio, la sanción que se aplica a quien actuó de mala fe es trascendente e inequitativa, en función de que como ya se explicó, implica una pérdida total del patrimonio adquirido durante el matrimonio.</w:t>
      </w:r>
    </w:p>
    <w:p w14:paraId="229FD877" w14:textId="77777777" w:rsidR="006F1F36" w:rsidRDefault="006F1F36" w:rsidP="009636D7">
      <w:pPr>
        <w:pStyle w:val="corte4fondo"/>
        <w:spacing w:line="276" w:lineRule="auto"/>
        <w:ind w:left="851" w:hanging="284"/>
        <w:rPr>
          <w:bCs/>
          <w:sz w:val="26"/>
          <w:szCs w:val="26"/>
        </w:rPr>
      </w:pPr>
    </w:p>
    <w:p w14:paraId="69400520" w14:textId="3A601952" w:rsidR="006F1F36" w:rsidRDefault="009636D7" w:rsidP="009636D7">
      <w:pPr>
        <w:pStyle w:val="corte4fondo"/>
        <w:spacing w:line="276" w:lineRule="auto"/>
        <w:ind w:left="851" w:hanging="284"/>
        <w:rPr>
          <w:bCs/>
          <w:sz w:val="26"/>
          <w:szCs w:val="26"/>
        </w:rPr>
      </w:pPr>
      <w:r>
        <w:rPr>
          <w:bCs/>
          <w:sz w:val="26"/>
          <w:szCs w:val="26"/>
        </w:rPr>
        <w:t>s)</w:t>
      </w:r>
      <w:r>
        <w:rPr>
          <w:bCs/>
          <w:sz w:val="26"/>
          <w:szCs w:val="26"/>
        </w:rPr>
        <w:tab/>
      </w:r>
      <w:r w:rsidR="006F1F36">
        <w:rPr>
          <w:bCs/>
          <w:sz w:val="26"/>
          <w:szCs w:val="26"/>
        </w:rPr>
        <w:t xml:space="preserve">Por todo lo anterior, el tribunal determinó que es inconstitucional la </w:t>
      </w:r>
      <w:r w:rsidR="006F1F36" w:rsidRPr="004D469C">
        <w:rPr>
          <w:bCs/>
          <w:sz w:val="26"/>
          <w:szCs w:val="26"/>
        </w:rPr>
        <w:t>última parte del</w:t>
      </w:r>
      <w:r w:rsidR="006F1F36">
        <w:rPr>
          <w:bCs/>
          <w:sz w:val="26"/>
          <w:szCs w:val="26"/>
        </w:rPr>
        <w:t xml:space="preserve"> </w:t>
      </w:r>
      <w:r w:rsidR="006F1F36" w:rsidRPr="004D469C">
        <w:rPr>
          <w:bCs/>
          <w:sz w:val="26"/>
          <w:szCs w:val="26"/>
        </w:rPr>
        <w:t>artículo 336 del referido Código Civil del Estado de Jalisco</w:t>
      </w:r>
      <w:r w:rsidR="006F1F36">
        <w:rPr>
          <w:bCs/>
          <w:sz w:val="26"/>
          <w:szCs w:val="26"/>
        </w:rPr>
        <w:t xml:space="preserve"> porque </w:t>
      </w:r>
      <w:r w:rsidR="006F1F36" w:rsidRPr="0052348C">
        <w:rPr>
          <w:bCs/>
          <w:sz w:val="26"/>
          <w:szCs w:val="26"/>
        </w:rPr>
        <w:t>impone una sanción privativa absoluta, genérica, abstracta y desproporcionada</w:t>
      </w:r>
      <w:r w:rsidR="006F1F36">
        <w:rPr>
          <w:bCs/>
          <w:sz w:val="26"/>
          <w:szCs w:val="26"/>
        </w:rPr>
        <w:t xml:space="preserve"> y no permite su </w:t>
      </w:r>
      <w:r w:rsidR="006F1F36" w:rsidRPr="0052348C">
        <w:rPr>
          <w:bCs/>
          <w:sz w:val="26"/>
          <w:szCs w:val="26"/>
        </w:rPr>
        <w:t>modulación en función de las circunstancias de cada caso</w:t>
      </w:r>
      <w:r w:rsidR="006F1F36">
        <w:rPr>
          <w:bCs/>
          <w:sz w:val="26"/>
          <w:szCs w:val="26"/>
        </w:rPr>
        <w:t xml:space="preserve">. Por ello, concedió la protección constitucional al quejoso para dejar </w:t>
      </w:r>
      <w:r w:rsidR="006F1F36" w:rsidRPr="00C42EE0">
        <w:rPr>
          <w:bCs/>
          <w:sz w:val="26"/>
          <w:szCs w:val="26"/>
        </w:rPr>
        <w:t>insubsistente la sentencia reclamada, y en su lugar emit</w:t>
      </w:r>
      <w:r w:rsidR="006F1F36">
        <w:rPr>
          <w:bCs/>
          <w:sz w:val="26"/>
          <w:szCs w:val="26"/>
        </w:rPr>
        <w:t>ir</w:t>
      </w:r>
      <w:r w:rsidR="006F1F36" w:rsidRPr="00C42EE0">
        <w:rPr>
          <w:bCs/>
          <w:sz w:val="26"/>
          <w:szCs w:val="26"/>
        </w:rPr>
        <w:t xml:space="preserve"> otra en la que </w:t>
      </w:r>
      <w:r w:rsidR="006F1F36">
        <w:rPr>
          <w:bCs/>
          <w:sz w:val="26"/>
          <w:szCs w:val="26"/>
        </w:rPr>
        <w:t>la autoridad responsable</w:t>
      </w:r>
      <w:r w:rsidR="006F1F36" w:rsidRPr="00C42EE0">
        <w:rPr>
          <w:bCs/>
          <w:sz w:val="26"/>
          <w:szCs w:val="26"/>
        </w:rPr>
        <w:t xml:space="preserve"> reitere las consideraciones </w:t>
      </w:r>
      <w:r w:rsidR="006F1F36" w:rsidRPr="00C42EE0">
        <w:rPr>
          <w:bCs/>
          <w:sz w:val="26"/>
          <w:szCs w:val="26"/>
        </w:rPr>
        <w:lastRenderedPageBreak/>
        <w:t>que no fueron materia de estudio en esta ejecutoria, así como aquellas respecto de las que se calificaron como infundados los conceptos de violación, y por otra parte, desincorpore de la esfera jurídica del quejoso la sanción privativa absoluta que prevé el artículo 336 del Código Civil del Estado de Jalisco.</w:t>
      </w:r>
    </w:p>
    <w:p w14:paraId="581189CB" w14:textId="77777777" w:rsidR="006F1F36" w:rsidRDefault="006F1F36" w:rsidP="009636D7">
      <w:pPr>
        <w:pStyle w:val="corte4fondo"/>
        <w:spacing w:line="276" w:lineRule="auto"/>
        <w:ind w:left="851" w:hanging="284"/>
        <w:rPr>
          <w:bCs/>
          <w:sz w:val="26"/>
          <w:szCs w:val="26"/>
        </w:rPr>
      </w:pPr>
    </w:p>
    <w:p w14:paraId="33E0238A" w14:textId="4EA5B9D5" w:rsidR="006F1F36" w:rsidRDefault="009636D7" w:rsidP="009636D7">
      <w:pPr>
        <w:pStyle w:val="corte4fondo"/>
        <w:spacing w:line="276" w:lineRule="auto"/>
        <w:ind w:left="851" w:hanging="284"/>
        <w:rPr>
          <w:bCs/>
          <w:sz w:val="26"/>
          <w:szCs w:val="26"/>
        </w:rPr>
      </w:pPr>
      <w:r>
        <w:rPr>
          <w:bCs/>
          <w:sz w:val="26"/>
          <w:szCs w:val="26"/>
        </w:rPr>
        <w:t>t)</w:t>
      </w:r>
      <w:r>
        <w:rPr>
          <w:bCs/>
          <w:sz w:val="26"/>
          <w:szCs w:val="26"/>
        </w:rPr>
        <w:tab/>
      </w:r>
      <w:r w:rsidR="006F1F36">
        <w:rPr>
          <w:bCs/>
          <w:sz w:val="26"/>
          <w:szCs w:val="26"/>
        </w:rPr>
        <w:t xml:space="preserve">Respecto de los alegatos formulados por la tercera interesada, señaló que no existía motivo para plasmar su estudio </w:t>
      </w:r>
      <w:r w:rsidR="006F1F36" w:rsidRPr="00FF62D1">
        <w:rPr>
          <w:bCs/>
          <w:sz w:val="26"/>
          <w:szCs w:val="26"/>
        </w:rPr>
        <w:t>puesto que de su contenido no se aprecia</w:t>
      </w:r>
      <w:r w:rsidR="00792678">
        <w:rPr>
          <w:bCs/>
          <w:sz w:val="26"/>
          <w:szCs w:val="26"/>
        </w:rPr>
        <w:t>ba</w:t>
      </w:r>
      <w:r w:rsidR="006F1F36" w:rsidRPr="00FF62D1">
        <w:rPr>
          <w:bCs/>
          <w:sz w:val="26"/>
          <w:szCs w:val="26"/>
        </w:rPr>
        <w:t xml:space="preserve"> alguna incidencia que implique un cambio en el criterio adoptado en esta ejecutoria</w:t>
      </w:r>
      <w:r w:rsidR="006F1F36">
        <w:rPr>
          <w:bCs/>
          <w:sz w:val="26"/>
          <w:szCs w:val="26"/>
        </w:rPr>
        <w:t>. S</w:t>
      </w:r>
      <w:r w:rsidR="006F1F36" w:rsidRPr="00FF62D1">
        <w:rPr>
          <w:bCs/>
          <w:sz w:val="26"/>
          <w:szCs w:val="26"/>
        </w:rPr>
        <w:t>i bien la tercera interesada hizo valer causas de improcedencia</w:t>
      </w:r>
      <w:r w:rsidR="006F1F36">
        <w:rPr>
          <w:bCs/>
          <w:sz w:val="26"/>
          <w:szCs w:val="26"/>
        </w:rPr>
        <w:t xml:space="preserve">, consideró que </w:t>
      </w:r>
      <w:r w:rsidR="006F1F36" w:rsidRPr="00FF62D1">
        <w:rPr>
          <w:bCs/>
          <w:sz w:val="26"/>
          <w:szCs w:val="26"/>
        </w:rPr>
        <w:t xml:space="preserve">fueron desestimadas en </w:t>
      </w:r>
      <w:r w:rsidR="006F1F36">
        <w:rPr>
          <w:bCs/>
          <w:sz w:val="26"/>
          <w:szCs w:val="26"/>
        </w:rPr>
        <w:t>los</w:t>
      </w:r>
      <w:r w:rsidR="006F1F36" w:rsidRPr="00FF62D1">
        <w:rPr>
          <w:bCs/>
          <w:sz w:val="26"/>
          <w:szCs w:val="26"/>
        </w:rPr>
        <w:t xml:space="preserve"> considerando</w:t>
      </w:r>
      <w:r w:rsidR="006F1F36">
        <w:rPr>
          <w:bCs/>
          <w:sz w:val="26"/>
          <w:szCs w:val="26"/>
        </w:rPr>
        <w:t xml:space="preserve">s. </w:t>
      </w:r>
    </w:p>
    <w:p w14:paraId="1857D3D7" w14:textId="77777777" w:rsidR="00B97810" w:rsidRPr="006F1F36" w:rsidRDefault="00B97810" w:rsidP="00B97810">
      <w:pPr>
        <w:pStyle w:val="corte4fondo"/>
        <w:ind w:left="851" w:firstLine="0"/>
        <w:rPr>
          <w:sz w:val="26"/>
          <w:szCs w:val="26"/>
        </w:rPr>
      </w:pPr>
    </w:p>
    <w:p w14:paraId="7B7C5C0D" w14:textId="5FF876A8" w:rsidR="003C79EE" w:rsidRPr="003417DD" w:rsidRDefault="00464BCA" w:rsidP="00352A29">
      <w:pPr>
        <w:pStyle w:val="corte4fondo"/>
        <w:numPr>
          <w:ilvl w:val="0"/>
          <w:numId w:val="2"/>
        </w:numPr>
        <w:ind w:left="0" w:hanging="567"/>
        <w:rPr>
          <w:sz w:val="26"/>
          <w:szCs w:val="26"/>
          <w:lang w:val="es-ES"/>
        </w:rPr>
      </w:pPr>
      <w:r w:rsidRPr="003417DD">
        <w:rPr>
          <w:b/>
          <w:sz w:val="26"/>
          <w:szCs w:val="26"/>
          <w:lang w:val="es-ES"/>
        </w:rPr>
        <w:t>Recurso de revisión</w:t>
      </w:r>
      <w:r w:rsidR="003C79EE" w:rsidRPr="003417DD">
        <w:rPr>
          <w:sz w:val="26"/>
          <w:szCs w:val="26"/>
          <w:lang w:val="es-ES"/>
        </w:rPr>
        <w:t>.</w:t>
      </w:r>
      <w:r w:rsidR="00994491" w:rsidRPr="003417DD">
        <w:rPr>
          <w:sz w:val="26"/>
          <w:szCs w:val="26"/>
          <w:lang w:val="es-ES"/>
        </w:rPr>
        <w:t xml:space="preserve"> Inconforme con la determinación anterior, </w:t>
      </w:r>
      <w:r w:rsidR="00877B02" w:rsidRPr="003417DD">
        <w:rPr>
          <w:sz w:val="26"/>
          <w:szCs w:val="26"/>
          <w:lang w:val="es-ES"/>
        </w:rPr>
        <w:t>por escrito presentado el 22 de agosto de 2022</w:t>
      </w:r>
      <w:r w:rsidR="00D57550" w:rsidRPr="003417DD">
        <w:rPr>
          <w:sz w:val="26"/>
          <w:szCs w:val="26"/>
          <w:lang w:val="es-ES"/>
        </w:rPr>
        <w:t>,</w:t>
      </w:r>
      <w:r w:rsidR="00B97810" w:rsidRPr="003417DD">
        <w:rPr>
          <w:sz w:val="26"/>
          <w:szCs w:val="26"/>
          <w:lang w:val="es-ES"/>
        </w:rPr>
        <w:t xml:space="preserve"> </w:t>
      </w:r>
      <w:r w:rsidR="006E421A" w:rsidRPr="003417DD">
        <w:rPr>
          <w:sz w:val="26"/>
          <w:szCs w:val="26"/>
          <w:lang w:val="es-ES"/>
        </w:rPr>
        <w:t>ante la Oficina de Parte</w:t>
      </w:r>
      <w:r w:rsidR="007B3583">
        <w:rPr>
          <w:sz w:val="26"/>
          <w:szCs w:val="26"/>
          <w:lang w:val="es-ES"/>
        </w:rPr>
        <w:t>s</w:t>
      </w:r>
      <w:r w:rsidR="006E421A" w:rsidRPr="003417DD">
        <w:rPr>
          <w:sz w:val="26"/>
          <w:szCs w:val="26"/>
          <w:lang w:val="es-ES"/>
        </w:rPr>
        <w:t xml:space="preserve"> Común de </w:t>
      </w:r>
      <w:r w:rsidR="001E6CF6">
        <w:rPr>
          <w:sz w:val="26"/>
          <w:szCs w:val="26"/>
          <w:lang w:val="es-ES"/>
        </w:rPr>
        <w:t xml:space="preserve">los </w:t>
      </w:r>
      <w:r w:rsidR="006E421A" w:rsidRPr="003417DD">
        <w:rPr>
          <w:sz w:val="26"/>
          <w:szCs w:val="26"/>
          <w:lang w:val="es-ES"/>
        </w:rPr>
        <w:t>Tribunales Colegiado</w:t>
      </w:r>
      <w:r w:rsidR="001E6CF6">
        <w:rPr>
          <w:sz w:val="26"/>
          <w:szCs w:val="26"/>
          <w:lang w:val="es-ES"/>
        </w:rPr>
        <w:t>s</w:t>
      </w:r>
      <w:r w:rsidR="006E421A" w:rsidRPr="003417DD">
        <w:rPr>
          <w:sz w:val="26"/>
          <w:szCs w:val="26"/>
          <w:lang w:val="es-ES"/>
        </w:rPr>
        <w:t xml:space="preserve"> en Materia Civil del Tercer Circuito</w:t>
      </w:r>
      <w:r w:rsidR="00B97810" w:rsidRPr="003417DD">
        <w:rPr>
          <w:sz w:val="26"/>
          <w:szCs w:val="26"/>
          <w:lang w:val="es-ES"/>
        </w:rPr>
        <w:t xml:space="preserve">, </w:t>
      </w:r>
      <w:r w:rsidR="0008080B" w:rsidRPr="003417DD">
        <w:rPr>
          <w:color w:val="FF0000"/>
          <w:sz w:val="26"/>
          <w:szCs w:val="26"/>
          <w:lang w:val="es-ES"/>
        </w:rPr>
        <w:t>MG</w:t>
      </w:r>
      <w:r w:rsidR="002C6865" w:rsidRPr="003417DD">
        <w:rPr>
          <w:color w:val="FF0000"/>
          <w:sz w:val="26"/>
          <w:szCs w:val="26"/>
          <w:lang w:val="es-ES"/>
        </w:rPr>
        <w:t>G</w:t>
      </w:r>
      <w:r w:rsidR="0008080B" w:rsidRPr="003417DD">
        <w:rPr>
          <w:color w:val="FF0000"/>
          <w:sz w:val="26"/>
          <w:szCs w:val="26"/>
          <w:lang w:val="es-ES"/>
        </w:rPr>
        <w:t>I</w:t>
      </w:r>
      <w:r w:rsidR="00877B02" w:rsidRPr="003417DD">
        <w:rPr>
          <w:sz w:val="26"/>
          <w:szCs w:val="26"/>
          <w:lang w:val="es-ES"/>
        </w:rPr>
        <w:t xml:space="preserve"> </w:t>
      </w:r>
      <w:r w:rsidR="00FC5C3C" w:rsidRPr="003417DD">
        <w:rPr>
          <w:sz w:val="26"/>
          <w:szCs w:val="26"/>
          <w:lang w:val="es-ES"/>
        </w:rPr>
        <w:t>interpuso recurso de revisión. En sus agravios, la recurrente sostuvo que:</w:t>
      </w:r>
    </w:p>
    <w:p w14:paraId="2862D61C" w14:textId="77777777" w:rsidR="00FC5C3C" w:rsidRPr="003417DD" w:rsidRDefault="00FC5C3C" w:rsidP="00FC5C3C">
      <w:pPr>
        <w:pStyle w:val="corte4fondo"/>
        <w:ind w:firstLine="0"/>
        <w:rPr>
          <w:b/>
          <w:sz w:val="26"/>
          <w:szCs w:val="26"/>
          <w:lang w:val="es-ES"/>
        </w:rPr>
      </w:pPr>
    </w:p>
    <w:p w14:paraId="0E89CC9D" w14:textId="4DF3C031" w:rsidR="005478BB" w:rsidRPr="003417DD" w:rsidRDefault="00CF3BE7" w:rsidP="00BC3DF6">
      <w:pPr>
        <w:pStyle w:val="corte4fondo"/>
        <w:numPr>
          <w:ilvl w:val="0"/>
          <w:numId w:val="37"/>
        </w:numPr>
        <w:spacing w:line="276" w:lineRule="auto"/>
        <w:ind w:left="851" w:hanging="284"/>
        <w:rPr>
          <w:bCs/>
          <w:sz w:val="26"/>
          <w:szCs w:val="26"/>
          <w:lang w:val="es-ES"/>
        </w:rPr>
      </w:pPr>
      <w:r w:rsidRPr="003417DD">
        <w:rPr>
          <w:bCs/>
          <w:sz w:val="26"/>
          <w:szCs w:val="26"/>
          <w:lang w:val="es-ES"/>
        </w:rPr>
        <w:t xml:space="preserve">En relación con la procedencia del recurso, argumentó que </w:t>
      </w:r>
      <w:r w:rsidR="00537A0A" w:rsidRPr="003417DD">
        <w:rPr>
          <w:bCs/>
          <w:sz w:val="26"/>
          <w:szCs w:val="26"/>
          <w:lang w:val="es-ES"/>
        </w:rPr>
        <w:t xml:space="preserve">el análisis de constitucionalidad del artículo </w:t>
      </w:r>
      <w:r w:rsidR="00103E0B" w:rsidRPr="003417DD">
        <w:rPr>
          <w:bCs/>
          <w:sz w:val="26"/>
          <w:szCs w:val="26"/>
          <w:lang w:val="es-ES"/>
        </w:rPr>
        <w:t>3</w:t>
      </w:r>
      <w:r w:rsidR="00537A0A" w:rsidRPr="003417DD">
        <w:rPr>
          <w:bCs/>
          <w:sz w:val="26"/>
          <w:szCs w:val="26"/>
          <w:lang w:val="es-ES"/>
        </w:rPr>
        <w:t xml:space="preserve">36 del Código Civil del Estado de Jalisco </w:t>
      </w:r>
      <w:r w:rsidR="00103E0B" w:rsidRPr="003417DD">
        <w:rPr>
          <w:bCs/>
          <w:sz w:val="26"/>
          <w:szCs w:val="26"/>
          <w:lang w:val="es-ES"/>
        </w:rPr>
        <w:t xml:space="preserve">entraña la fijación de un criterio de importancia y trascendencia, dado que el criterio adoptado por el tribunal colegiado implica </w:t>
      </w:r>
      <w:r w:rsidR="00D7413D" w:rsidRPr="003417DD">
        <w:rPr>
          <w:bCs/>
          <w:sz w:val="26"/>
          <w:szCs w:val="26"/>
          <w:lang w:val="es-ES"/>
        </w:rPr>
        <w:t xml:space="preserve">una interpretación contraria a los criterios emitidos por esta Suprema Corte. </w:t>
      </w:r>
      <w:r w:rsidR="00BA60C8" w:rsidRPr="003417DD">
        <w:rPr>
          <w:bCs/>
          <w:sz w:val="26"/>
          <w:szCs w:val="26"/>
          <w:lang w:val="es-ES"/>
        </w:rPr>
        <w:t xml:space="preserve">Asimismo, argumenta que la interpretación adoptada implica la vulneración de sus derechos </w:t>
      </w:r>
      <w:r w:rsidR="00DB1458" w:rsidRPr="003417DD">
        <w:rPr>
          <w:bCs/>
          <w:sz w:val="26"/>
          <w:szCs w:val="26"/>
          <w:lang w:val="es-ES"/>
        </w:rPr>
        <w:t>e implica una decisión que no atiende a la impartición de justicia con equidad.</w:t>
      </w:r>
      <w:r w:rsidR="00530EDB" w:rsidRPr="003417DD">
        <w:rPr>
          <w:bCs/>
          <w:sz w:val="26"/>
          <w:szCs w:val="26"/>
          <w:lang w:val="es-ES"/>
        </w:rPr>
        <w:t xml:space="preserve"> </w:t>
      </w:r>
      <w:r w:rsidR="005478BB" w:rsidRPr="003417DD">
        <w:rPr>
          <w:bCs/>
          <w:sz w:val="26"/>
          <w:szCs w:val="26"/>
          <w:lang w:val="es-ES"/>
        </w:rPr>
        <w:t>Apunta que la resolución premia a quien actuó de mala fe al contraer matrimonio</w:t>
      </w:r>
      <w:r w:rsidR="00FA383F" w:rsidRPr="003417DD">
        <w:rPr>
          <w:bCs/>
          <w:sz w:val="26"/>
          <w:szCs w:val="26"/>
          <w:lang w:val="es-ES"/>
        </w:rPr>
        <w:t xml:space="preserve"> y se olvida de la impartición de justicia para quien fue engañada durante la vigencia del matrimonio. </w:t>
      </w:r>
    </w:p>
    <w:p w14:paraId="016B82FC" w14:textId="77777777" w:rsidR="00185422" w:rsidRPr="003417DD" w:rsidRDefault="00185422" w:rsidP="00BC3DF6">
      <w:pPr>
        <w:pStyle w:val="corte4fondo"/>
        <w:spacing w:line="276" w:lineRule="auto"/>
        <w:ind w:left="851" w:hanging="284"/>
        <w:rPr>
          <w:bCs/>
          <w:sz w:val="26"/>
          <w:szCs w:val="26"/>
          <w:lang w:val="es-ES"/>
        </w:rPr>
      </w:pPr>
    </w:p>
    <w:p w14:paraId="0D3EED67" w14:textId="433C868A" w:rsidR="005B6088" w:rsidRPr="003417DD" w:rsidRDefault="005B6088" w:rsidP="00BC3DF6">
      <w:pPr>
        <w:pStyle w:val="corte4fondo"/>
        <w:numPr>
          <w:ilvl w:val="0"/>
          <w:numId w:val="37"/>
        </w:numPr>
        <w:spacing w:line="276" w:lineRule="auto"/>
        <w:ind w:left="851" w:hanging="284"/>
        <w:rPr>
          <w:bCs/>
          <w:sz w:val="26"/>
          <w:szCs w:val="26"/>
          <w:lang w:val="es-ES"/>
        </w:rPr>
      </w:pPr>
      <w:r w:rsidRPr="003417DD">
        <w:rPr>
          <w:bCs/>
          <w:sz w:val="26"/>
          <w:szCs w:val="26"/>
          <w:lang w:val="es-ES"/>
        </w:rPr>
        <w:t xml:space="preserve">Antes de manifestar sus agravios, la revisionista apuntó que en la </w:t>
      </w:r>
      <w:r w:rsidR="00EB60B3" w:rsidRPr="003417DD">
        <w:rPr>
          <w:bCs/>
          <w:sz w:val="26"/>
          <w:szCs w:val="26"/>
          <w:lang w:val="es-ES"/>
        </w:rPr>
        <w:t xml:space="preserve">sesión del 30 de junio </w:t>
      </w:r>
      <w:r w:rsidR="00A546C0" w:rsidRPr="003417DD">
        <w:rPr>
          <w:bCs/>
          <w:sz w:val="26"/>
          <w:szCs w:val="26"/>
          <w:lang w:val="es-ES"/>
        </w:rPr>
        <w:t>de 202</w:t>
      </w:r>
      <w:r w:rsidR="00AE6E96">
        <w:rPr>
          <w:bCs/>
          <w:sz w:val="26"/>
          <w:szCs w:val="26"/>
          <w:lang w:val="es-ES"/>
        </w:rPr>
        <w:t>2</w:t>
      </w:r>
      <w:r w:rsidR="00A546C0" w:rsidRPr="003417DD">
        <w:rPr>
          <w:bCs/>
          <w:sz w:val="26"/>
          <w:szCs w:val="26"/>
          <w:lang w:val="es-ES"/>
        </w:rPr>
        <w:t xml:space="preserve"> el magistrado Álvaro Ovalle Álvarez realizó d</w:t>
      </w:r>
      <w:r w:rsidR="00BA67FD" w:rsidRPr="003417DD">
        <w:rPr>
          <w:bCs/>
          <w:sz w:val="26"/>
          <w:szCs w:val="26"/>
          <w:lang w:val="es-ES"/>
        </w:rPr>
        <w:t>i</w:t>
      </w:r>
      <w:r w:rsidR="00A546C0" w:rsidRPr="003417DD">
        <w:rPr>
          <w:bCs/>
          <w:sz w:val="26"/>
          <w:szCs w:val="26"/>
          <w:lang w:val="es-ES"/>
        </w:rPr>
        <w:t>versas manifestaciones</w:t>
      </w:r>
      <w:r w:rsidR="00BA67FD" w:rsidRPr="003417DD">
        <w:rPr>
          <w:bCs/>
          <w:sz w:val="26"/>
          <w:szCs w:val="26"/>
          <w:lang w:val="es-ES"/>
        </w:rPr>
        <w:t xml:space="preserve"> contrarias a la obligación de juzgar con perspectiva de género, en las que desconoció el matrimonio como una institución de carácter público e interés social</w:t>
      </w:r>
      <w:r w:rsidR="008C34E9" w:rsidRPr="003417DD">
        <w:rPr>
          <w:bCs/>
          <w:sz w:val="26"/>
          <w:szCs w:val="26"/>
          <w:lang w:val="es-ES"/>
        </w:rPr>
        <w:t xml:space="preserve">. Por lo que solicita a esta Suprema Corte analizar la conducta y criterio del juzgador. </w:t>
      </w:r>
    </w:p>
    <w:p w14:paraId="26FC457E" w14:textId="77777777" w:rsidR="00103F59" w:rsidRPr="003417DD" w:rsidRDefault="00103F59" w:rsidP="004552DA">
      <w:pPr>
        <w:pStyle w:val="corte4fondo"/>
        <w:spacing w:line="276" w:lineRule="auto"/>
        <w:ind w:left="851" w:firstLine="0"/>
        <w:rPr>
          <w:bCs/>
          <w:sz w:val="26"/>
          <w:szCs w:val="26"/>
          <w:lang w:val="es-ES"/>
        </w:rPr>
      </w:pPr>
    </w:p>
    <w:p w14:paraId="580DC683" w14:textId="468957B8" w:rsidR="00A546C0" w:rsidRPr="003417DD" w:rsidRDefault="008C34E9" w:rsidP="004552DA">
      <w:pPr>
        <w:pStyle w:val="corte4fondo"/>
        <w:spacing w:line="276" w:lineRule="auto"/>
        <w:ind w:left="707" w:firstLine="144"/>
        <w:rPr>
          <w:bCs/>
          <w:sz w:val="26"/>
          <w:szCs w:val="26"/>
          <w:lang w:val="es-ES"/>
        </w:rPr>
      </w:pPr>
      <w:r w:rsidRPr="003417DD">
        <w:rPr>
          <w:bCs/>
          <w:sz w:val="26"/>
          <w:szCs w:val="26"/>
          <w:lang w:val="es-ES"/>
        </w:rPr>
        <w:t xml:space="preserve">Ahora bien, en relación con los agravios, la revisionista manifestó que: </w:t>
      </w:r>
    </w:p>
    <w:p w14:paraId="6B0EC603" w14:textId="77777777" w:rsidR="000A5276" w:rsidRPr="003417DD" w:rsidRDefault="000A5276" w:rsidP="004552DA">
      <w:pPr>
        <w:pStyle w:val="corte4fondo"/>
        <w:spacing w:line="276" w:lineRule="auto"/>
        <w:ind w:left="851" w:firstLine="0"/>
        <w:rPr>
          <w:bCs/>
          <w:sz w:val="26"/>
          <w:szCs w:val="26"/>
          <w:lang w:val="es-ES"/>
        </w:rPr>
      </w:pPr>
    </w:p>
    <w:p w14:paraId="0711D82F" w14:textId="50DEFB0A" w:rsidR="00255924" w:rsidRPr="003417DD" w:rsidRDefault="005E16A1" w:rsidP="00C870B2">
      <w:pPr>
        <w:pStyle w:val="corte4fondo"/>
        <w:numPr>
          <w:ilvl w:val="0"/>
          <w:numId w:val="37"/>
        </w:numPr>
        <w:spacing w:line="276" w:lineRule="auto"/>
        <w:ind w:left="851" w:hanging="284"/>
        <w:rPr>
          <w:bCs/>
          <w:sz w:val="26"/>
          <w:szCs w:val="26"/>
          <w:lang w:val="es-ES"/>
        </w:rPr>
      </w:pPr>
      <w:r w:rsidRPr="003417DD">
        <w:rPr>
          <w:b/>
          <w:sz w:val="26"/>
          <w:szCs w:val="26"/>
          <w:lang w:val="es-ES"/>
        </w:rPr>
        <w:t>Primer</w:t>
      </w:r>
      <w:r w:rsidR="00CF3BE7" w:rsidRPr="003417DD">
        <w:rPr>
          <w:b/>
          <w:sz w:val="26"/>
          <w:szCs w:val="26"/>
          <w:lang w:val="es-ES"/>
        </w:rPr>
        <w:t>o.</w:t>
      </w:r>
      <w:r w:rsidR="00B76007" w:rsidRPr="003417DD">
        <w:rPr>
          <w:bCs/>
          <w:sz w:val="26"/>
          <w:szCs w:val="26"/>
          <w:lang w:val="es-ES"/>
        </w:rPr>
        <w:t xml:space="preserve"> </w:t>
      </w:r>
      <w:r w:rsidR="006F1F36">
        <w:rPr>
          <w:bCs/>
          <w:sz w:val="26"/>
          <w:szCs w:val="26"/>
        </w:rPr>
        <w:t>E</w:t>
      </w:r>
      <w:r w:rsidR="006F1F36" w:rsidRPr="00D84169">
        <w:rPr>
          <w:bCs/>
          <w:sz w:val="26"/>
          <w:szCs w:val="26"/>
        </w:rPr>
        <w:t xml:space="preserve">l quejoso no planteó ningún argumento </w:t>
      </w:r>
      <w:r w:rsidR="006F1F36">
        <w:rPr>
          <w:bCs/>
          <w:sz w:val="26"/>
          <w:szCs w:val="26"/>
        </w:rPr>
        <w:t xml:space="preserve">relativo a la inconstitucionalidad del artículo 336 del Código Civil del Estado de Jalisco, sino que se limitó a argumentar que en el caso </w:t>
      </w:r>
      <w:r w:rsidR="006F1F36" w:rsidRPr="00D84169">
        <w:rPr>
          <w:bCs/>
          <w:sz w:val="26"/>
          <w:szCs w:val="26"/>
        </w:rPr>
        <w:t>no se había probado la mala fe de la que se le acusaba</w:t>
      </w:r>
      <w:r w:rsidR="006F1F36">
        <w:rPr>
          <w:bCs/>
          <w:sz w:val="26"/>
          <w:szCs w:val="26"/>
        </w:rPr>
        <w:t>. Por ello, resulta injustificado el análisis del tribunal colegiado en ese sentido, pues en el caso no procede la suplencia de la queja a favor del quejoso, dado que se trata de un asunto relacionado con la pérdida de gananciales y no de alimentos.</w:t>
      </w:r>
    </w:p>
    <w:p w14:paraId="6356FF4B" w14:textId="77777777" w:rsidR="009F6861" w:rsidRPr="003417DD" w:rsidRDefault="009F6861" w:rsidP="00C870B2">
      <w:pPr>
        <w:pStyle w:val="corte4fondo"/>
        <w:spacing w:line="276" w:lineRule="auto"/>
        <w:ind w:left="851" w:hanging="284"/>
        <w:rPr>
          <w:bCs/>
          <w:sz w:val="26"/>
          <w:szCs w:val="26"/>
          <w:lang w:val="es-ES"/>
        </w:rPr>
      </w:pPr>
    </w:p>
    <w:p w14:paraId="22FF7FCF" w14:textId="3EF1715F" w:rsidR="00B76007" w:rsidRPr="003417DD" w:rsidRDefault="00D22B8B" w:rsidP="00C870B2">
      <w:pPr>
        <w:pStyle w:val="corte4fondo"/>
        <w:numPr>
          <w:ilvl w:val="0"/>
          <w:numId w:val="37"/>
        </w:numPr>
        <w:spacing w:line="276" w:lineRule="auto"/>
        <w:ind w:left="851" w:hanging="284"/>
        <w:rPr>
          <w:bCs/>
          <w:sz w:val="26"/>
          <w:szCs w:val="26"/>
          <w:lang w:val="es-ES"/>
        </w:rPr>
      </w:pPr>
      <w:r w:rsidRPr="003417DD">
        <w:rPr>
          <w:bCs/>
          <w:sz w:val="26"/>
          <w:szCs w:val="26"/>
          <w:lang w:val="es-ES"/>
        </w:rPr>
        <w:t xml:space="preserve">Asimismo, </w:t>
      </w:r>
      <w:r w:rsidR="00645AF7" w:rsidRPr="003417DD">
        <w:rPr>
          <w:bCs/>
          <w:sz w:val="26"/>
          <w:szCs w:val="26"/>
          <w:lang w:val="es-ES"/>
        </w:rPr>
        <w:t xml:space="preserve">que </w:t>
      </w:r>
      <w:r w:rsidR="00255924" w:rsidRPr="003417DD">
        <w:rPr>
          <w:bCs/>
          <w:sz w:val="26"/>
          <w:szCs w:val="26"/>
          <w:lang w:val="es-ES"/>
        </w:rPr>
        <w:t>en autos sí quedó acreditada la mala fe del demandado</w:t>
      </w:r>
      <w:r w:rsidRPr="003417DD">
        <w:rPr>
          <w:bCs/>
          <w:sz w:val="26"/>
          <w:szCs w:val="26"/>
          <w:lang w:val="es-ES"/>
        </w:rPr>
        <w:t xml:space="preserve">, </w:t>
      </w:r>
      <w:r w:rsidR="00402E1F" w:rsidRPr="003417DD">
        <w:rPr>
          <w:bCs/>
          <w:sz w:val="26"/>
          <w:szCs w:val="26"/>
          <w:lang w:val="es-ES"/>
        </w:rPr>
        <w:t>y que</w:t>
      </w:r>
      <w:r w:rsidR="001D6A2B" w:rsidRPr="003417DD">
        <w:rPr>
          <w:bCs/>
          <w:sz w:val="26"/>
          <w:szCs w:val="26"/>
          <w:lang w:val="es-ES"/>
        </w:rPr>
        <w:t xml:space="preserve"> el precepto legal no restringe ni suspende el derecho a la propiedad</w:t>
      </w:r>
      <w:r w:rsidR="00402E1F" w:rsidRPr="003417DD">
        <w:rPr>
          <w:bCs/>
          <w:sz w:val="26"/>
          <w:szCs w:val="26"/>
          <w:lang w:val="es-ES"/>
        </w:rPr>
        <w:t>, por lo que,</w:t>
      </w:r>
      <w:r w:rsidR="00615282" w:rsidRPr="003417DD">
        <w:rPr>
          <w:bCs/>
          <w:sz w:val="26"/>
          <w:szCs w:val="26"/>
          <w:lang w:val="es-ES"/>
        </w:rPr>
        <w:t xml:space="preserve"> al no haber argumentos en este sentido en la demanda de amparo, los magistrados debieron negar el amparo solicitado. </w:t>
      </w:r>
      <w:r w:rsidR="001D6A2B" w:rsidRPr="003417DD">
        <w:rPr>
          <w:bCs/>
          <w:sz w:val="26"/>
          <w:szCs w:val="26"/>
          <w:lang w:val="es-ES"/>
        </w:rPr>
        <w:t xml:space="preserve"> </w:t>
      </w:r>
    </w:p>
    <w:p w14:paraId="33F264EB" w14:textId="77777777" w:rsidR="00C07E8A" w:rsidRPr="003417DD" w:rsidRDefault="00C07E8A" w:rsidP="00C870B2">
      <w:pPr>
        <w:pStyle w:val="Prrafodelista"/>
        <w:spacing w:line="276" w:lineRule="auto"/>
        <w:ind w:left="851" w:hanging="284"/>
        <w:rPr>
          <w:bCs/>
          <w:sz w:val="26"/>
          <w:szCs w:val="26"/>
          <w:lang w:val="es-ES"/>
        </w:rPr>
      </w:pPr>
    </w:p>
    <w:p w14:paraId="6D065D5C" w14:textId="0C9570F3" w:rsidR="00402E1F" w:rsidRPr="003417DD" w:rsidRDefault="00C07E8A" w:rsidP="00C870B2">
      <w:pPr>
        <w:pStyle w:val="corte4fondo"/>
        <w:numPr>
          <w:ilvl w:val="0"/>
          <w:numId w:val="37"/>
        </w:numPr>
        <w:spacing w:line="276" w:lineRule="auto"/>
        <w:ind w:left="851" w:hanging="284"/>
        <w:rPr>
          <w:bCs/>
          <w:sz w:val="26"/>
          <w:szCs w:val="26"/>
          <w:lang w:val="es-ES"/>
        </w:rPr>
      </w:pPr>
      <w:r w:rsidRPr="003417DD">
        <w:rPr>
          <w:bCs/>
          <w:sz w:val="26"/>
          <w:szCs w:val="26"/>
          <w:lang w:val="es-ES"/>
        </w:rPr>
        <w:t>Que</w:t>
      </w:r>
      <w:r w:rsidR="00ED345C" w:rsidRPr="003417DD">
        <w:rPr>
          <w:bCs/>
          <w:sz w:val="26"/>
          <w:szCs w:val="26"/>
          <w:lang w:val="es-ES"/>
        </w:rPr>
        <w:t xml:space="preserve"> el artículo 17 const</w:t>
      </w:r>
      <w:r w:rsidR="00620980" w:rsidRPr="003417DD">
        <w:rPr>
          <w:bCs/>
          <w:sz w:val="26"/>
          <w:szCs w:val="26"/>
          <w:lang w:val="es-ES"/>
        </w:rPr>
        <w:t>i</w:t>
      </w:r>
      <w:r w:rsidR="00ED345C" w:rsidRPr="003417DD">
        <w:rPr>
          <w:bCs/>
          <w:sz w:val="26"/>
          <w:szCs w:val="26"/>
          <w:lang w:val="es-ES"/>
        </w:rPr>
        <w:t xml:space="preserve">tucional </w:t>
      </w:r>
      <w:r w:rsidR="00620980" w:rsidRPr="003417DD">
        <w:rPr>
          <w:bCs/>
          <w:sz w:val="26"/>
          <w:szCs w:val="26"/>
          <w:lang w:val="es-ES"/>
        </w:rPr>
        <w:t>no establece, como señaló el tribunal colegiado, la protección a la familia</w:t>
      </w:r>
      <w:r w:rsidR="00717923" w:rsidRPr="003417DD">
        <w:rPr>
          <w:bCs/>
          <w:sz w:val="26"/>
          <w:szCs w:val="26"/>
          <w:lang w:val="es-ES"/>
        </w:rPr>
        <w:t xml:space="preserve">, la igualdad de derechos y la adecuada equivalencia de responsabilidades. En cambio, establece </w:t>
      </w:r>
      <w:r w:rsidR="00DE00C4" w:rsidRPr="003417DD">
        <w:rPr>
          <w:bCs/>
          <w:sz w:val="26"/>
          <w:szCs w:val="26"/>
          <w:lang w:val="es-ES"/>
        </w:rPr>
        <w:t>que</w:t>
      </w:r>
      <w:r w:rsidR="00A917D1" w:rsidRPr="003417DD">
        <w:rPr>
          <w:bCs/>
          <w:sz w:val="26"/>
          <w:szCs w:val="26"/>
          <w:lang w:val="es-ES"/>
        </w:rPr>
        <w:t>,</w:t>
      </w:r>
      <w:r w:rsidR="00DE00C4" w:rsidRPr="003417DD">
        <w:rPr>
          <w:bCs/>
          <w:sz w:val="26"/>
          <w:szCs w:val="26"/>
          <w:lang w:val="es-ES"/>
        </w:rPr>
        <w:t xml:space="preserve"> sin afectar la igualdad entre las partes en el debido proceso, se debe privilegiar la solución de conflictos sobre los formalismos del procedimiento. </w:t>
      </w:r>
    </w:p>
    <w:p w14:paraId="731DB976" w14:textId="77777777" w:rsidR="00DE5F6A" w:rsidRPr="003417DD" w:rsidRDefault="00DE5F6A" w:rsidP="00C870B2">
      <w:pPr>
        <w:pStyle w:val="corte4fondo"/>
        <w:spacing w:line="276" w:lineRule="auto"/>
        <w:ind w:left="851" w:hanging="284"/>
        <w:rPr>
          <w:bCs/>
          <w:sz w:val="26"/>
          <w:szCs w:val="26"/>
          <w:lang w:val="es-ES"/>
        </w:rPr>
      </w:pPr>
    </w:p>
    <w:p w14:paraId="05451ED1" w14:textId="3B223115" w:rsidR="00B66CF6" w:rsidRPr="003417DD" w:rsidRDefault="00A917D1" w:rsidP="00C870B2">
      <w:pPr>
        <w:pStyle w:val="corte4fondo"/>
        <w:numPr>
          <w:ilvl w:val="0"/>
          <w:numId w:val="37"/>
        </w:numPr>
        <w:spacing w:line="276" w:lineRule="auto"/>
        <w:ind w:left="851" w:hanging="284"/>
        <w:rPr>
          <w:bCs/>
          <w:sz w:val="26"/>
          <w:szCs w:val="26"/>
          <w:lang w:val="es-ES"/>
        </w:rPr>
      </w:pPr>
      <w:r w:rsidRPr="003417DD">
        <w:rPr>
          <w:bCs/>
          <w:sz w:val="26"/>
          <w:szCs w:val="26"/>
          <w:lang w:val="es-ES"/>
        </w:rPr>
        <w:t>Que</w:t>
      </w:r>
      <w:r w:rsidR="006F1F36">
        <w:rPr>
          <w:bCs/>
          <w:sz w:val="26"/>
          <w:szCs w:val="26"/>
          <w:lang w:val="es-ES"/>
        </w:rPr>
        <w:t>,</w:t>
      </w:r>
      <w:r w:rsidRPr="003417DD">
        <w:rPr>
          <w:bCs/>
          <w:sz w:val="26"/>
          <w:szCs w:val="26"/>
          <w:lang w:val="es-ES"/>
        </w:rPr>
        <w:t xml:space="preserve"> al adoptar la resolución recurrida, el tribunal colegiado </w:t>
      </w:r>
      <w:r w:rsidR="005A3070" w:rsidRPr="003417DD">
        <w:rPr>
          <w:bCs/>
          <w:sz w:val="26"/>
          <w:szCs w:val="26"/>
          <w:lang w:val="es-ES"/>
        </w:rPr>
        <w:t xml:space="preserve">omitió aplicar las jurisprudencias </w:t>
      </w:r>
      <w:r w:rsidR="003655AB" w:rsidRPr="003417DD">
        <w:rPr>
          <w:bCs/>
          <w:sz w:val="26"/>
          <w:szCs w:val="26"/>
          <w:lang w:val="es-ES"/>
        </w:rPr>
        <w:t>“</w:t>
      </w:r>
      <w:r w:rsidR="00C65124" w:rsidRPr="003417DD">
        <w:rPr>
          <w:sz w:val="26"/>
          <w:szCs w:val="26"/>
          <w:lang w:val="es-ES"/>
        </w:rPr>
        <w:t>AMPARO DIRECTO EN REVISIÓN. SON INOPERANTES LOS AGRAVIOS QUE SE LIMITAN A EXPONER LA INDEBIDA APLICACIÓN DE UN ARTÍCULO DE LA LEY DE AMPARO, SIN APORTAR ARGUMENTOS PARA DEMOSTRAR SU INCONSTITUCIONALIDAD.</w:t>
      </w:r>
      <w:r w:rsidR="003655AB" w:rsidRPr="003417DD">
        <w:rPr>
          <w:sz w:val="26"/>
          <w:szCs w:val="26"/>
          <w:lang w:val="es-ES"/>
        </w:rPr>
        <w:t>”</w:t>
      </w:r>
      <w:r w:rsidR="00C65124" w:rsidRPr="003417DD">
        <w:rPr>
          <w:rStyle w:val="Refdenotaalpie"/>
          <w:sz w:val="26"/>
          <w:szCs w:val="26"/>
          <w:lang w:val="es-ES"/>
        </w:rPr>
        <w:footnoteReference w:id="11"/>
      </w:r>
      <w:r w:rsidR="003B514E" w:rsidRPr="003417DD">
        <w:rPr>
          <w:sz w:val="26"/>
          <w:szCs w:val="26"/>
          <w:lang w:val="es-ES"/>
        </w:rPr>
        <w:t>,</w:t>
      </w:r>
      <w:r w:rsidR="00916045" w:rsidRPr="003417DD">
        <w:rPr>
          <w:sz w:val="26"/>
          <w:szCs w:val="26"/>
          <w:lang w:val="es-ES"/>
        </w:rPr>
        <w:t xml:space="preserve"> </w:t>
      </w:r>
      <w:r w:rsidR="0093415B" w:rsidRPr="003417DD">
        <w:rPr>
          <w:sz w:val="26"/>
          <w:szCs w:val="26"/>
          <w:lang w:val="es-ES"/>
        </w:rPr>
        <w:t>“</w:t>
      </w:r>
      <w:r w:rsidR="0002647D" w:rsidRPr="003417DD">
        <w:rPr>
          <w:sz w:val="26"/>
          <w:szCs w:val="26"/>
          <w:lang w:val="es-ES"/>
        </w:rPr>
        <w:t>REVISIÓN EN AMPARO DIRECTO. SON INOPERANTES LOS AGRAVIOS DIRIGIDOS A IMPUGNAR LA CONSTITUCIONALIDAD DE ALGÚN PRECEPTO DE LA LEY DE AMPARO, SI EL RECURRENTE SE LIMITA A REFERIR QUE ES INCONSTITUCIONAL, SIN EXPRESAR ARGUMENTOS LÓGICO JURÍDICOS TENDENTES A DEMOSTRARLO.”</w:t>
      </w:r>
      <w:r w:rsidR="0002647D" w:rsidRPr="003417DD">
        <w:rPr>
          <w:rStyle w:val="Refdenotaalpie"/>
          <w:sz w:val="26"/>
          <w:szCs w:val="26"/>
          <w:lang w:val="es-ES"/>
        </w:rPr>
        <w:footnoteReference w:id="12"/>
      </w:r>
      <w:r w:rsidR="00EF620D" w:rsidRPr="003417DD">
        <w:rPr>
          <w:sz w:val="26"/>
          <w:szCs w:val="26"/>
          <w:lang w:val="es-ES"/>
        </w:rPr>
        <w:t>,</w:t>
      </w:r>
      <w:r w:rsidR="003B514E" w:rsidRPr="003417DD">
        <w:rPr>
          <w:sz w:val="26"/>
          <w:szCs w:val="26"/>
          <w:lang w:val="es-ES"/>
        </w:rPr>
        <w:t xml:space="preserve"> </w:t>
      </w:r>
      <w:r w:rsidR="00845DFB" w:rsidRPr="003417DD">
        <w:rPr>
          <w:sz w:val="26"/>
          <w:szCs w:val="26"/>
          <w:lang w:val="es-ES"/>
        </w:rPr>
        <w:t xml:space="preserve">“AGRAVIOS </w:t>
      </w:r>
      <w:r w:rsidR="00845DFB" w:rsidRPr="003417DD">
        <w:rPr>
          <w:sz w:val="26"/>
          <w:szCs w:val="26"/>
          <w:lang w:val="es-ES"/>
        </w:rPr>
        <w:lastRenderedPageBreak/>
        <w:t>INSUFICIENTES.”</w:t>
      </w:r>
      <w:r w:rsidR="00845DFB" w:rsidRPr="003417DD">
        <w:rPr>
          <w:rStyle w:val="Refdenotaalpie"/>
          <w:sz w:val="26"/>
          <w:szCs w:val="26"/>
          <w:lang w:val="es-ES"/>
        </w:rPr>
        <w:footnoteReference w:id="13"/>
      </w:r>
      <w:r w:rsidR="00EF620D" w:rsidRPr="003417DD">
        <w:rPr>
          <w:sz w:val="26"/>
          <w:szCs w:val="26"/>
          <w:lang w:val="es-ES"/>
        </w:rPr>
        <w:t xml:space="preserve"> y “REVISIÓN EN AMPARO DIRECTO. SON INOPERANTES LOS AGRAVIOS DIRIGIDOS A IMPUGNAR LA CONSTITUCIONALIDAD DE ALGÚN PRECEPTO DE LA LEY DE AMPARO, SI EL RECURRENTE SE LIMITA A REFERIR QUE ES INCONSTITUCIONAL, SIN EXPRESAR ARGUMENTOS </w:t>
      </w:r>
      <w:r w:rsidR="00037C89" w:rsidRPr="003417DD">
        <w:rPr>
          <w:sz w:val="26"/>
          <w:szCs w:val="26"/>
          <w:lang w:val="es-ES"/>
        </w:rPr>
        <w:t>LÓGICO</w:t>
      </w:r>
      <w:r w:rsidR="00470083">
        <w:rPr>
          <w:sz w:val="26"/>
          <w:szCs w:val="26"/>
          <w:lang w:val="es-ES"/>
        </w:rPr>
        <w:t xml:space="preserve"> </w:t>
      </w:r>
      <w:r w:rsidR="00037C89" w:rsidRPr="003417DD">
        <w:rPr>
          <w:sz w:val="26"/>
          <w:szCs w:val="26"/>
          <w:lang w:val="es-ES"/>
        </w:rPr>
        <w:t>JURÍDICOS</w:t>
      </w:r>
      <w:r w:rsidR="00EF620D" w:rsidRPr="003417DD">
        <w:rPr>
          <w:sz w:val="26"/>
          <w:szCs w:val="26"/>
          <w:lang w:val="es-ES"/>
        </w:rPr>
        <w:t xml:space="preserve"> TENDENTES A DEMOSTRARLO.”</w:t>
      </w:r>
      <w:r w:rsidR="00EF620D" w:rsidRPr="003417DD">
        <w:rPr>
          <w:rStyle w:val="Refdenotaalpie"/>
          <w:sz w:val="26"/>
          <w:szCs w:val="26"/>
          <w:lang w:val="es-ES"/>
        </w:rPr>
        <w:footnoteReference w:id="14"/>
      </w:r>
      <w:r w:rsidR="009F0D73" w:rsidRPr="003417DD">
        <w:rPr>
          <w:sz w:val="26"/>
          <w:szCs w:val="26"/>
          <w:lang w:val="es-ES"/>
        </w:rPr>
        <w:t xml:space="preserve"> </w:t>
      </w:r>
      <w:r w:rsidR="0081176A" w:rsidRPr="003417DD">
        <w:rPr>
          <w:sz w:val="26"/>
          <w:szCs w:val="26"/>
          <w:lang w:val="es-ES"/>
        </w:rPr>
        <w:t xml:space="preserve">Estas tesis, señala, implican que </w:t>
      </w:r>
      <w:r w:rsidR="008D2487" w:rsidRPr="003417DD">
        <w:rPr>
          <w:sz w:val="26"/>
          <w:szCs w:val="26"/>
          <w:lang w:val="es-ES"/>
        </w:rPr>
        <w:t>los conceptos de violación debieron estudiarse conforme a lo planteado por el quejoso</w:t>
      </w:r>
      <w:r w:rsidR="005D6D72" w:rsidRPr="003417DD">
        <w:rPr>
          <w:sz w:val="26"/>
          <w:szCs w:val="26"/>
          <w:lang w:val="es-ES"/>
        </w:rPr>
        <w:t xml:space="preserve">. </w:t>
      </w:r>
    </w:p>
    <w:p w14:paraId="3227DE5F" w14:textId="77777777" w:rsidR="00313609" w:rsidRPr="003417DD" w:rsidRDefault="00313609" w:rsidP="00C870B2">
      <w:pPr>
        <w:pStyle w:val="Prrafodelista"/>
        <w:spacing w:line="276" w:lineRule="auto"/>
        <w:ind w:left="851" w:hanging="284"/>
        <w:rPr>
          <w:bCs/>
          <w:sz w:val="26"/>
          <w:szCs w:val="26"/>
          <w:lang w:val="es-ES"/>
        </w:rPr>
      </w:pPr>
    </w:p>
    <w:p w14:paraId="01DA6380" w14:textId="2CD8BD57" w:rsidR="00313609" w:rsidRPr="003417DD" w:rsidRDefault="008C0F57" w:rsidP="00C870B2">
      <w:pPr>
        <w:pStyle w:val="corte4fondo"/>
        <w:numPr>
          <w:ilvl w:val="0"/>
          <w:numId w:val="37"/>
        </w:numPr>
        <w:spacing w:line="276" w:lineRule="auto"/>
        <w:ind w:left="851" w:hanging="284"/>
        <w:rPr>
          <w:bCs/>
          <w:sz w:val="26"/>
          <w:szCs w:val="26"/>
          <w:lang w:val="es-ES"/>
        </w:rPr>
      </w:pPr>
      <w:r w:rsidRPr="003417DD">
        <w:rPr>
          <w:b/>
          <w:sz w:val="26"/>
          <w:szCs w:val="26"/>
          <w:lang w:val="es-ES"/>
        </w:rPr>
        <w:t>Segundo.</w:t>
      </w:r>
      <w:r w:rsidRPr="003417DD">
        <w:rPr>
          <w:bCs/>
          <w:sz w:val="26"/>
          <w:szCs w:val="26"/>
          <w:lang w:val="es-ES"/>
        </w:rPr>
        <w:t xml:space="preserve"> La revisionista </w:t>
      </w:r>
      <w:r w:rsidR="00F30DDA" w:rsidRPr="003417DD">
        <w:rPr>
          <w:bCs/>
          <w:sz w:val="26"/>
          <w:szCs w:val="26"/>
          <w:lang w:val="es-ES"/>
        </w:rPr>
        <w:t xml:space="preserve">señala que </w:t>
      </w:r>
      <w:r w:rsidR="00892596" w:rsidRPr="003417DD">
        <w:rPr>
          <w:bCs/>
          <w:sz w:val="26"/>
          <w:szCs w:val="26"/>
          <w:lang w:val="es-ES"/>
        </w:rPr>
        <w:t>la declaración de</w:t>
      </w:r>
      <w:r w:rsidR="00F30DDA" w:rsidRPr="003417DD">
        <w:rPr>
          <w:bCs/>
          <w:sz w:val="26"/>
          <w:szCs w:val="26"/>
          <w:lang w:val="es-ES"/>
        </w:rPr>
        <w:t xml:space="preserve"> inconstitucionalidad del artículo 336 del </w:t>
      </w:r>
      <w:r w:rsidR="001F6ACA" w:rsidRPr="003417DD">
        <w:rPr>
          <w:bCs/>
          <w:sz w:val="26"/>
          <w:szCs w:val="26"/>
          <w:lang w:val="es-ES"/>
        </w:rPr>
        <w:t>Código Civil del Estado de Jalisco</w:t>
      </w:r>
      <w:r w:rsidR="00496E98" w:rsidRPr="003417DD">
        <w:rPr>
          <w:bCs/>
          <w:sz w:val="26"/>
          <w:szCs w:val="26"/>
          <w:lang w:val="es-ES"/>
        </w:rPr>
        <w:t xml:space="preserve"> violenta en su perjuicio lo dispuesto por los artículos 17 y 18 </w:t>
      </w:r>
      <w:r w:rsidR="00C2260F" w:rsidRPr="003417DD">
        <w:rPr>
          <w:bCs/>
          <w:sz w:val="26"/>
          <w:szCs w:val="26"/>
          <w:lang w:val="es-ES"/>
        </w:rPr>
        <w:t>de la Ley de Amparo que establecen claramente el término para presentar una demanda de amp</w:t>
      </w:r>
      <w:r w:rsidR="00066073" w:rsidRPr="003417DD">
        <w:rPr>
          <w:bCs/>
          <w:sz w:val="26"/>
          <w:szCs w:val="26"/>
          <w:lang w:val="es-ES"/>
        </w:rPr>
        <w:t>aro</w:t>
      </w:r>
      <w:r w:rsidR="00320CFB" w:rsidRPr="003417DD">
        <w:rPr>
          <w:bCs/>
          <w:sz w:val="26"/>
          <w:szCs w:val="26"/>
          <w:lang w:val="es-ES"/>
        </w:rPr>
        <w:t xml:space="preserve">. </w:t>
      </w:r>
      <w:r w:rsidR="00E57F18" w:rsidRPr="003417DD">
        <w:rPr>
          <w:bCs/>
          <w:sz w:val="26"/>
          <w:szCs w:val="26"/>
          <w:lang w:val="es-ES"/>
        </w:rPr>
        <w:t>Considera que de manera incorrecta</w:t>
      </w:r>
      <w:r w:rsidR="00C01749" w:rsidRPr="003417DD">
        <w:rPr>
          <w:bCs/>
          <w:sz w:val="26"/>
          <w:szCs w:val="26"/>
          <w:lang w:val="es-ES"/>
        </w:rPr>
        <w:t xml:space="preserve"> el tribunal colegiado </w:t>
      </w:r>
      <w:r w:rsidR="00E57F18" w:rsidRPr="003417DD">
        <w:rPr>
          <w:bCs/>
          <w:sz w:val="26"/>
          <w:szCs w:val="26"/>
          <w:lang w:val="es-ES"/>
        </w:rPr>
        <w:t>estimó</w:t>
      </w:r>
      <w:r w:rsidR="00C01749" w:rsidRPr="003417DD">
        <w:rPr>
          <w:bCs/>
          <w:sz w:val="26"/>
          <w:szCs w:val="26"/>
          <w:lang w:val="es-ES"/>
        </w:rPr>
        <w:t xml:space="preserve"> que en la sentencia del 8 de diciembre de 2021 por primera vez se concretaron las consecuencias jurídicas del artículo 336 reclamado en la esfera de derechos del quejoso</w:t>
      </w:r>
      <w:r w:rsidR="0032023F" w:rsidRPr="003417DD">
        <w:rPr>
          <w:bCs/>
          <w:sz w:val="26"/>
          <w:szCs w:val="26"/>
          <w:lang w:val="es-ES"/>
        </w:rPr>
        <w:t>.</w:t>
      </w:r>
      <w:r w:rsidR="00C01749" w:rsidRPr="003417DD">
        <w:rPr>
          <w:bCs/>
          <w:sz w:val="26"/>
          <w:szCs w:val="26"/>
          <w:lang w:val="es-ES"/>
        </w:rPr>
        <w:t xml:space="preserve"> </w:t>
      </w:r>
    </w:p>
    <w:p w14:paraId="785FA871" w14:textId="77777777" w:rsidR="00381359" w:rsidRPr="003417DD" w:rsidRDefault="00381359" w:rsidP="00C870B2">
      <w:pPr>
        <w:pStyle w:val="Prrafodelista"/>
        <w:spacing w:line="276" w:lineRule="auto"/>
        <w:ind w:left="851" w:hanging="284"/>
        <w:rPr>
          <w:bCs/>
          <w:sz w:val="26"/>
          <w:szCs w:val="26"/>
          <w:lang w:val="es-ES"/>
        </w:rPr>
      </w:pPr>
    </w:p>
    <w:p w14:paraId="03745E2A" w14:textId="1DC77BAF" w:rsidR="000C3BD4" w:rsidRPr="00881AC1" w:rsidRDefault="006F1F36" w:rsidP="00DF2F0C">
      <w:pPr>
        <w:pStyle w:val="corte4fondo"/>
        <w:numPr>
          <w:ilvl w:val="0"/>
          <w:numId w:val="37"/>
        </w:numPr>
        <w:spacing w:line="276" w:lineRule="auto"/>
        <w:ind w:left="851" w:hanging="284"/>
        <w:rPr>
          <w:bCs/>
          <w:sz w:val="26"/>
          <w:szCs w:val="26"/>
          <w:lang w:val="es-ES"/>
        </w:rPr>
      </w:pPr>
      <w:r w:rsidRPr="00881AC1">
        <w:rPr>
          <w:bCs/>
          <w:sz w:val="26"/>
          <w:szCs w:val="26"/>
          <w:lang w:val="es-ES"/>
        </w:rPr>
        <w:t>Argumenta</w:t>
      </w:r>
      <w:r w:rsidR="00381359" w:rsidRPr="00881AC1">
        <w:rPr>
          <w:bCs/>
          <w:sz w:val="26"/>
          <w:szCs w:val="26"/>
          <w:lang w:val="es-ES"/>
        </w:rPr>
        <w:t xml:space="preserve"> que la resolución del 12 de julio de 2021</w:t>
      </w:r>
      <w:r w:rsidR="00E2126F" w:rsidRPr="00881AC1">
        <w:rPr>
          <w:bCs/>
          <w:sz w:val="26"/>
          <w:szCs w:val="26"/>
          <w:lang w:val="es-ES"/>
        </w:rPr>
        <w:t>, que no fue recurrida por el quejoso, fue la primera en la que se concretaron los efectos de la norma en la esfera jurídica del quejoso</w:t>
      </w:r>
      <w:r w:rsidR="00AE0274" w:rsidRPr="00881AC1">
        <w:rPr>
          <w:bCs/>
          <w:sz w:val="26"/>
          <w:szCs w:val="26"/>
          <w:lang w:val="es-ES"/>
        </w:rPr>
        <w:t xml:space="preserve">, por lo que la demanda se encuentra fuera de término. </w:t>
      </w:r>
      <w:r w:rsidR="00230842" w:rsidRPr="00881AC1">
        <w:rPr>
          <w:bCs/>
          <w:sz w:val="26"/>
          <w:szCs w:val="26"/>
          <w:lang w:val="es-ES"/>
        </w:rPr>
        <w:t xml:space="preserve">Esta sentencia de apelación fue objeto del juicio de amparo </w:t>
      </w:r>
      <w:r w:rsidR="00230842" w:rsidRPr="00881AC1">
        <w:rPr>
          <w:sz w:val="26"/>
          <w:szCs w:val="26"/>
          <w:lang w:val="es-ES"/>
        </w:rPr>
        <w:t>384/2021</w:t>
      </w:r>
      <w:r w:rsidR="00230842" w:rsidRPr="00881AC1">
        <w:rPr>
          <w:b/>
          <w:bCs/>
          <w:sz w:val="26"/>
          <w:szCs w:val="26"/>
          <w:lang w:val="es-ES"/>
        </w:rPr>
        <w:t xml:space="preserve"> </w:t>
      </w:r>
      <w:r w:rsidR="00230842" w:rsidRPr="00881AC1">
        <w:rPr>
          <w:bCs/>
          <w:sz w:val="26"/>
          <w:szCs w:val="26"/>
          <w:lang w:val="es-ES"/>
        </w:rPr>
        <w:t xml:space="preserve">previo, </w:t>
      </w:r>
      <w:r w:rsidR="00986239" w:rsidRPr="00881AC1">
        <w:rPr>
          <w:bCs/>
          <w:sz w:val="26"/>
          <w:szCs w:val="26"/>
          <w:lang w:val="es-ES"/>
        </w:rPr>
        <w:t xml:space="preserve">en el que se determinó que no existían pruebas contundentes de que únicamente el demandado hubiera actuado de mala fe al contraer su segundo matrimonio. </w:t>
      </w:r>
    </w:p>
    <w:p w14:paraId="499FEEE4" w14:textId="77777777" w:rsidR="00103F59" w:rsidRPr="003417DD" w:rsidRDefault="00103F59" w:rsidP="00C870B2">
      <w:pPr>
        <w:pStyle w:val="corte4fondo"/>
        <w:spacing w:line="276" w:lineRule="auto"/>
        <w:ind w:left="851" w:hanging="284"/>
        <w:rPr>
          <w:bCs/>
          <w:sz w:val="26"/>
          <w:szCs w:val="26"/>
          <w:lang w:val="es-ES"/>
        </w:rPr>
      </w:pPr>
    </w:p>
    <w:p w14:paraId="05B8AFB6" w14:textId="4ACC386B" w:rsidR="00056B3C" w:rsidRPr="00AC19EB" w:rsidRDefault="00AF57AB" w:rsidP="005D1D88">
      <w:pPr>
        <w:pStyle w:val="corte4fondo"/>
        <w:numPr>
          <w:ilvl w:val="0"/>
          <w:numId w:val="37"/>
        </w:numPr>
        <w:spacing w:line="276" w:lineRule="auto"/>
        <w:ind w:left="851" w:hanging="284"/>
        <w:rPr>
          <w:bCs/>
          <w:sz w:val="26"/>
          <w:szCs w:val="26"/>
          <w:lang w:val="es-ES"/>
        </w:rPr>
      </w:pPr>
      <w:r w:rsidRPr="00AC19EB">
        <w:rPr>
          <w:bCs/>
          <w:sz w:val="26"/>
          <w:szCs w:val="26"/>
          <w:lang w:val="es-ES"/>
        </w:rPr>
        <w:t>Por ello, el quejoso debió impugnar el asunto desde su primera aplicación y su demanda de amparo es extemporánea</w:t>
      </w:r>
      <w:r w:rsidR="00E74B67" w:rsidRPr="00AC19EB">
        <w:rPr>
          <w:bCs/>
          <w:sz w:val="26"/>
          <w:szCs w:val="26"/>
          <w:lang w:val="es-ES"/>
        </w:rPr>
        <w:t xml:space="preserve">. En este sentido, plantea que el quejoso </w:t>
      </w:r>
      <w:r w:rsidR="00881D3F" w:rsidRPr="00AC19EB">
        <w:rPr>
          <w:bCs/>
          <w:sz w:val="26"/>
          <w:szCs w:val="26"/>
          <w:lang w:val="es-ES"/>
        </w:rPr>
        <w:t>consintió la naturaleza del artículo 336 del Código Civil de</w:t>
      </w:r>
      <w:r w:rsidR="00B93D9E" w:rsidRPr="00AC19EB">
        <w:rPr>
          <w:bCs/>
          <w:sz w:val="26"/>
          <w:szCs w:val="26"/>
          <w:lang w:val="es-ES"/>
        </w:rPr>
        <w:t>l</w:t>
      </w:r>
      <w:r w:rsidR="00881D3F" w:rsidRPr="00AC19EB">
        <w:rPr>
          <w:bCs/>
          <w:sz w:val="26"/>
          <w:szCs w:val="26"/>
          <w:lang w:val="es-ES"/>
        </w:rPr>
        <w:t xml:space="preserve"> Estado de Jalisco y, contrario a lo determinado, ello resultaba suficiente para negar el amparo. </w:t>
      </w:r>
    </w:p>
    <w:p w14:paraId="4E6C250E" w14:textId="77777777" w:rsidR="00056B3C" w:rsidRPr="00A252D1" w:rsidRDefault="00056B3C" w:rsidP="00C870B2">
      <w:pPr>
        <w:pStyle w:val="Prrafodelista"/>
        <w:spacing w:line="276" w:lineRule="auto"/>
        <w:ind w:left="851" w:hanging="284"/>
        <w:rPr>
          <w:rFonts w:ascii="Arial" w:hAnsi="Arial" w:cs="Arial"/>
          <w:bCs/>
          <w:sz w:val="28"/>
          <w:szCs w:val="28"/>
          <w:lang w:val="es-ES"/>
        </w:rPr>
      </w:pPr>
    </w:p>
    <w:p w14:paraId="14FCDC3F" w14:textId="56EB41E1" w:rsidR="00B93E26" w:rsidRPr="00614A07" w:rsidRDefault="00881D3F" w:rsidP="00362453">
      <w:pPr>
        <w:pStyle w:val="corte4fondo"/>
        <w:numPr>
          <w:ilvl w:val="0"/>
          <w:numId w:val="37"/>
        </w:numPr>
        <w:spacing w:line="276" w:lineRule="auto"/>
        <w:ind w:left="851" w:hanging="284"/>
        <w:rPr>
          <w:bCs/>
          <w:sz w:val="26"/>
          <w:szCs w:val="26"/>
          <w:lang w:val="es-ES"/>
        </w:rPr>
      </w:pPr>
      <w:r w:rsidRPr="00614A07">
        <w:rPr>
          <w:b/>
          <w:sz w:val="26"/>
          <w:szCs w:val="26"/>
          <w:lang w:val="es-ES"/>
        </w:rPr>
        <w:lastRenderedPageBreak/>
        <w:t>Tercero.</w:t>
      </w:r>
      <w:r w:rsidRPr="00614A07">
        <w:rPr>
          <w:bCs/>
          <w:sz w:val="26"/>
          <w:szCs w:val="26"/>
          <w:lang w:val="es-ES"/>
        </w:rPr>
        <w:t xml:space="preserve"> </w:t>
      </w:r>
      <w:r w:rsidR="00780D04" w:rsidRPr="00614A07">
        <w:rPr>
          <w:bCs/>
          <w:sz w:val="26"/>
          <w:szCs w:val="26"/>
          <w:lang w:val="es-ES"/>
        </w:rPr>
        <w:t xml:space="preserve">La revisionista argumenta que la resolución del juicio de amparo contraviene lo dispuesto en los artículos 14 y 16 constitucionales, al no fundar y motivar adecuadamente </w:t>
      </w:r>
      <w:r w:rsidR="006F5D8E" w:rsidRPr="00614A07">
        <w:rPr>
          <w:bCs/>
          <w:sz w:val="26"/>
          <w:szCs w:val="26"/>
          <w:lang w:val="es-ES"/>
        </w:rPr>
        <w:t>la declaración de</w:t>
      </w:r>
      <w:r w:rsidR="000C6493" w:rsidRPr="00614A07">
        <w:rPr>
          <w:bCs/>
          <w:sz w:val="26"/>
          <w:szCs w:val="26"/>
          <w:lang w:val="es-ES"/>
        </w:rPr>
        <w:t xml:space="preserve"> inconstitucionalidad</w:t>
      </w:r>
      <w:r w:rsidR="00AC019F" w:rsidRPr="00614A07">
        <w:rPr>
          <w:bCs/>
          <w:sz w:val="26"/>
          <w:szCs w:val="26"/>
          <w:lang w:val="es-ES"/>
        </w:rPr>
        <w:t xml:space="preserve">. </w:t>
      </w:r>
      <w:r w:rsidR="005B4FDF" w:rsidRPr="00614A07">
        <w:rPr>
          <w:bCs/>
          <w:sz w:val="26"/>
          <w:szCs w:val="26"/>
          <w:lang w:val="es-ES"/>
        </w:rPr>
        <w:t xml:space="preserve">Señala que no existe ninguna disposición constitucional que prohíba sancionar al cónyuge culpable cuando la disolución de la sociedad procede por la ilegitimidad del matrimonio. </w:t>
      </w:r>
      <w:r w:rsidR="00840507" w:rsidRPr="00614A07">
        <w:rPr>
          <w:bCs/>
          <w:sz w:val="26"/>
          <w:szCs w:val="26"/>
          <w:lang w:val="es-ES"/>
        </w:rPr>
        <w:t>En el mismo sentido, la revisionista considera que el tribunal colegiado no emitió argumentos suficientes para considerar desproporcional la sanción</w:t>
      </w:r>
      <w:r w:rsidR="00594C54" w:rsidRPr="00614A07">
        <w:rPr>
          <w:bCs/>
          <w:sz w:val="26"/>
          <w:szCs w:val="26"/>
          <w:lang w:val="es-ES"/>
        </w:rPr>
        <w:t>.</w:t>
      </w:r>
    </w:p>
    <w:p w14:paraId="269AF588" w14:textId="77777777" w:rsidR="00F10285" w:rsidRPr="00A252D1" w:rsidRDefault="00F10285" w:rsidP="00C870B2">
      <w:pPr>
        <w:pStyle w:val="corte4fondo"/>
        <w:spacing w:line="276" w:lineRule="auto"/>
        <w:ind w:left="851" w:hanging="284"/>
        <w:rPr>
          <w:bCs/>
          <w:sz w:val="28"/>
          <w:szCs w:val="28"/>
          <w:lang w:val="es-ES"/>
        </w:rPr>
      </w:pPr>
    </w:p>
    <w:p w14:paraId="60564FAB" w14:textId="5D9B28AF" w:rsidR="0025181B" w:rsidRPr="003417DD" w:rsidRDefault="00594C54" w:rsidP="00C870B2">
      <w:pPr>
        <w:pStyle w:val="corte4fondo"/>
        <w:numPr>
          <w:ilvl w:val="0"/>
          <w:numId w:val="37"/>
        </w:numPr>
        <w:spacing w:line="276" w:lineRule="auto"/>
        <w:ind w:left="851" w:hanging="284"/>
        <w:rPr>
          <w:bCs/>
          <w:sz w:val="26"/>
          <w:szCs w:val="26"/>
          <w:lang w:val="es-ES"/>
        </w:rPr>
      </w:pPr>
      <w:r w:rsidRPr="003417DD">
        <w:rPr>
          <w:bCs/>
          <w:sz w:val="26"/>
          <w:szCs w:val="26"/>
          <w:lang w:val="es-ES"/>
        </w:rPr>
        <w:t>Por otro lado, señala que la tesis de rubro “TEST DE PROPORCIONALIDAD. METODOLOGÍA PARA ANALIZAR LAS MEDIDAS LEGISLATIVAS QUE INTERVENGAN CON UN DERECHO FUNDAMENTAL”</w:t>
      </w:r>
      <w:r w:rsidR="00B4084A" w:rsidRPr="003417DD">
        <w:rPr>
          <w:rStyle w:val="Refdenotaalpie"/>
          <w:bCs/>
          <w:sz w:val="26"/>
          <w:szCs w:val="26"/>
          <w:lang w:val="es-ES"/>
        </w:rPr>
        <w:t xml:space="preserve"> </w:t>
      </w:r>
      <w:r w:rsidR="00B4084A" w:rsidRPr="003417DD">
        <w:rPr>
          <w:rStyle w:val="Refdenotaalpie"/>
          <w:bCs/>
          <w:sz w:val="26"/>
          <w:szCs w:val="26"/>
          <w:lang w:val="es-ES"/>
        </w:rPr>
        <w:footnoteReference w:id="15"/>
      </w:r>
      <w:r w:rsidRPr="003417DD">
        <w:rPr>
          <w:bCs/>
          <w:sz w:val="26"/>
          <w:szCs w:val="26"/>
          <w:lang w:val="es-ES"/>
        </w:rPr>
        <w:t xml:space="preserve">, que sirvió de base al tribunal para la adopción de su resolución, </w:t>
      </w:r>
      <w:r w:rsidR="00D9794D" w:rsidRPr="003417DD">
        <w:rPr>
          <w:bCs/>
          <w:sz w:val="26"/>
          <w:szCs w:val="26"/>
          <w:lang w:val="es-ES"/>
        </w:rPr>
        <w:t xml:space="preserve">no resulta aplicable al asunto. </w:t>
      </w:r>
      <w:r w:rsidR="00227C96" w:rsidRPr="003417DD">
        <w:rPr>
          <w:bCs/>
          <w:sz w:val="26"/>
          <w:szCs w:val="26"/>
          <w:lang w:val="es-ES"/>
        </w:rPr>
        <w:t>Además, considera que la decisión adoptada con base en este criterio es errónea, porque la medida sí encuentra una justificación constitucionalmente válida</w:t>
      </w:r>
      <w:r w:rsidR="009B73FF" w:rsidRPr="003417DD">
        <w:rPr>
          <w:bCs/>
          <w:sz w:val="26"/>
          <w:szCs w:val="26"/>
          <w:lang w:val="es-ES"/>
        </w:rPr>
        <w:t xml:space="preserve">, conforme al artículo 4º constitucional, </w:t>
      </w:r>
      <w:r w:rsidR="00560A06" w:rsidRPr="003417DD">
        <w:rPr>
          <w:bCs/>
          <w:sz w:val="26"/>
          <w:szCs w:val="26"/>
          <w:lang w:val="es-ES"/>
        </w:rPr>
        <w:t xml:space="preserve">es idónea porque pretende garantizar que la actuación de los consortes sea conforme a derecho en atención a la protección de la familia. </w:t>
      </w:r>
    </w:p>
    <w:p w14:paraId="53EED79C" w14:textId="77777777" w:rsidR="0060016A" w:rsidRPr="00A252D1" w:rsidRDefault="0060016A" w:rsidP="00C870B2">
      <w:pPr>
        <w:pStyle w:val="corte4fondo"/>
        <w:spacing w:line="276" w:lineRule="auto"/>
        <w:ind w:left="851" w:hanging="284"/>
        <w:rPr>
          <w:bCs/>
          <w:sz w:val="28"/>
          <w:szCs w:val="28"/>
          <w:lang w:val="es-ES"/>
        </w:rPr>
      </w:pPr>
    </w:p>
    <w:p w14:paraId="71FDC154" w14:textId="0920E46B" w:rsidR="009A1A1B" w:rsidRPr="003417DD" w:rsidRDefault="00560A06" w:rsidP="00C870B2">
      <w:pPr>
        <w:pStyle w:val="corte4fondo"/>
        <w:numPr>
          <w:ilvl w:val="0"/>
          <w:numId w:val="37"/>
        </w:numPr>
        <w:spacing w:line="276" w:lineRule="auto"/>
        <w:ind w:left="851" w:hanging="284"/>
        <w:rPr>
          <w:bCs/>
          <w:sz w:val="26"/>
          <w:szCs w:val="26"/>
          <w:lang w:val="es-ES"/>
        </w:rPr>
      </w:pPr>
      <w:r w:rsidRPr="003417DD">
        <w:rPr>
          <w:bCs/>
          <w:sz w:val="26"/>
          <w:szCs w:val="26"/>
          <w:lang w:val="es-ES"/>
        </w:rPr>
        <w:t xml:space="preserve">Asimismo, </w:t>
      </w:r>
      <w:r w:rsidR="0025181B" w:rsidRPr="003417DD">
        <w:rPr>
          <w:bCs/>
          <w:sz w:val="26"/>
          <w:szCs w:val="26"/>
          <w:lang w:val="es-ES"/>
        </w:rPr>
        <w:t>considera que no se trata de una medida desproporcionada, pues pretende proteger a la familia y, específicamente, al matrimonio</w:t>
      </w:r>
      <w:r w:rsidR="001F4ECE">
        <w:rPr>
          <w:bCs/>
          <w:sz w:val="26"/>
          <w:szCs w:val="26"/>
          <w:lang w:val="es-ES"/>
        </w:rPr>
        <w:t>, que</w:t>
      </w:r>
      <w:r w:rsidR="001F4ECE" w:rsidRPr="001F4ECE">
        <w:rPr>
          <w:bCs/>
          <w:sz w:val="26"/>
          <w:szCs w:val="26"/>
          <w:lang w:val="es-ES"/>
        </w:rPr>
        <w:t xml:space="preserve"> constituye la figura más valiosa para la formación de la familia, de carácter público e interés social</w:t>
      </w:r>
      <w:r w:rsidR="0025181B" w:rsidRPr="003417DD">
        <w:rPr>
          <w:bCs/>
          <w:sz w:val="26"/>
          <w:szCs w:val="26"/>
          <w:lang w:val="es-ES"/>
        </w:rPr>
        <w:t xml:space="preserve">. Señala que las apreciaciones del tribunal colegiado </w:t>
      </w:r>
      <w:r w:rsidR="00695135" w:rsidRPr="003417DD">
        <w:rPr>
          <w:bCs/>
          <w:sz w:val="26"/>
          <w:szCs w:val="26"/>
          <w:lang w:val="es-ES"/>
        </w:rPr>
        <w:t>únicamente toman en cuenta el punto de vista económico</w:t>
      </w:r>
      <w:r w:rsidR="00AC19EB">
        <w:rPr>
          <w:bCs/>
          <w:sz w:val="26"/>
          <w:szCs w:val="26"/>
          <w:lang w:val="es-ES"/>
        </w:rPr>
        <w:t xml:space="preserve"> y</w:t>
      </w:r>
      <w:r w:rsidR="00307FCE" w:rsidRPr="003417DD">
        <w:rPr>
          <w:bCs/>
          <w:sz w:val="26"/>
          <w:szCs w:val="26"/>
          <w:lang w:val="es-ES"/>
        </w:rPr>
        <w:t xml:space="preserve"> </w:t>
      </w:r>
      <w:r w:rsidR="00695135" w:rsidRPr="003417DD">
        <w:rPr>
          <w:bCs/>
          <w:sz w:val="26"/>
          <w:szCs w:val="26"/>
          <w:lang w:val="es-ES"/>
        </w:rPr>
        <w:t>omiten analizar la importancia constitucional, institucional y social d</w:t>
      </w:r>
      <w:r w:rsidR="001F4ECE">
        <w:rPr>
          <w:bCs/>
          <w:sz w:val="26"/>
          <w:szCs w:val="26"/>
          <w:lang w:val="es-ES"/>
        </w:rPr>
        <w:t>e esta institución</w:t>
      </w:r>
      <w:r w:rsidR="009A1A1B" w:rsidRPr="003417DD">
        <w:rPr>
          <w:bCs/>
          <w:sz w:val="26"/>
          <w:szCs w:val="26"/>
          <w:lang w:val="es-ES"/>
        </w:rPr>
        <w:t xml:space="preserve">. </w:t>
      </w:r>
    </w:p>
    <w:p w14:paraId="46D7B730" w14:textId="77777777" w:rsidR="006D4683" w:rsidRPr="00A252D1" w:rsidRDefault="006D4683" w:rsidP="00C870B2">
      <w:pPr>
        <w:pStyle w:val="corte4fondo"/>
        <w:spacing w:line="276" w:lineRule="auto"/>
        <w:ind w:left="851" w:hanging="284"/>
        <w:rPr>
          <w:bCs/>
          <w:sz w:val="28"/>
          <w:szCs w:val="28"/>
          <w:lang w:val="es-ES"/>
        </w:rPr>
      </w:pPr>
    </w:p>
    <w:p w14:paraId="232E922A" w14:textId="048F1DD4" w:rsidR="00594C54" w:rsidRPr="003417DD" w:rsidRDefault="009A1A1B" w:rsidP="00470083">
      <w:pPr>
        <w:pStyle w:val="corte4fondo"/>
        <w:numPr>
          <w:ilvl w:val="0"/>
          <w:numId w:val="37"/>
        </w:numPr>
        <w:spacing w:line="276" w:lineRule="auto"/>
        <w:ind w:left="851" w:hanging="425"/>
        <w:rPr>
          <w:bCs/>
          <w:sz w:val="26"/>
          <w:szCs w:val="26"/>
          <w:lang w:val="es-ES"/>
        </w:rPr>
      </w:pPr>
      <w:r w:rsidRPr="003417DD">
        <w:rPr>
          <w:bCs/>
          <w:sz w:val="26"/>
          <w:szCs w:val="26"/>
          <w:lang w:val="es-ES"/>
        </w:rPr>
        <w:t xml:space="preserve">También considera que </w:t>
      </w:r>
      <w:r w:rsidR="00307FCE" w:rsidRPr="003417DD">
        <w:rPr>
          <w:bCs/>
          <w:sz w:val="26"/>
          <w:szCs w:val="26"/>
          <w:lang w:val="es-ES"/>
        </w:rPr>
        <w:t xml:space="preserve">la falta de una sanción ante estas conductas </w:t>
      </w:r>
      <w:r w:rsidR="009C25AA" w:rsidRPr="003417DD">
        <w:rPr>
          <w:bCs/>
          <w:sz w:val="26"/>
          <w:szCs w:val="26"/>
          <w:lang w:val="es-ES"/>
        </w:rPr>
        <w:t>permitiría</w:t>
      </w:r>
      <w:r w:rsidR="00C531E6" w:rsidRPr="003417DD">
        <w:rPr>
          <w:bCs/>
          <w:sz w:val="26"/>
          <w:szCs w:val="26"/>
          <w:lang w:val="es-ES"/>
        </w:rPr>
        <w:t xml:space="preserve"> la duplicidad de matrimonios ilícitos</w:t>
      </w:r>
      <w:r w:rsidR="00A23F05" w:rsidRPr="003417DD">
        <w:rPr>
          <w:bCs/>
          <w:sz w:val="26"/>
          <w:szCs w:val="26"/>
          <w:lang w:val="es-ES"/>
        </w:rPr>
        <w:t xml:space="preserve">, pues cualquier persona violentaría dicha institución a sabiendas de que no recibirá una sanción. </w:t>
      </w:r>
      <w:r w:rsidR="001A2CF0" w:rsidRPr="003417DD">
        <w:rPr>
          <w:bCs/>
          <w:sz w:val="26"/>
          <w:szCs w:val="26"/>
          <w:lang w:val="es-ES"/>
        </w:rPr>
        <w:t xml:space="preserve">En relación con los elementos que el tribunal colegiado estableció que debían considerarse con el fin de que la sanción no sea absoluta, </w:t>
      </w:r>
      <w:r w:rsidR="00490028" w:rsidRPr="003417DD">
        <w:rPr>
          <w:bCs/>
          <w:sz w:val="26"/>
          <w:szCs w:val="26"/>
          <w:lang w:val="es-ES"/>
        </w:rPr>
        <w:t>señaló</w:t>
      </w:r>
      <w:r w:rsidR="001A2CF0" w:rsidRPr="003417DD">
        <w:rPr>
          <w:bCs/>
          <w:sz w:val="26"/>
          <w:szCs w:val="26"/>
          <w:lang w:val="es-ES"/>
        </w:rPr>
        <w:t xml:space="preserve"> que </w:t>
      </w:r>
      <w:r w:rsidR="00C73E2A" w:rsidRPr="003417DD">
        <w:rPr>
          <w:bCs/>
          <w:sz w:val="26"/>
          <w:szCs w:val="26"/>
          <w:lang w:val="es-ES"/>
        </w:rPr>
        <w:t xml:space="preserve">la sentencia es contradictoria </w:t>
      </w:r>
      <w:r w:rsidR="00490028" w:rsidRPr="003417DD">
        <w:rPr>
          <w:bCs/>
          <w:sz w:val="26"/>
          <w:szCs w:val="26"/>
          <w:lang w:val="es-ES"/>
        </w:rPr>
        <w:t>d</w:t>
      </w:r>
      <w:r w:rsidR="00C73E2A" w:rsidRPr="003417DD">
        <w:rPr>
          <w:bCs/>
          <w:sz w:val="26"/>
          <w:szCs w:val="26"/>
          <w:lang w:val="es-ES"/>
        </w:rPr>
        <w:t xml:space="preserve">ado que no establece de manera específica </w:t>
      </w:r>
      <w:r w:rsidR="00490028" w:rsidRPr="003417DD">
        <w:rPr>
          <w:bCs/>
          <w:sz w:val="26"/>
          <w:szCs w:val="26"/>
          <w:lang w:val="es-ES"/>
        </w:rPr>
        <w:t xml:space="preserve">cómo deben valorarse </w:t>
      </w:r>
      <w:r w:rsidR="00C73E2A" w:rsidRPr="003417DD">
        <w:rPr>
          <w:bCs/>
          <w:sz w:val="26"/>
          <w:szCs w:val="26"/>
          <w:lang w:val="es-ES"/>
        </w:rPr>
        <w:t xml:space="preserve">esos elementos. </w:t>
      </w:r>
    </w:p>
    <w:p w14:paraId="0CC2935C" w14:textId="77777777" w:rsidR="007456FB" w:rsidRPr="00A252D1" w:rsidRDefault="007456FB" w:rsidP="00C870B2">
      <w:pPr>
        <w:pStyle w:val="Prrafodelista"/>
        <w:spacing w:line="276" w:lineRule="auto"/>
        <w:ind w:left="851" w:hanging="284"/>
        <w:rPr>
          <w:rFonts w:ascii="Arial" w:hAnsi="Arial" w:cs="Arial"/>
          <w:bCs/>
          <w:sz w:val="28"/>
          <w:szCs w:val="28"/>
          <w:lang w:val="es-ES"/>
        </w:rPr>
      </w:pPr>
    </w:p>
    <w:p w14:paraId="362D591C" w14:textId="3D6B62D8" w:rsidR="00C17948" w:rsidRPr="003417DD" w:rsidRDefault="006A32B3" w:rsidP="00C870B2">
      <w:pPr>
        <w:pStyle w:val="corte4fondo"/>
        <w:numPr>
          <w:ilvl w:val="0"/>
          <w:numId w:val="37"/>
        </w:numPr>
        <w:spacing w:line="276" w:lineRule="auto"/>
        <w:ind w:left="851" w:hanging="284"/>
        <w:rPr>
          <w:bCs/>
          <w:sz w:val="26"/>
          <w:szCs w:val="26"/>
          <w:lang w:val="es-ES"/>
        </w:rPr>
      </w:pPr>
      <w:r w:rsidRPr="003417DD">
        <w:rPr>
          <w:b/>
          <w:sz w:val="26"/>
          <w:szCs w:val="26"/>
          <w:lang w:val="es-ES"/>
        </w:rPr>
        <w:t>Cuart</w:t>
      </w:r>
      <w:r w:rsidR="00C17948" w:rsidRPr="003417DD">
        <w:rPr>
          <w:b/>
          <w:sz w:val="26"/>
          <w:szCs w:val="26"/>
          <w:lang w:val="es-ES"/>
        </w:rPr>
        <w:t>o.</w:t>
      </w:r>
      <w:r w:rsidR="00C17948" w:rsidRPr="003417DD">
        <w:rPr>
          <w:bCs/>
          <w:sz w:val="26"/>
          <w:szCs w:val="26"/>
          <w:lang w:val="es-ES"/>
        </w:rPr>
        <w:t xml:space="preserve"> </w:t>
      </w:r>
      <w:r w:rsidR="00624A78" w:rsidRPr="003417DD">
        <w:rPr>
          <w:bCs/>
          <w:sz w:val="26"/>
          <w:szCs w:val="26"/>
          <w:lang w:val="es-ES"/>
        </w:rPr>
        <w:t xml:space="preserve">La revisionista señala que </w:t>
      </w:r>
      <w:r w:rsidR="004C529E" w:rsidRPr="003417DD">
        <w:rPr>
          <w:bCs/>
          <w:sz w:val="26"/>
          <w:szCs w:val="26"/>
          <w:lang w:val="es-ES"/>
        </w:rPr>
        <w:t>la afirmación de que las personas que se divorcian y quienes se enfrentan a la nulidad de su matrimonio</w:t>
      </w:r>
      <w:r w:rsidR="002E55E3" w:rsidRPr="003417DD">
        <w:rPr>
          <w:bCs/>
          <w:sz w:val="26"/>
          <w:szCs w:val="26"/>
          <w:lang w:val="es-ES"/>
        </w:rPr>
        <w:t xml:space="preserve"> como la del presente caso</w:t>
      </w:r>
      <w:r w:rsidR="004C529E" w:rsidRPr="003417DD">
        <w:rPr>
          <w:bCs/>
          <w:sz w:val="26"/>
          <w:szCs w:val="26"/>
          <w:lang w:val="es-ES"/>
        </w:rPr>
        <w:t xml:space="preserve"> </w:t>
      </w:r>
      <w:r w:rsidR="002E55E3" w:rsidRPr="003417DD">
        <w:rPr>
          <w:bCs/>
          <w:sz w:val="26"/>
          <w:szCs w:val="26"/>
          <w:lang w:val="es-ES"/>
        </w:rPr>
        <w:t xml:space="preserve">están en condiciones esencialmente iguales es errónea. Lo anterior porque, como ocurrió en el caso, ante la nulidad con mala fe de una de las partes, el cónyuge contrae matrimonio a sabiendas de que existe un matrimonio previo sin disolver. En consecuencia, señala </w:t>
      </w:r>
      <w:r w:rsidR="00E84ABC">
        <w:rPr>
          <w:bCs/>
          <w:sz w:val="26"/>
          <w:szCs w:val="26"/>
          <w:lang w:val="es-ES"/>
        </w:rPr>
        <w:t xml:space="preserve">que </w:t>
      </w:r>
      <w:r w:rsidR="002E55E3" w:rsidRPr="003417DD">
        <w:rPr>
          <w:bCs/>
          <w:sz w:val="26"/>
          <w:szCs w:val="26"/>
          <w:lang w:val="es-ES"/>
        </w:rPr>
        <w:t xml:space="preserve">se trata de </w:t>
      </w:r>
      <w:r w:rsidR="0043514F" w:rsidRPr="003417DD">
        <w:rPr>
          <w:bCs/>
          <w:sz w:val="26"/>
          <w:szCs w:val="26"/>
          <w:lang w:val="es-ES"/>
        </w:rPr>
        <w:t xml:space="preserve">dos temas totalmente distintos en el que una de las partes sí puede considerarse culpable. </w:t>
      </w:r>
    </w:p>
    <w:p w14:paraId="554485EC" w14:textId="77777777" w:rsidR="006D4683" w:rsidRPr="00A252D1" w:rsidRDefault="006D4683" w:rsidP="00C870B2">
      <w:pPr>
        <w:pStyle w:val="corte4fondo"/>
        <w:spacing w:line="276" w:lineRule="auto"/>
        <w:ind w:left="851" w:hanging="284"/>
        <w:rPr>
          <w:bCs/>
          <w:sz w:val="28"/>
          <w:szCs w:val="28"/>
          <w:lang w:val="es-ES"/>
        </w:rPr>
      </w:pPr>
    </w:p>
    <w:p w14:paraId="64BDB483" w14:textId="243EBB74" w:rsidR="0043514F" w:rsidRPr="003417DD" w:rsidRDefault="00AE6AAD" w:rsidP="00C870B2">
      <w:pPr>
        <w:pStyle w:val="corte4fondo"/>
        <w:numPr>
          <w:ilvl w:val="0"/>
          <w:numId w:val="37"/>
        </w:numPr>
        <w:spacing w:line="276" w:lineRule="auto"/>
        <w:ind w:left="851" w:hanging="284"/>
        <w:rPr>
          <w:bCs/>
          <w:sz w:val="26"/>
          <w:szCs w:val="26"/>
          <w:lang w:val="es-ES"/>
        </w:rPr>
      </w:pPr>
      <w:r w:rsidRPr="003417DD">
        <w:rPr>
          <w:bCs/>
          <w:sz w:val="26"/>
          <w:szCs w:val="26"/>
          <w:lang w:val="es-ES"/>
        </w:rPr>
        <w:t xml:space="preserve">Además, considera que el tribunal colegiado no valoró adecuadamente la gravedad de la conducta de su contraparte, quien la mantuvo en el engaño durante </w:t>
      </w:r>
      <w:r w:rsidR="00037C89" w:rsidRPr="003417DD">
        <w:rPr>
          <w:bCs/>
          <w:sz w:val="26"/>
          <w:szCs w:val="26"/>
          <w:lang w:val="es-ES"/>
        </w:rPr>
        <w:t xml:space="preserve">casi todo </w:t>
      </w:r>
      <w:r w:rsidR="008502F3" w:rsidRPr="003417DD">
        <w:rPr>
          <w:bCs/>
          <w:sz w:val="26"/>
          <w:szCs w:val="26"/>
          <w:lang w:val="es-ES"/>
        </w:rPr>
        <w:t>el</w:t>
      </w:r>
      <w:r w:rsidR="00037C89" w:rsidRPr="003417DD">
        <w:rPr>
          <w:bCs/>
          <w:sz w:val="26"/>
          <w:szCs w:val="26"/>
          <w:lang w:val="es-ES"/>
        </w:rPr>
        <w:t xml:space="preserve"> tiempo que duró el</w:t>
      </w:r>
      <w:r w:rsidR="008502F3" w:rsidRPr="003417DD">
        <w:rPr>
          <w:bCs/>
          <w:sz w:val="26"/>
          <w:szCs w:val="26"/>
          <w:lang w:val="es-ES"/>
        </w:rPr>
        <w:t xml:space="preserve"> matrimonio</w:t>
      </w:r>
      <w:r w:rsidR="00AC263F" w:rsidRPr="003417DD">
        <w:rPr>
          <w:bCs/>
          <w:sz w:val="26"/>
          <w:szCs w:val="26"/>
          <w:lang w:val="es-ES"/>
        </w:rPr>
        <w:t>. Considera que la conducta del quejoso atenta contra la naturaleza y esencia de la institución del matrimonio, por lo que no debe ser le</w:t>
      </w:r>
      <w:r w:rsidR="00AC2E23" w:rsidRPr="003417DD">
        <w:rPr>
          <w:bCs/>
          <w:sz w:val="26"/>
          <w:szCs w:val="26"/>
          <w:lang w:val="es-ES"/>
        </w:rPr>
        <w:t>gi</w:t>
      </w:r>
      <w:r w:rsidR="00AC263F" w:rsidRPr="003417DD">
        <w:rPr>
          <w:bCs/>
          <w:sz w:val="26"/>
          <w:szCs w:val="26"/>
          <w:lang w:val="es-ES"/>
        </w:rPr>
        <w:t>timada</w:t>
      </w:r>
      <w:r w:rsidR="00F96718" w:rsidRPr="003417DD">
        <w:rPr>
          <w:bCs/>
          <w:sz w:val="26"/>
          <w:szCs w:val="26"/>
          <w:lang w:val="es-ES"/>
        </w:rPr>
        <w:t xml:space="preserve"> y que la resolución del tribunal colegiado, al analizar aisladamente el precepto</w:t>
      </w:r>
      <w:r w:rsidR="00733E31" w:rsidRPr="003417DD">
        <w:rPr>
          <w:bCs/>
          <w:sz w:val="26"/>
          <w:szCs w:val="26"/>
          <w:lang w:val="es-ES"/>
        </w:rPr>
        <w:t>,</w:t>
      </w:r>
      <w:r w:rsidR="00F96718" w:rsidRPr="003417DD">
        <w:rPr>
          <w:bCs/>
          <w:sz w:val="26"/>
          <w:szCs w:val="26"/>
          <w:lang w:val="es-ES"/>
        </w:rPr>
        <w:t xml:space="preserve"> derivó en una declaratoria de inconstitucionalidad errónea que debe ser revocada. </w:t>
      </w:r>
    </w:p>
    <w:p w14:paraId="6CE44F0A" w14:textId="77777777" w:rsidR="00C26F75" w:rsidRPr="00752356" w:rsidRDefault="00C26F75" w:rsidP="00352A29">
      <w:pPr>
        <w:pStyle w:val="corte4fondo"/>
        <w:ind w:hanging="567"/>
        <w:rPr>
          <w:sz w:val="26"/>
          <w:szCs w:val="26"/>
          <w:lang w:val="es-ES"/>
        </w:rPr>
      </w:pPr>
    </w:p>
    <w:p w14:paraId="0DB91744" w14:textId="3913CA2B" w:rsidR="003C79EE" w:rsidRPr="00752356" w:rsidRDefault="003C79EE" w:rsidP="00352A29">
      <w:pPr>
        <w:pStyle w:val="corte4fondo"/>
        <w:numPr>
          <w:ilvl w:val="0"/>
          <w:numId w:val="2"/>
        </w:numPr>
        <w:ind w:left="0" w:hanging="567"/>
        <w:rPr>
          <w:sz w:val="26"/>
          <w:szCs w:val="26"/>
          <w:lang w:val="es-ES"/>
        </w:rPr>
      </w:pPr>
      <w:r w:rsidRPr="00752356">
        <w:rPr>
          <w:b/>
          <w:bCs/>
          <w:sz w:val="26"/>
          <w:szCs w:val="26"/>
          <w:lang w:val="es-ES"/>
        </w:rPr>
        <w:t xml:space="preserve">Trámite ante </w:t>
      </w:r>
      <w:r w:rsidR="00CA303E" w:rsidRPr="00752356">
        <w:rPr>
          <w:b/>
          <w:bCs/>
          <w:sz w:val="26"/>
          <w:szCs w:val="26"/>
          <w:lang w:val="es-ES"/>
        </w:rPr>
        <w:t>esta</w:t>
      </w:r>
      <w:r w:rsidRPr="00752356">
        <w:rPr>
          <w:b/>
          <w:bCs/>
          <w:sz w:val="26"/>
          <w:szCs w:val="26"/>
          <w:lang w:val="es-ES"/>
        </w:rPr>
        <w:t xml:space="preserve"> Suprema Corte.</w:t>
      </w:r>
      <w:r w:rsidR="002F12C8" w:rsidRPr="00752356">
        <w:rPr>
          <w:b/>
          <w:bCs/>
          <w:sz w:val="26"/>
          <w:szCs w:val="26"/>
          <w:lang w:val="es-ES"/>
        </w:rPr>
        <w:t xml:space="preserve"> </w:t>
      </w:r>
      <w:r w:rsidR="002F12C8" w:rsidRPr="00752356">
        <w:rPr>
          <w:rFonts w:cs="Arial"/>
          <w:sz w:val="26"/>
          <w:szCs w:val="26"/>
          <w:lang w:val="es-ES"/>
        </w:rPr>
        <w:t xml:space="preserve">Por acuerdo de </w:t>
      </w:r>
      <w:r w:rsidR="00627128" w:rsidRPr="00752356">
        <w:rPr>
          <w:rFonts w:cs="Arial"/>
          <w:sz w:val="26"/>
          <w:szCs w:val="26"/>
          <w:lang w:val="es-ES"/>
        </w:rPr>
        <w:t>30 de agosto de 2022, el</w:t>
      </w:r>
      <w:r w:rsidR="002F12C8" w:rsidRPr="00752356">
        <w:rPr>
          <w:rFonts w:cs="Arial"/>
          <w:sz w:val="26"/>
          <w:szCs w:val="26"/>
          <w:lang w:val="es-ES"/>
        </w:rPr>
        <w:t xml:space="preserve"> </w:t>
      </w:r>
      <w:r w:rsidR="00101643" w:rsidRPr="00752356">
        <w:rPr>
          <w:rFonts w:cs="Arial"/>
          <w:sz w:val="26"/>
          <w:szCs w:val="26"/>
          <w:lang w:val="es-ES"/>
        </w:rPr>
        <w:t xml:space="preserve">entonces </w:t>
      </w:r>
      <w:r w:rsidR="00C57647" w:rsidRPr="00752356">
        <w:rPr>
          <w:rFonts w:cs="Arial"/>
          <w:sz w:val="26"/>
          <w:szCs w:val="26"/>
          <w:lang w:val="es-ES"/>
        </w:rPr>
        <w:t>presidente</w:t>
      </w:r>
      <w:r w:rsidR="002F12C8" w:rsidRPr="00752356">
        <w:rPr>
          <w:rFonts w:cs="Arial"/>
          <w:sz w:val="26"/>
          <w:szCs w:val="26"/>
          <w:lang w:val="es-ES"/>
        </w:rPr>
        <w:t xml:space="preserve"> de esta Suprema Corte de Justicia de la Nación ordenó formar y registrar el presente recurso de revisión. Con reserva de </w:t>
      </w:r>
      <w:r w:rsidR="002F12C8" w:rsidRPr="00752356">
        <w:rPr>
          <w:rFonts w:eastAsia="Calibri" w:cs="Arial"/>
          <w:sz w:val="26"/>
          <w:szCs w:val="26"/>
          <w:lang w:val="es-ES" w:eastAsia="es-ES"/>
        </w:rPr>
        <w:t xml:space="preserve">los motivos de improcedencia que en la especie pudieran existir, lo admitió y ordenó turnarlo al </w:t>
      </w:r>
      <w:r w:rsidR="00C57647" w:rsidRPr="00752356">
        <w:rPr>
          <w:rFonts w:eastAsia="Calibri" w:cs="Arial"/>
          <w:sz w:val="26"/>
          <w:szCs w:val="26"/>
          <w:lang w:val="es-ES" w:eastAsia="es-ES"/>
        </w:rPr>
        <w:t>m</w:t>
      </w:r>
      <w:r w:rsidR="002F12C8" w:rsidRPr="00752356">
        <w:rPr>
          <w:rFonts w:eastAsia="Calibri" w:cs="Arial"/>
          <w:sz w:val="26"/>
          <w:szCs w:val="26"/>
          <w:lang w:val="es-ES" w:eastAsia="es-ES"/>
        </w:rPr>
        <w:t>inistro Alfredo Gutiérrez Ortiz Mena.</w:t>
      </w:r>
    </w:p>
    <w:p w14:paraId="57F3ECCE" w14:textId="77777777" w:rsidR="00A94160" w:rsidRPr="00752356" w:rsidRDefault="00A94160" w:rsidP="00A94160">
      <w:pPr>
        <w:pStyle w:val="corte4fondo"/>
        <w:ind w:firstLine="0"/>
        <w:rPr>
          <w:sz w:val="26"/>
          <w:szCs w:val="26"/>
          <w:lang w:val="es-ES"/>
        </w:rPr>
      </w:pPr>
    </w:p>
    <w:p w14:paraId="16F693EE" w14:textId="616C6D49" w:rsidR="00784310" w:rsidRPr="00752356" w:rsidRDefault="00A94160" w:rsidP="00752356">
      <w:pPr>
        <w:pStyle w:val="corte4fondo"/>
        <w:numPr>
          <w:ilvl w:val="0"/>
          <w:numId w:val="2"/>
        </w:numPr>
        <w:ind w:left="0" w:hanging="567"/>
        <w:rPr>
          <w:sz w:val="26"/>
          <w:szCs w:val="26"/>
          <w:lang w:val="es-ES"/>
        </w:rPr>
      </w:pPr>
      <w:r w:rsidRPr="00752356">
        <w:rPr>
          <w:b/>
          <w:bCs/>
          <w:sz w:val="26"/>
          <w:szCs w:val="26"/>
          <w:lang w:val="es-ES"/>
        </w:rPr>
        <w:t xml:space="preserve">Avocamiento. </w:t>
      </w:r>
      <w:r w:rsidRPr="00752356">
        <w:rPr>
          <w:sz w:val="26"/>
          <w:szCs w:val="26"/>
          <w:lang w:val="es-ES"/>
        </w:rPr>
        <w:t>Posteriormente, por acuerdo de</w:t>
      </w:r>
      <w:r w:rsidR="00353587" w:rsidRPr="00752356">
        <w:rPr>
          <w:sz w:val="26"/>
          <w:szCs w:val="26"/>
          <w:lang w:val="es-ES"/>
        </w:rPr>
        <w:t xml:space="preserve"> 1</w:t>
      </w:r>
      <w:r w:rsidR="009011ED" w:rsidRPr="00752356">
        <w:rPr>
          <w:sz w:val="26"/>
          <w:szCs w:val="26"/>
          <w:lang w:val="es-ES"/>
        </w:rPr>
        <w:t xml:space="preserve">9 de octubre </w:t>
      </w:r>
      <w:r w:rsidR="00353587" w:rsidRPr="00752356">
        <w:rPr>
          <w:sz w:val="26"/>
          <w:szCs w:val="26"/>
          <w:lang w:val="es-ES"/>
        </w:rPr>
        <w:t>de 2022 l</w:t>
      </w:r>
      <w:r w:rsidRPr="00752356">
        <w:rPr>
          <w:sz w:val="26"/>
          <w:szCs w:val="26"/>
          <w:lang w:val="es-ES"/>
        </w:rPr>
        <w:t xml:space="preserve">a </w:t>
      </w:r>
      <w:r w:rsidR="00101643" w:rsidRPr="00752356">
        <w:rPr>
          <w:sz w:val="26"/>
          <w:szCs w:val="26"/>
          <w:lang w:val="es-ES"/>
        </w:rPr>
        <w:t xml:space="preserve">entonces </w:t>
      </w:r>
      <w:r w:rsidR="00C57647" w:rsidRPr="00752356">
        <w:rPr>
          <w:sz w:val="26"/>
          <w:szCs w:val="26"/>
          <w:lang w:val="es-ES"/>
        </w:rPr>
        <w:t>ministra presidenta</w:t>
      </w:r>
      <w:r w:rsidRPr="00752356">
        <w:rPr>
          <w:sz w:val="26"/>
          <w:szCs w:val="26"/>
          <w:lang w:val="es-ES"/>
        </w:rPr>
        <w:t xml:space="preserve"> de la Primera se avocó al conocimiento </w:t>
      </w:r>
      <w:r w:rsidR="00DC4F76" w:rsidRPr="00752356">
        <w:rPr>
          <w:sz w:val="26"/>
          <w:szCs w:val="26"/>
          <w:lang w:val="es-ES"/>
        </w:rPr>
        <w:t xml:space="preserve">del asunto </w:t>
      </w:r>
      <w:r w:rsidRPr="00752356">
        <w:rPr>
          <w:sz w:val="26"/>
          <w:szCs w:val="26"/>
          <w:lang w:val="es-ES"/>
        </w:rPr>
        <w:t>y envió los autos a esta ponencia para efecto de elaborar e</w:t>
      </w:r>
      <w:r w:rsidR="00DC4F76" w:rsidRPr="00752356">
        <w:rPr>
          <w:sz w:val="26"/>
          <w:szCs w:val="26"/>
          <w:lang w:val="es-ES"/>
        </w:rPr>
        <w:t>l</w:t>
      </w:r>
      <w:r w:rsidRPr="00752356">
        <w:rPr>
          <w:sz w:val="26"/>
          <w:szCs w:val="26"/>
          <w:lang w:val="es-ES"/>
        </w:rPr>
        <w:t xml:space="preserve"> proyecto </w:t>
      </w:r>
      <w:r w:rsidR="00DC4F76" w:rsidRPr="00752356">
        <w:rPr>
          <w:sz w:val="26"/>
          <w:szCs w:val="26"/>
          <w:lang w:val="es-ES"/>
        </w:rPr>
        <w:t xml:space="preserve">de resolución </w:t>
      </w:r>
      <w:r w:rsidRPr="00752356">
        <w:rPr>
          <w:sz w:val="26"/>
          <w:szCs w:val="26"/>
          <w:lang w:val="es-ES"/>
        </w:rPr>
        <w:t>correspondiente.</w:t>
      </w:r>
    </w:p>
    <w:p w14:paraId="2237FBA9" w14:textId="77777777" w:rsidR="0020105C" w:rsidRPr="00752356" w:rsidRDefault="0020105C" w:rsidP="00AA7BC5">
      <w:pPr>
        <w:pStyle w:val="corte4fondo"/>
        <w:ind w:firstLine="0"/>
        <w:rPr>
          <w:sz w:val="26"/>
          <w:szCs w:val="26"/>
          <w:lang w:val="es-ES"/>
        </w:rPr>
      </w:pPr>
    </w:p>
    <w:p w14:paraId="6D3A1D00" w14:textId="77777777" w:rsidR="00FA5EDE" w:rsidRPr="00752356" w:rsidRDefault="00FA5EDE" w:rsidP="00840C89">
      <w:pPr>
        <w:pStyle w:val="corte4fondo"/>
        <w:numPr>
          <w:ilvl w:val="0"/>
          <w:numId w:val="17"/>
        </w:numPr>
        <w:tabs>
          <w:tab w:val="left" w:pos="567"/>
        </w:tabs>
        <w:ind w:left="0" w:firstLine="0"/>
        <w:jc w:val="center"/>
        <w:rPr>
          <w:sz w:val="26"/>
          <w:szCs w:val="26"/>
          <w:lang w:val="es-ES"/>
        </w:rPr>
      </w:pPr>
      <w:r w:rsidRPr="00752356">
        <w:rPr>
          <w:rFonts w:eastAsiaTheme="minorHAnsi" w:cs="Arial"/>
          <w:b/>
          <w:sz w:val="26"/>
          <w:szCs w:val="26"/>
          <w:lang w:val="es-ES" w:eastAsia="en-US"/>
        </w:rPr>
        <w:t>COMPETENCIA</w:t>
      </w:r>
    </w:p>
    <w:p w14:paraId="6977890D" w14:textId="77777777" w:rsidR="00FA5EDE" w:rsidRPr="00752356" w:rsidRDefault="00FA5EDE" w:rsidP="00FA5EDE">
      <w:pPr>
        <w:pStyle w:val="corte4fondo"/>
        <w:ind w:left="1080" w:firstLine="0"/>
        <w:rPr>
          <w:sz w:val="26"/>
          <w:szCs w:val="26"/>
          <w:lang w:val="es-ES"/>
        </w:rPr>
      </w:pPr>
    </w:p>
    <w:p w14:paraId="43D0B360" w14:textId="03AE36AD" w:rsidR="000854DB" w:rsidRPr="003417DD" w:rsidRDefault="00C16466" w:rsidP="000854DB">
      <w:pPr>
        <w:pStyle w:val="corte4fondo"/>
        <w:numPr>
          <w:ilvl w:val="0"/>
          <w:numId w:val="2"/>
        </w:numPr>
        <w:ind w:left="0" w:hanging="567"/>
        <w:rPr>
          <w:sz w:val="26"/>
          <w:szCs w:val="26"/>
          <w:lang w:val="es-ES"/>
        </w:rPr>
      </w:pPr>
      <w:r>
        <w:rPr>
          <w:rFonts w:cs="Arial"/>
          <w:sz w:val="26"/>
          <w:szCs w:val="26"/>
          <w:lang w:val="es-ES"/>
        </w:rPr>
        <w:t>Esta</w:t>
      </w:r>
      <w:r w:rsidR="00D56133" w:rsidRPr="003417DD">
        <w:rPr>
          <w:rFonts w:cs="Arial"/>
          <w:sz w:val="26"/>
          <w:szCs w:val="26"/>
          <w:lang w:val="es-ES"/>
        </w:rPr>
        <w:t xml:space="preserve"> Primera Sala de la Suprema Corte de Justicia de la Nación es competente para conocer de</w:t>
      </w:r>
      <w:r w:rsidR="00F30208">
        <w:rPr>
          <w:rFonts w:cs="Arial"/>
          <w:sz w:val="26"/>
          <w:szCs w:val="26"/>
          <w:lang w:val="es-ES"/>
        </w:rPr>
        <w:t>l presente</w:t>
      </w:r>
      <w:r w:rsidR="00D56133" w:rsidRPr="003417DD">
        <w:rPr>
          <w:rFonts w:cs="Arial"/>
          <w:sz w:val="26"/>
          <w:szCs w:val="26"/>
          <w:lang w:val="es-ES"/>
        </w:rPr>
        <w:t xml:space="preserve"> recurso de revisión de conformidad con lo dispuesto en los artículos 107, fracción IX, de la Constitución Política de los Estados Unidos </w:t>
      </w:r>
      <w:r w:rsidR="00D56133" w:rsidRPr="003417DD">
        <w:rPr>
          <w:rFonts w:cs="Arial"/>
          <w:sz w:val="26"/>
          <w:szCs w:val="26"/>
          <w:lang w:val="es-ES"/>
        </w:rPr>
        <w:lastRenderedPageBreak/>
        <w:t xml:space="preserve">Mexicanos; 81, fracción II, en relación con el 96 de la Ley de Amparo; 21, fracción XI, de la Ley Orgánica del Poder Judicial de la Federación; </w:t>
      </w:r>
      <w:r w:rsidR="000854DB" w:rsidRPr="003417DD">
        <w:rPr>
          <w:rFonts w:cs="Arial"/>
          <w:sz w:val="26"/>
          <w:szCs w:val="26"/>
          <w:lang w:val="es-ES"/>
        </w:rPr>
        <w:t>así como en los puntos Primero y Tercero del Acuerdo General 1/2023, emitido por el Pleno de este Alto Tribunal</w:t>
      </w:r>
      <w:r w:rsidR="00DE3439" w:rsidRPr="003417DD">
        <w:rPr>
          <w:rFonts w:cs="Arial"/>
          <w:sz w:val="26"/>
          <w:szCs w:val="26"/>
          <w:lang w:val="es-ES"/>
        </w:rPr>
        <w:t xml:space="preserve">. Se trata de un </w:t>
      </w:r>
      <w:r w:rsidR="000854DB" w:rsidRPr="003417DD">
        <w:rPr>
          <w:rFonts w:cs="Arial"/>
          <w:sz w:val="26"/>
          <w:szCs w:val="26"/>
          <w:lang w:val="es-ES"/>
        </w:rPr>
        <w:t xml:space="preserve">asunto de naturaleza civil que corresponde a la especialidad de esta </w:t>
      </w:r>
      <w:r w:rsidR="004E70B4">
        <w:rPr>
          <w:rFonts w:cs="Arial"/>
          <w:sz w:val="26"/>
          <w:szCs w:val="26"/>
          <w:lang w:val="es-ES"/>
        </w:rPr>
        <w:t xml:space="preserve">Primera </w:t>
      </w:r>
      <w:r w:rsidR="000854DB" w:rsidRPr="003417DD">
        <w:rPr>
          <w:rFonts w:cs="Arial"/>
          <w:sz w:val="26"/>
          <w:szCs w:val="26"/>
          <w:lang w:val="es-ES"/>
        </w:rPr>
        <w:t>Sala, sin que se estime necesaria la intervención del Tribunal Pleno.</w:t>
      </w:r>
    </w:p>
    <w:p w14:paraId="69A9DF9D" w14:textId="77777777" w:rsidR="00FA5EDE" w:rsidRPr="002D664F" w:rsidRDefault="00FA5EDE" w:rsidP="00FA5EDE">
      <w:pPr>
        <w:pStyle w:val="corte4fondo"/>
        <w:ind w:firstLine="0"/>
        <w:rPr>
          <w:szCs w:val="30"/>
          <w:lang w:val="es-ES"/>
        </w:rPr>
      </w:pPr>
    </w:p>
    <w:p w14:paraId="34F47BB4" w14:textId="77777777" w:rsidR="00FA5EDE" w:rsidRPr="003417DD" w:rsidRDefault="00FA5EDE" w:rsidP="00840C89">
      <w:pPr>
        <w:pStyle w:val="corte4fondo"/>
        <w:numPr>
          <w:ilvl w:val="0"/>
          <w:numId w:val="17"/>
        </w:numPr>
        <w:tabs>
          <w:tab w:val="left" w:pos="567"/>
        </w:tabs>
        <w:ind w:left="0" w:firstLine="0"/>
        <w:jc w:val="center"/>
        <w:rPr>
          <w:b/>
          <w:sz w:val="26"/>
          <w:szCs w:val="26"/>
          <w:lang w:val="es-ES"/>
        </w:rPr>
      </w:pPr>
      <w:r w:rsidRPr="003417DD">
        <w:rPr>
          <w:b/>
          <w:sz w:val="26"/>
          <w:szCs w:val="26"/>
          <w:lang w:val="es-ES"/>
        </w:rPr>
        <w:t>OPORTUNIDAD</w:t>
      </w:r>
    </w:p>
    <w:p w14:paraId="223A70EC" w14:textId="77777777" w:rsidR="00794EB5" w:rsidRPr="002D664F" w:rsidRDefault="00794EB5" w:rsidP="00794EB5">
      <w:pPr>
        <w:pStyle w:val="corte4fondo"/>
        <w:rPr>
          <w:b/>
          <w:szCs w:val="30"/>
          <w:lang w:val="es-ES"/>
        </w:rPr>
      </w:pPr>
    </w:p>
    <w:p w14:paraId="57D47FEA" w14:textId="40B860BC" w:rsidR="00795B48" w:rsidRPr="000B6D8B" w:rsidRDefault="00794EB5" w:rsidP="00B00EE7">
      <w:pPr>
        <w:pStyle w:val="corte4fondo"/>
        <w:numPr>
          <w:ilvl w:val="0"/>
          <w:numId w:val="2"/>
        </w:numPr>
        <w:ind w:left="0" w:hanging="567"/>
        <w:rPr>
          <w:sz w:val="26"/>
          <w:szCs w:val="26"/>
          <w:lang w:val="es-ES"/>
        </w:rPr>
      </w:pPr>
      <w:r w:rsidRPr="000B6D8B">
        <w:rPr>
          <w:sz w:val="26"/>
          <w:szCs w:val="26"/>
          <w:lang w:val="es-ES"/>
        </w:rPr>
        <w:t>Tal como se advierte de la lectura de las constancias, la sentencia del tribunal colegiado le fue notificada</w:t>
      </w:r>
      <w:r w:rsidR="00795B48" w:rsidRPr="000B6D8B">
        <w:rPr>
          <w:sz w:val="26"/>
          <w:szCs w:val="26"/>
          <w:lang w:val="es-ES"/>
        </w:rPr>
        <w:t xml:space="preserve"> </w:t>
      </w:r>
      <w:r w:rsidRPr="000B6D8B">
        <w:rPr>
          <w:sz w:val="26"/>
          <w:szCs w:val="26"/>
          <w:lang w:val="es-ES"/>
        </w:rPr>
        <w:t xml:space="preserve">a </w:t>
      </w:r>
      <w:r w:rsidR="00E255ED" w:rsidRPr="000B6D8B">
        <w:rPr>
          <w:sz w:val="26"/>
          <w:szCs w:val="26"/>
          <w:lang w:val="es-ES"/>
        </w:rPr>
        <w:t>la</w:t>
      </w:r>
      <w:r w:rsidR="00430E7B" w:rsidRPr="000B6D8B">
        <w:rPr>
          <w:sz w:val="26"/>
          <w:szCs w:val="26"/>
          <w:lang w:val="es-ES"/>
        </w:rPr>
        <w:t xml:space="preserve"> parte</w:t>
      </w:r>
      <w:r w:rsidR="009A3803" w:rsidRPr="000B6D8B">
        <w:rPr>
          <w:sz w:val="26"/>
          <w:szCs w:val="26"/>
          <w:lang w:val="es-ES"/>
        </w:rPr>
        <w:t xml:space="preserve"> tercer</w:t>
      </w:r>
      <w:r w:rsidR="0080489D" w:rsidRPr="000B6D8B">
        <w:rPr>
          <w:sz w:val="26"/>
          <w:szCs w:val="26"/>
          <w:lang w:val="es-ES"/>
        </w:rPr>
        <w:t>a</w:t>
      </w:r>
      <w:r w:rsidR="009A3803" w:rsidRPr="000B6D8B">
        <w:rPr>
          <w:sz w:val="26"/>
          <w:szCs w:val="26"/>
          <w:lang w:val="es-ES"/>
        </w:rPr>
        <w:t xml:space="preserve"> interesada </w:t>
      </w:r>
      <w:r w:rsidR="00594113" w:rsidRPr="000B6D8B">
        <w:rPr>
          <w:color w:val="FF0000"/>
          <w:sz w:val="26"/>
          <w:szCs w:val="26"/>
          <w:lang w:val="es-ES"/>
        </w:rPr>
        <w:t>MGG</w:t>
      </w:r>
      <w:r w:rsidR="00026FB7" w:rsidRPr="000B6D8B">
        <w:rPr>
          <w:color w:val="FF0000"/>
          <w:sz w:val="26"/>
          <w:szCs w:val="26"/>
          <w:lang w:val="es-ES"/>
        </w:rPr>
        <w:t>I</w:t>
      </w:r>
      <w:r w:rsidR="00643348" w:rsidRPr="000B6D8B">
        <w:rPr>
          <w:sz w:val="26"/>
          <w:szCs w:val="26"/>
          <w:lang w:val="es-ES"/>
        </w:rPr>
        <w:t xml:space="preserve"> </w:t>
      </w:r>
      <w:r w:rsidR="00795B48" w:rsidRPr="000B6D8B">
        <w:rPr>
          <w:sz w:val="26"/>
          <w:szCs w:val="26"/>
          <w:lang w:val="es-ES"/>
        </w:rPr>
        <w:t>el</w:t>
      </w:r>
      <w:r w:rsidR="00836878" w:rsidRPr="000B6D8B">
        <w:rPr>
          <w:sz w:val="26"/>
          <w:szCs w:val="26"/>
          <w:lang w:val="es-ES"/>
        </w:rPr>
        <w:t xml:space="preserve"> 8 de agosto de 2022</w:t>
      </w:r>
      <w:r w:rsidR="00E255ED" w:rsidRPr="000B6D8B">
        <w:rPr>
          <w:sz w:val="26"/>
          <w:szCs w:val="26"/>
          <w:lang w:val="es-ES"/>
        </w:rPr>
        <w:t xml:space="preserve">, por lo que </w:t>
      </w:r>
      <w:r w:rsidR="00795B48" w:rsidRPr="000B6D8B">
        <w:rPr>
          <w:sz w:val="26"/>
          <w:szCs w:val="26"/>
          <w:lang w:val="es-ES"/>
        </w:rPr>
        <w:t>dicha notificación surtió efectos</w:t>
      </w:r>
      <w:r w:rsidR="00810D5B" w:rsidRPr="000B6D8B">
        <w:rPr>
          <w:sz w:val="26"/>
          <w:szCs w:val="26"/>
          <w:lang w:val="es-ES"/>
        </w:rPr>
        <w:t xml:space="preserve"> al día hábil siguiente</w:t>
      </w:r>
      <w:r w:rsidR="00E40124" w:rsidRPr="000B6D8B">
        <w:rPr>
          <w:sz w:val="26"/>
          <w:szCs w:val="26"/>
          <w:lang w:val="es-ES"/>
        </w:rPr>
        <w:t>, es decir el 9 del mismo mes y año</w:t>
      </w:r>
      <w:r w:rsidR="00795B48" w:rsidRPr="000B6D8B">
        <w:rPr>
          <w:sz w:val="26"/>
          <w:szCs w:val="26"/>
          <w:lang w:val="es-ES"/>
        </w:rPr>
        <w:t xml:space="preserve">. </w:t>
      </w:r>
      <w:r w:rsidR="00B00EE7" w:rsidRPr="000B6D8B">
        <w:rPr>
          <w:sz w:val="26"/>
          <w:szCs w:val="26"/>
          <w:lang w:val="es-ES"/>
        </w:rPr>
        <w:t>E</w:t>
      </w:r>
      <w:r w:rsidR="00795B48" w:rsidRPr="000B6D8B">
        <w:rPr>
          <w:sz w:val="26"/>
          <w:szCs w:val="26"/>
          <w:lang w:val="es-ES"/>
        </w:rPr>
        <w:t xml:space="preserve">l plazo establecido por el artículo 86 de la Ley de Amparo para la interposición del recurso de revisión transcurrió del </w:t>
      </w:r>
      <w:r w:rsidR="00532D9B" w:rsidRPr="000B6D8B">
        <w:rPr>
          <w:sz w:val="26"/>
          <w:szCs w:val="26"/>
          <w:lang w:val="es-ES"/>
        </w:rPr>
        <w:t xml:space="preserve">10 </w:t>
      </w:r>
      <w:r w:rsidR="00282034" w:rsidRPr="000B6D8B">
        <w:rPr>
          <w:sz w:val="26"/>
          <w:szCs w:val="26"/>
          <w:lang w:val="es-ES"/>
        </w:rPr>
        <w:t>al 23 de agosto</w:t>
      </w:r>
      <w:r w:rsidR="00D354F4" w:rsidRPr="000B6D8B">
        <w:rPr>
          <w:sz w:val="26"/>
          <w:szCs w:val="26"/>
          <w:lang w:val="es-ES"/>
        </w:rPr>
        <w:t xml:space="preserve"> de 2022</w:t>
      </w:r>
      <w:r w:rsidR="00795B48" w:rsidRPr="000B6D8B">
        <w:rPr>
          <w:sz w:val="26"/>
          <w:szCs w:val="26"/>
          <w:lang w:val="es-ES"/>
        </w:rPr>
        <w:t xml:space="preserve">, descontándose los </w:t>
      </w:r>
      <w:r w:rsidR="00B00EE7" w:rsidRPr="000B6D8B">
        <w:rPr>
          <w:sz w:val="26"/>
          <w:szCs w:val="26"/>
          <w:lang w:val="es-ES"/>
        </w:rPr>
        <w:t>sábados</w:t>
      </w:r>
      <w:r w:rsidR="001D3D5C" w:rsidRPr="000B6D8B">
        <w:rPr>
          <w:sz w:val="26"/>
          <w:szCs w:val="26"/>
          <w:lang w:val="es-ES"/>
        </w:rPr>
        <w:t xml:space="preserve"> y domingos</w:t>
      </w:r>
      <w:r w:rsidR="00795B48" w:rsidRPr="000B6D8B">
        <w:rPr>
          <w:sz w:val="26"/>
          <w:szCs w:val="26"/>
          <w:lang w:val="es-ES"/>
        </w:rPr>
        <w:t xml:space="preserve"> </w:t>
      </w:r>
      <w:r w:rsidR="00DA170A" w:rsidRPr="000B6D8B">
        <w:rPr>
          <w:sz w:val="26"/>
          <w:szCs w:val="26"/>
          <w:lang w:val="es-ES"/>
        </w:rPr>
        <w:t>13, 1</w:t>
      </w:r>
      <w:r w:rsidR="00A53FDC" w:rsidRPr="000B6D8B">
        <w:rPr>
          <w:sz w:val="26"/>
          <w:szCs w:val="26"/>
          <w:lang w:val="es-ES"/>
        </w:rPr>
        <w:t>4, 20 y 21 de agosto de 2022,</w:t>
      </w:r>
      <w:r w:rsidR="00E255ED" w:rsidRPr="000B6D8B">
        <w:rPr>
          <w:sz w:val="26"/>
          <w:szCs w:val="26"/>
          <w:lang w:val="es-ES"/>
        </w:rPr>
        <w:t xml:space="preserve"> </w:t>
      </w:r>
      <w:r w:rsidR="000E1BFD" w:rsidRPr="000B6D8B">
        <w:rPr>
          <w:sz w:val="26"/>
          <w:szCs w:val="26"/>
          <w:lang w:val="es-ES"/>
        </w:rPr>
        <w:t>por ser inhábil</w:t>
      </w:r>
      <w:r w:rsidR="00430E7B" w:rsidRPr="000B6D8B">
        <w:rPr>
          <w:sz w:val="26"/>
          <w:szCs w:val="26"/>
          <w:lang w:val="es-ES"/>
        </w:rPr>
        <w:t>es</w:t>
      </w:r>
      <w:r w:rsidR="000E1BFD" w:rsidRPr="000B6D8B">
        <w:rPr>
          <w:sz w:val="26"/>
          <w:szCs w:val="26"/>
          <w:lang w:val="es-ES"/>
        </w:rPr>
        <w:t xml:space="preserve"> conforme al artículo 19 de la Ley de Amparo. Por lo tanto</w:t>
      </w:r>
      <w:r w:rsidR="00795B48" w:rsidRPr="000B6D8B">
        <w:rPr>
          <w:sz w:val="26"/>
          <w:szCs w:val="26"/>
          <w:lang w:val="es-ES"/>
        </w:rPr>
        <w:t xml:space="preserve">, si el escrito de recurso de revisión se presentó </w:t>
      </w:r>
      <w:r w:rsidR="00CA242B" w:rsidRPr="000B6D8B">
        <w:rPr>
          <w:sz w:val="26"/>
          <w:szCs w:val="26"/>
          <w:lang w:val="es-ES"/>
        </w:rPr>
        <w:t>en la Oficina de Partes</w:t>
      </w:r>
      <w:r w:rsidR="00A05715" w:rsidRPr="000B6D8B">
        <w:rPr>
          <w:sz w:val="26"/>
          <w:szCs w:val="26"/>
          <w:lang w:val="es-ES"/>
        </w:rPr>
        <w:t xml:space="preserve"> </w:t>
      </w:r>
      <w:r w:rsidR="00D2766C" w:rsidRPr="000B6D8B">
        <w:rPr>
          <w:sz w:val="26"/>
          <w:szCs w:val="26"/>
          <w:lang w:val="es-ES"/>
        </w:rPr>
        <w:t>C</w:t>
      </w:r>
      <w:r w:rsidR="00A05715" w:rsidRPr="000B6D8B">
        <w:rPr>
          <w:sz w:val="26"/>
          <w:szCs w:val="26"/>
          <w:lang w:val="es-ES"/>
        </w:rPr>
        <w:t>omún de los Tribunales Colegiados en Materia Civil del Tercer Circuito el 22 de agosto de 2022</w:t>
      </w:r>
      <w:r w:rsidR="00D2766C" w:rsidRPr="000B6D8B">
        <w:rPr>
          <w:sz w:val="26"/>
          <w:szCs w:val="26"/>
          <w:lang w:val="es-ES"/>
        </w:rPr>
        <w:t xml:space="preserve">, </w:t>
      </w:r>
      <w:r w:rsidR="00795B48" w:rsidRPr="000B6D8B">
        <w:rPr>
          <w:sz w:val="26"/>
          <w:szCs w:val="26"/>
          <w:lang w:val="es-ES"/>
        </w:rPr>
        <w:t xml:space="preserve">el recurso se interpuso de forma oportuna. </w:t>
      </w:r>
    </w:p>
    <w:p w14:paraId="135FD720" w14:textId="77777777" w:rsidR="0020105C" w:rsidRPr="002D664F" w:rsidRDefault="0020105C" w:rsidP="00056B3C">
      <w:pPr>
        <w:pStyle w:val="Prrafodelista"/>
        <w:spacing w:line="360" w:lineRule="auto"/>
        <w:rPr>
          <w:rFonts w:ascii="Arial" w:hAnsi="Arial" w:cs="Arial"/>
          <w:sz w:val="30"/>
          <w:szCs w:val="30"/>
          <w:lang w:val="es-ES"/>
        </w:rPr>
      </w:pPr>
    </w:p>
    <w:p w14:paraId="0C480803" w14:textId="77777777" w:rsidR="00FA5EDE" w:rsidRPr="000B6D8B" w:rsidRDefault="00FA5EDE" w:rsidP="00840C89">
      <w:pPr>
        <w:pStyle w:val="corte4fondo"/>
        <w:numPr>
          <w:ilvl w:val="0"/>
          <w:numId w:val="17"/>
        </w:numPr>
        <w:tabs>
          <w:tab w:val="left" w:pos="567"/>
        </w:tabs>
        <w:ind w:left="0" w:firstLine="0"/>
        <w:jc w:val="center"/>
        <w:rPr>
          <w:b/>
          <w:sz w:val="26"/>
          <w:szCs w:val="26"/>
          <w:lang w:val="es-ES"/>
        </w:rPr>
      </w:pPr>
      <w:r w:rsidRPr="000B6D8B">
        <w:rPr>
          <w:b/>
          <w:sz w:val="26"/>
          <w:szCs w:val="26"/>
          <w:lang w:val="es-ES"/>
        </w:rPr>
        <w:t>LEGITIMACIÓN</w:t>
      </w:r>
    </w:p>
    <w:p w14:paraId="4268183B" w14:textId="77777777" w:rsidR="00FA5EDE" w:rsidRPr="002D664F" w:rsidRDefault="00FA5EDE" w:rsidP="00FA5EDE">
      <w:pPr>
        <w:pStyle w:val="corte4fondo"/>
        <w:ind w:left="1080" w:firstLine="0"/>
        <w:rPr>
          <w:b/>
          <w:szCs w:val="30"/>
          <w:lang w:val="es-ES"/>
        </w:rPr>
      </w:pPr>
    </w:p>
    <w:p w14:paraId="2E7671AA" w14:textId="38E759D5" w:rsidR="00FA5EDE" w:rsidRPr="003417DD" w:rsidRDefault="00D14777" w:rsidP="00352A29">
      <w:pPr>
        <w:pStyle w:val="corte4fondo"/>
        <w:numPr>
          <w:ilvl w:val="0"/>
          <w:numId w:val="2"/>
        </w:numPr>
        <w:ind w:left="0" w:hanging="567"/>
        <w:rPr>
          <w:sz w:val="26"/>
          <w:szCs w:val="26"/>
          <w:lang w:val="es-ES"/>
        </w:rPr>
      </w:pPr>
      <w:r w:rsidRPr="003417DD">
        <w:rPr>
          <w:sz w:val="26"/>
          <w:szCs w:val="26"/>
          <w:lang w:val="es-ES"/>
        </w:rPr>
        <w:t xml:space="preserve">Esta Suprema Corte </w:t>
      </w:r>
      <w:r w:rsidR="005B518B">
        <w:rPr>
          <w:sz w:val="26"/>
          <w:szCs w:val="26"/>
          <w:lang w:val="es-ES"/>
        </w:rPr>
        <w:t xml:space="preserve">de Justicia de la Nación </w:t>
      </w:r>
      <w:r w:rsidR="00455460" w:rsidRPr="003417DD">
        <w:rPr>
          <w:sz w:val="26"/>
          <w:szCs w:val="26"/>
          <w:lang w:val="es-ES"/>
        </w:rPr>
        <w:t xml:space="preserve">considera que </w:t>
      </w:r>
      <w:r w:rsidR="00DB77F9" w:rsidRPr="003417DD">
        <w:rPr>
          <w:color w:val="FF0000"/>
          <w:sz w:val="26"/>
          <w:szCs w:val="26"/>
          <w:lang w:val="es-ES"/>
        </w:rPr>
        <w:t>MGG</w:t>
      </w:r>
      <w:r w:rsidR="00CF5F3D">
        <w:rPr>
          <w:color w:val="FF0000"/>
          <w:sz w:val="26"/>
          <w:szCs w:val="26"/>
          <w:lang w:val="es-ES"/>
        </w:rPr>
        <w:t>I</w:t>
      </w:r>
      <w:r w:rsidR="000E1BFD" w:rsidRPr="003417DD">
        <w:rPr>
          <w:sz w:val="26"/>
          <w:szCs w:val="26"/>
          <w:lang w:val="es-ES"/>
        </w:rPr>
        <w:t xml:space="preserve"> </w:t>
      </w:r>
      <w:r w:rsidR="00455460" w:rsidRPr="003417DD">
        <w:rPr>
          <w:sz w:val="26"/>
          <w:szCs w:val="26"/>
          <w:lang w:val="es-ES"/>
        </w:rPr>
        <w:t>cuenta con la legitimación necesaria</w:t>
      </w:r>
      <w:r w:rsidR="00FA5EDE" w:rsidRPr="003417DD">
        <w:rPr>
          <w:sz w:val="26"/>
          <w:szCs w:val="26"/>
          <w:lang w:val="es-ES"/>
        </w:rPr>
        <w:t xml:space="preserve"> para interponer el recurso de revisión, pues </w:t>
      </w:r>
      <w:r w:rsidR="00455460" w:rsidRPr="003417DD">
        <w:rPr>
          <w:sz w:val="26"/>
          <w:szCs w:val="26"/>
          <w:lang w:val="es-ES"/>
        </w:rPr>
        <w:t xml:space="preserve">está </w:t>
      </w:r>
      <w:r w:rsidR="00FA5EDE" w:rsidRPr="003417DD">
        <w:rPr>
          <w:sz w:val="26"/>
          <w:szCs w:val="26"/>
          <w:lang w:val="es-ES"/>
        </w:rPr>
        <w:t>probado que</w:t>
      </w:r>
      <w:r w:rsidR="000E1BFD" w:rsidRPr="003417DD">
        <w:rPr>
          <w:sz w:val="26"/>
          <w:szCs w:val="26"/>
          <w:lang w:val="es-ES"/>
        </w:rPr>
        <w:t xml:space="preserve"> dicho carácter se le reconoció en el juicio de amparo directo </w:t>
      </w:r>
      <w:r w:rsidR="008D28CA" w:rsidRPr="003417DD">
        <w:rPr>
          <w:sz w:val="26"/>
          <w:szCs w:val="26"/>
          <w:lang w:val="es-ES"/>
        </w:rPr>
        <w:t>77/2022</w:t>
      </w:r>
      <w:r w:rsidR="000E1BFD" w:rsidRPr="003417DD">
        <w:rPr>
          <w:sz w:val="26"/>
          <w:szCs w:val="26"/>
          <w:lang w:val="es-ES"/>
        </w:rPr>
        <w:t xml:space="preserve">. </w:t>
      </w:r>
    </w:p>
    <w:p w14:paraId="4135B964" w14:textId="77777777" w:rsidR="00752356" w:rsidRDefault="00752356" w:rsidP="00FA5EDE">
      <w:pPr>
        <w:pStyle w:val="corte4fondo"/>
        <w:ind w:firstLine="0"/>
        <w:rPr>
          <w:sz w:val="26"/>
          <w:szCs w:val="26"/>
          <w:lang w:val="es-ES"/>
        </w:rPr>
      </w:pPr>
    </w:p>
    <w:p w14:paraId="33F3DFB5" w14:textId="77777777" w:rsidR="002D664F" w:rsidRDefault="002D664F" w:rsidP="00FA5EDE">
      <w:pPr>
        <w:pStyle w:val="corte4fondo"/>
        <w:ind w:firstLine="0"/>
        <w:rPr>
          <w:sz w:val="26"/>
          <w:szCs w:val="26"/>
          <w:lang w:val="es-ES"/>
        </w:rPr>
      </w:pPr>
    </w:p>
    <w:p w14:paraId="1BB9C78D" w14:textId="77777777" w:rsidR="002D664F" w:rsidRDefault="002D664F" w:rsidP="00FA5EDE">
      <w:pPr>
        <w:pStyle w:val="corte4fondo"/>
        <w:ind w:firstLine="0"/>
        <w:rPr>
          <w:sz w:val="26"/>
          <w:szCs w:val="26"/>
          <w:lang w:val="es-ES"/>
        </w:rPr>
      </w:pPr>
    </w:p>
    <w:p w14:paraId="6629F43A" w14:textId="77777777" w:rsidR="002D664F" w:rsidRPr="00C44B5B" w:rsidRDefault="002D664F" w:rsidP="00FA5EDE">
      <w:pPr>
        <w:pStyle w:val="corte4fondo"/>
        <w:ind w:firstLine="0"/>
        <w:rPr>
          <w:sz w:val="26"/>
          <w:szCs w:val="26"/>
          <w:lang w:val="es-ES"/>
        </w:rPr>
      </w:pPr>
    </w:p>
    <w:p w14:paraId="648E3696" w14:textId="77777777" w:rsidR="00FA5EDE" w:rsidRPr="003417DD" w:rsidRDefault="00FA5EDE" w:rsidP="00840C89">
      <w:pPr>
        <w:pStyle w:val="corte4fondo"/>
        <w:numPr>
          <w:ilvl w:val="0"/>
          <w:numId w:val="17"/>
        </w:numPr>
        <w:tabs>
          <w:tab w:val="left" w:pos="567"/>
        </w:tabs>
        <w:ind w:left="0" w:firstLine="0"/>
        <w:jc w:val="center"/>
        <w:rPr>
          <w:rFonts w:cs="Arial"/>
          <w:b/>
          <w:sz w:val="26"/>
          <w:szCs w:val="26"/>
          <w:lang w:val="es-ES"/>
        </w:rPr>
      </w:pPr>
      <w:r w:rsidRPr="003417DD">
        <w:rPr>
          <w:rFonts w:cs="Arial"/>
          <w:b/>
          <w:sz w:val="26"/>
          <w:szCs w:val="26"/>
          <w:lang w:val="es-ES"/>
        </w:rPr>
        <w:lastRenderedPageBreak/>
        <w:t>ESTUDIO DE PROCEDENCIA DEL RECURSO</w:t>
      </w:r>
    </w:p>
    <w:p w14:paraId="3ED110AD" w14:textId="77777777" w:rsidR="006C0A85" w:rsidRPr="003417DD" w:rsidRDefault="006C0A85" w:rsidP="006C0A85">
      <w:pPr>
        <w:pStyle w:val="corte4fondo"/>
        <w:ind w:left="1080" w:firstLine="0"/>
        <w:rPr>
          <w:rFonts w:cs="Arial"/>
          <w:b/>
          <w:sz w:val="26"/>
          <w:szCs w:val="26"/>
          <w:lang w:val="es-ES"/>
        </w:rPr>
      </w:pPr>
    </w:p>
    <w:p w14:paraId="7579A42C" w14:textId="2C39AC50" w:rsidR="006C0A85" w:rsidRPr="003417DD" w:rsidRDefault="0079544B" w:rsidP="00352A29">
      <w:pPr>
        <w:pStyle w:val="corte4fondo"/>
        <w:numPr>
          <w:ilvl w:val="0"/>
          <w:numId w:val="2"/>
        </w:numPr>
        <w:ind w:left="0" w:hanging="567"/>
        <w:rPr>
          <w:rFonts w:cs="Arial"/>
          <w:sz w:val="26"/>
          <w:szCs w:val="26"/>
          <w:lang w:val="es-ES"/>
        </w:rPr>
      </w:pPr>
      <w:r w:rsidRPr="003417DD">
        <w:rPr>
          <w:rFonts w:cs="Arial"/>
          <w:sz w:val="26"/>
          <w:szCs w:val="26"/>
          <w:lang w:val="es-ES"/>
        </w:rPr>
        <w:t xml:space="preserve">Esta </w:t>
      </w:r>
      <w:r w:rsidR="00D14777" w:rsidRPr="003417DD">
        <w:rPr>
          <w:rFonts w:cs="Arial"/>
          <w:sz w:val="26"/>
          <w:szCs w:val="26"/>
          <w:lang w:val="es-ES"/>
        </w:rPr>
        <w:t>Suprema Corte</w:t>
      </w:r>
      <w:r w:rsidRPr="003417DD">
        <w:rPr>
          <w:rFonts w:cs="Arial"/>
          <w:sz w:val="26"/>
          <w:szCs w:val="26"/>
          <w:lang w:val="es-ES"/>
        </w:rPr>
        <w:t xml:space="preserve"> considera que el asunto reúne los requisitos necesarios de procedencia y, por lo tanto, amerita un estudio de fondo. Esta conclusión se sustenta en las </w:t>
      </w:r>
      <w:r w:rsidR="004618CF" w:rsidRPr="003417DD">
        <w:rPr>
          <w:rFonts w:cs="Arial"/>
          <w:sz w:val="26"/>
          <w:szCs w:val="26"/>
          <w:lang w:val="es-ES"/>
        </w:rPr>
        <w:t>razones siguientes.</w:t>
      </w:r>
    </w:p>
    <w:p w14:paraId="569C1854" w14:textId="77777777" w:rsidR="0079544B" w:rsidRPr="003417DD" w:rsidRDefault="0079544B" w:rsidP="00352A29">
      <w:pPr>
        <w:pStyle w:val="corte4fondo"/>
        <w:ind w:hanging="567"/>
        <w:rPr>
          <w:rFonts w:cs="Arial"/>
          <w:sz w:val="26"/>
          <w:szCs w:val="26"/>
          <w:lang w:val="es-ES"/>
        </w:rPr>
      </w:pPr>
    </w:p>
    <w:p w14:paraId="26E5EDEF" w14:textId="77777777" w:rsidR="00F96D41" w:rsidRPr="003417DD" w:rsidRDefault="00F96D41" w:rsidP="00614A07">
      <w:pPr>
        <w:pStyle w:val="corte4fondo"/>
        <w:numPr>
          <w:ilvl w:val="0"/>
          <w:numId w:val="2"/>
        </w:numPr>
        <w:ind w:left="0" w:hanging="567"/>
        <w:rPr>
          <w:rFonts w:cs="Arial"/>
          <w:sz w:val="26"/>
          <w:szCs w:val="26"/>
          <w:lang w:val="es-ES"/>
        </w:rPr>
      </w:pPr>
      <w:r w:rsidRPr="003417DD">
        <w:rPr>
          <w:rFonts w:cs="Arial"/>
          <w:sz w:val="26"/>
          <w:szCs w:val="26"/>
          <w:lang w:val="es-ES"/>
        </w:rPr>
        <w:t xml:space="preserve">De conformidad con la Constitución y la Ley Reglamentaria de sus artículos 103 y 107, el recurso de revisión en amparo directo se distingue por ser un recurso extraordinario, el cual sólo procede cuando se cumplen los requisitos señalados expresamente por la Constitución Federal y la Ley de Amparo, motivo por el cual deben ser analizados previamente al estudio de fondo de toda revisión en amparo directo. </w:t>
      </w:r>
    </w:p>
    <w:p w14:paraId="5DE5B6D9" w14:textId="77777777" w:rsidR="00F96D41" w:rsidRPr="003417DD" w:rsidRDefault="00F96D41" w:rsidP="00614A07">
      <w:pPr>
        <w:pStyle w:val="Prrafodelista"/>
        <w:spacing w:line="360" w:lineRule="auto"/>
        <w:ind w:left="0" w:hanging="567"/>
        <w:jc w:val="both"/>
        <w:rPr>
          <w:rFonts w:cs="Arial"/>
          <w:sz w:val="26"/>
          <w:szCs w:val="26"/>
          <w:lang w:val="es-ES"/>
        </w:rPr>
      </w:pPr>
    </w:p>
    <w:p w14:paraId="50A4988B" w14:textId="5C357CF9" w:rsidR="00F96D41" w:rsidRPr="003417DD" w:rsidRDefault="00F96D41" w:rsidP="00614A07">
      <w:pPr>
        <w:pStyle w:val="corte4fondo"/>
        <w:numPr>
          <w:ilvl w:val="0"/>
          <w:numId w:val="2"/>
        </w:numPr>
        <w:ind w:left="0" w:hanging="567"/>
        <w:rPr>
          <w:rFonts w:cs="Arial"/>
          <w:sz w:val="26"/>
          <w:szCs w:val="26"/>
          <w:lang w:val="es-ES"/>
        </w:rPr>
      </w:pPr>
      <w:r w:rsidRPr="003417DD">
        <w:rPr>
          <w:rFonts w:cs="Arial"/>
          <w:sz w:val="26"/>
          <w:szCs w:val="26"/>
          <w:lang w:val="es-ES"/>
        </w:rPr>
        <w:t>Para tal efecto, es necesario tener presente que el texto anterior del artículo 107, fracción IX, de la Constitución Política de los Estados Unidos Mexicanos, y del artículo 81, de la Ley de Amparo, preveían el requisito de importancia y trascendencia para la procedencia del recurso de revisión en amparo directo.</w:t>
      </w:r>
      <w:r w:rsidRPr="003417DD">
        <w:rPr>
          <w:rStyle w:val="Refdenotaalpie"/>
          <w:rFonts w:cs="Arial"/>
          <w:sz w:val="26"/>
          <w:szCs w:val="26"/>
          <w:lang w:val="es-ES"/>
        </w:rPr>
        <w:footnoteReference w:id="16"/>
      </w:r>
      <w:r w:rsidRPr="003417DD">
        <w:rPr>
          <w:rFonts w:cs="Arial"/>
          <w:sz w:val="26"/>
          <w:szCs w:val="26"/>
          <w:lang w:val="es-ES"/>
        </w:rPr>
        <w:t xml:space="preserve"> </w:t>
      </w:r>
      <w:r w:rsidRPr="003417DD">
        <w:rPr>
          <w:rFonts w:cs="Arial"/>
          <w:snapToGrid w:val="0"/>
          <w:sz w:val="26"/>
          <w:szCs w:val="26"/>
          <w:lang w:val="es-ES"/>
        </w:rPr>
        <w:t xml:space="preserve"> En relación con este requisito, </w:t>
      </w:r>
      <w:r w:rsidRPr="003417DD">
        <w:rPr>
          <w:rFonts w:eastAsiaTheme="minorEastAsia" w:cs="Arial"/>
          <w:sz w:val="26"/>
          <w:szCs w:val="26"/>
          <w:lang w:val="es-ES" w:eastAsia="en-US"/>
        </w:rPr>
        <w:t xml:space="preserve">el Pleno de este Alto Tribunal emitió </w:t>
      </w:r>
      <w:r w:rsidR="002B53E5">
        <w:rPr>
          <w:rFonts w:eastAsiaTheme="minorEastAsia" w:cs="Arial"/>
          <w:sz w:val="26"/>
          <w:szCs w:val="26"/>
          <w:lang w:val="es-ES" w:eastAsia="en-US"/>
        </w:rPr>
        <w:t>el</w:t>
      </w:r>
      <w:r w:rsidRPr="003417DD">
        <w:rPr>
          <w:rFonts w:eastAsiaTheme="minorEastAsia" w:cs="Arial"/>
          <w:sz w:val="26"/>
          <w:szCs w:val="26"/>
          <w:lang w:val="es-ES" w:eastAsia="en-US"/>
        </w:rPr>
        <w:t xml:space="preserve"> Acuerdo General 9/2015, en el cual se consideró que la importancia y trascendencia sólo se actualiza cuando: </w:t>
      </w:r>
    </w:p>
    <w:p w14:paraId="557CF40C" w14:textId="77777777" w:rsidR="00F96D41" w:rsidRPr="003417DD" w:rsidRDefault="00F96D41" w:rsidP="00F96D41">
      <w:pPr>
        <w:pStyle w:val="Prrafodelista"/>
        <w:spacing w:line="360" w:lineRule="auto"/>
        <w:jc w:val="both"/>
        <w:rPr>
          <w:rFonts w:cs="Arial"/>
          <w:sz w:val="28"/>
          <w:szCs w:val="28"/>
          <w:lang w:val="es-ES"/>
        </w:rPr>
      </w:pPr>
    </w:p>
    <w:p w14:paraId="35AB4B40" w14:textId="77777777" w:rsidR="00F96D41" w:rsidRPr="003417DD" w:rsidRDefault="00F96D41" w:rsidP="00F96D41">
      <w:pPr>
        <w:pStyle w:val="corte4fondo"/>
        <w:numPr>
          <w:ilvl w:val="0"/>
          <w:numId w:val="23"/>
        </w:numPr>
        <w:spacing w:line="240" w:lineRule="auto"/>
        <w:rPr>
          <w:rFonts w:cs="Arial"/>
          <w:sz w:val="26"/>
          <w:szCs w:val="26"/>
          <w:lang w:val="es-ES"/>
        </w:rPr>
      </w:pPr>
      <w:r w:rsidRPr="003417DD">
        <w:rPr>
          <w:rFonts w:eastAsiaTheme="minorEastAsia" w:cs="Arial"/>
          <w:sz w:val="26"/>
          <w:szCs w:val="26"/>
          <w:lang w:val="es-ES" w:eastAsia="en-US"/>
        </w:rPr>
        <w:t xml:space="preserve">El tema planteado permita una fijación de un criterio novedoso o de relevancia para el orden jurídico nacional; o, </w:t>
      </w:r>
    </w:p>
    <w:p w14:paraId="07729664" w14:textId="77777777" w:rsidR="00F96D41" w:rsidRPr="003417DD" w:rsidRDefault="00F96D41" w:rsidP="00F96D41">
      <w:pPr>
        <w:pStyle w:val="corte4fondo"/>
        <w:spacing w:line="240" w:lineRule="auto"/>
        <w:ind w:left="1428" w:firstLine="0"/>
        <w:rPr>
          <w:rFonts w:cs="Arial"/>
          <w:sz w:val="26"/>
          <w:szCs w:val="26"/>
          <w:lang w:val="es-ES"/>
        </w:rPr>
      </w:pPr>
    </w:p>
    <w:p w14:paraId="52004063" w14:textId="77777777" w:rsidR="00F96D41" w:rsidRPr="003417DD" w:rsidRDefault="00F96D41" w:rsidP="00F96D41">
      <w:pPr>
        <w:pStyle w:val="corte4fondo"/>
        <w:numPr>
          <w:ilvl w:val="0"/>
          <w:numId w:val="23"/>
        </w:numPr>
        <w:spacing w:line="240" w:lineRule="auto"/>
        <w:rPr>
          <w:rFonts w:cs="Arial"/>
          <w:sz w:val="26"/>
          <w:szCs w:val="26"/>
          <w:lang w:val="es-ES"/>
        </w:rPr>
      </w:pPr>
      <w:r w:rsidRPr="003417DD">
        <w:rPr>
          <w:rFonts w:eastAsiaTheme="minorEastAsia" w:cs="Arial"/>
          <w:sz w:val="26"/>
          <w:szCs w:val="26"/>
          <w:lang w:val="es-ES" w:eastAsia="en-US"/>
        </w:rPr>
        <w:lastRenderedPageBreak/>
        <w:t xml:space="preserve">Lo decidido en la sentencia recurrida pueda implicar el desconocimiento de algún criterio emitido por la Suprema Corte de Justicia de la Nación, en el entendido de que el criterio en cuestión necesariamente deberá referirse a un tema de naturaleza propiamente constitucional, ya que, de lo contrario, se estaría resolviendo en contra de lo que establece el artículo 107, fracción IX de la Constitución Federal. </w:t>
      </w:r>
    </w:p>
    <w:p w14:paraId="6EB2E96F" w14:textId="77777777" w:rsidR="00F96D41" w:rsidRPr="003417DD" w:rsidRDefault="00F96D41" w:rsidP="00F96D41">
      <w:pPr>
        <w:pStyle w:val="Prrafodelista"/>
        <w:spacing w:line="360" w:lineRule="auto"/>
        <w:jc w:val="both"/>
        <w:rPr>
          <w:rFonts w:cs="Arial"/>
          <w:sz w:val="26"/>
          <w:szCs w:val="26"/>
          <w:lang w:val="es-ES"/>
        </w:rPr>
      </w:pPr>
    </w:p>
    <w:p w14:paraId="60B22E80" w14:textId="77777777" w:rsidR="00F96D41" w:rsidRPr="003417DD" w:rsidRDefault="00F96D41" w:rsidP="00614A07">
      <w:pPr>
        <w:pStyle w:val="corte4fondo"/>
        <w:numPr>
          <w:ilvl w:val="0"/>
          <w:numId w:val="2"/>
        </w:numPr>
        <w:ind w:left="0" w:hanging="567"/>
        <w:rPr>
          <w:rFonts w:cs="Arial"/>
          <w:sz w:val="26"/>
          <w:szCs w:val="26"/>
          <w:lang w:val="es-ES"/>
        </w:rPr>
      </w:pPr>
      <w:r w:rsidRPr="003417DD">
        <w:rPr>
          <w:rFonts w:cs="Arial"/>
          <w:sz w:val="26"/>
          <w:szCs w:val="26"/>
          <w:lang w:val="es-ES"/>
        </w:rPr>
        <w:t xml:space="preserve">Ahora bien, por reforma constitucional publicada en el Diario Oficial de la Federación el 11 de marzo de 2021, se modificó el artículo 107, fracción IX, para establecer que el recurso de revisión en amparo directo procede cuando el asunto revista </w:t>
      </w:r>
      <w:r w:rsidRPr="003417DD">
        <w:rPr>
          <w:rFonts w:cs="Arial"/>
          <w:i/>
          <w:iCs/>
          <w:sz w:val="26"/>
          <w:szCs w:val="26"/>
          <w:lang w:val="es-ES"/>
        </w:rPr>
        <w:t>un interés excepcional</w:t>
      </w:r>
      <w:r w:rsidRPr="003417DD">
        <w:rPr>
          <w:rFonts w:cs="Arial"/>
          <w:sz w:val="26"/>
          <w:szCs w:val="26"/>
          <w:lang w:val="es-ES"/>
        </w:rPr>
        <w:t xml:space="preserve"> en materia constitucional o de derechos humanos, a criterio de esta Suprema Corte de Justicia de la Nación. El nuevo texto dispone:</w:t>
      </w:r>
    </w:p>
    <w:p w14:paraId="2EAEC2FC" w14:textId="77777777" w:rsidR="00F96D41" w:rsidRPr="003417DD" w:rsidRDefault="00F96D41" w:rsidP="00F96D41">
      <w:pPr>
        <w:pStyle w:val="corte4fondo"/>
        <w:spacing w:line="276" w:lineRule="auto"/>
        <w:ind w:firstLine="0"/>
        <w:rPr>
          <w:rFonts w:cs="Arial"/>
          <w:sz w:val="26"/>
          <w:szCs w:val="26"/>
          <w:lang w:val="es-ES"/>
        </w:rPr>
      </w:pPr>
    </w:p>
    <w:p w14:paraId="017B1943" w14:textId="77777777" w:rsidR="00F96D41" w:rsidRPr="003417DD" w:rsidRDefault="00F96D41" w:rsidP="00F96D41">
      <w:pPr>
        <w:pStyle w:val="corte4fondo"/>
        <w:spacing w:line="276" w:lineRule="auto"/>
        <w:ind w:left="567" w:firstLine="0"/>
        <w:rPr>
          <w:rFonts w:cs="Arial"/>
          <w:sz w:val="26"/>
          <w:szCs w:val="26"/>
          <w:lang w:val="es-ES"/>
        </w:rPr>
      </w:pPr>
      <w:r w:rsidRPr="003417DD">
        <w:rPr>
          <w:rFonts w:cs="Arial"/>
          <w:sz w:val="26"/>
          <w:szCs w:val="26"/>
          <w:lang w:val="es-ES"/>
        </w:rPr>
        <w:t>Artículo 107. Las controversias de que habla el artículo 103 de esta Constitución, con excepción de aquellas en materia electoral, se sujetarán a los procedimientos que determine la ley reglamentaria, de acuerdo con las bases siguientes:</w:t>
      </w:r>
    </w:p>
    <w:p w14:paraId="6A84DF67" w14:textId="77777777" w:rsidR="00F96D41" w:rsidRPr="003417DD" w:rsidRDefault="00F96D41" w:rsidP="00F96D41">
      <w:pPr>
        <w:pStyle w:val="corte4fondo"/>
        <w:spacing w:line="276" w:lineRule="auto"/>
        <w:ind w:left="567"/>
        <w:rPr>
          <w:rFonts w:cs="Arial"/>
          <w:sz w:val="26"/>
          <w:szCs w:val="26"/>
          <w:lang w:val="es-ES"/>
        </w:rPr>
      </w:pPr>
      <w:r w:rsidRPr="003417DD">
        <w:rPr>
          <w:rFonts w:cs="Arial"/>
          <w:sz w:val="26"/>
          <w:szCs w:val="26"/>
          <w:lang w:val="es-ES"/>
        </w:rPr>
        <w:t>(…)</w:t>
      </w:r>
    </w:p>
    <w:p w14:paraId="067B57E0" w14:textId="77777777" w:rsidR="00F96D41" w:rsidRPr="003417DD" w:rsidRDefault="00F96D41" w:rsidP="00F96D41">
      <w:pPr>
        <w:pStyle w:val="corte4fondo"/>
        <w:spacing w:line="276" w:lineRule="auto"/>
        <w:ind w:left="567"/>
        <w:rPr>
          <w:rFonts w:cs="Arial"/>
          <w:sz w:val="26"/>
          <w:szCs w:val="26"/>
          <w:lang w:val="es-ES"/>
        </w:rPr>
      </w:pPr>
    </w:p>
    <w:p w14:paraId="44E6E911" w14:textId="77777777" w:rsidR="00F96D41" w:rsidRPr="003417DD" w:rsidRDefault="00F96D41" w:rsidP="00F96D41">
      <w:pPr>
        <w:pStyle w:val="corte4fondo"/>
        <w:spacing w:line="276" w:lineRule="auto"/>
        <w:ind w:left="567" w:firstLine="0"/>
        <w:rPr>
          <w:rFonts w:cs="Arial"/>
          <w:sz w:val="26"/>
          <w:szCs w:val="26"/>
          <w:lang w:val="es-ES"/>
        </w:rPr>
      </w:pPr>
      <w:r w:rsidRPr="003417DD">
        <w:rPr>
          <w:rFonts w:cs="Arial"/>
          <w:sz w:val="26"/>
          <w:szCs w:val="26"/>
          <w:lang w:val="es-ES"/>
        </w:rP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69880FF5" w14:textId="77777777" w:rsidR="00F96D41" w:rsidRPr="003417DD" w:rsidRDefault="00F96D41" w:rsidP="008D3F62">
      <w:pPr>
        <w:pStyle w:val="corte4fondo"/>
        <w:ind w:firstLine="0"/>
        <w:rPr>
          <w:rFonts w:cs="Arial"/>
          <w:sz w:val="26"/>
          <w:szCs w:val="26"/>
          <w:lang w:val="es-ES"/>
        </w:rPr>
      </w:pPr>
    </w:p>
    <w:p w14:paraId="23D92197" w14:textId="77777777" w:rsidR="00F96D41" w:rsidRPr="003417DD" w:rsidRDefault="00F96D41" w:rsidP="00614A07">
      <w:pPr>
        <w:pStyle w:val="corte4fondo"/>
        <w:numPr>
          <w:ilvl w:val="0"/>
          <w:numId w:val="2"/>
        </w:numPr>
        <w:ind w:left="0" w:hanging="567"/>
        <w:rPr>
          <w:rFonts w:cs="Arial"/>
          <w:sz w:val="26"/>
          <w:szCs w:val="26"/>
          <w:lang w:val="es-ES"/>
        </w:rPr>
      </w:pPr>
      <w:r w:rsidRPr="003417DD">
        <w:rPr>
          <w:rFonts w:cs="Arial"/>
          <w:sz w:val="26"/>
          <w:szCs w:val="26"/>
          <w:lang w:val="es-ES"/>
        </w:rPr>
        <w:t>De la misma manera, se reformó el artículo 81, fracción II, de la Ley de Amparo para reflejar el cambio constitucional. El nuevo texto establece:</w:t>
      </w:r>
    </w:p>
    <w:p w14:paraId="5BEA73CC" w14:textId="77777777" w:rsidR="00F96D41" w:rsidRPr="003417DD" w:rsidRDefault="00F96D41" w:rsidP="00F96D41">
      <w:pPr>
        <w:pStyle w:val="corte4fondo"/>
        <w:spacing w:line="276" w:lineRule="auto"/>
        <w:rPr>
          <w:rFonts w:cs="Arial"/>
          <w:sz w:val="26"/>
          <w:szCs w:val="26"/>
          <w:lang w:val="es-ES"/>
        </w:rPr>
      </w:pPr>
    </w:p>
    <w:p w14:paraId="4C69400F" w14:textId="77777777" w:rsidR="00F96D41" w:rsidRPr="003417DD" w:rsidRDefault="00F96D41" w:rsidP="00F96D41">
      <w:pPr>
        <w:pStyle w:val="corte4fondo"/>
        <w:spacing w:line="240" w:lineRule="auto"/>
        <w:ind w:left="567" w:firstLine="0"/>
        <w:rPr>
          <w:rFonts w:cs="Arial"/>
          <w:sz w:val="26"/>
          <w:szCs w:val="26"/>
          <w:lang w:val="es-ES"/>
        </w:rPr>
      </w:pPr>
      <w:r w:rsidRPr="003417DD">
        <w:rPr>
          <w:rFonts w:cs="Arial"/>
          <w:sz w:val="26"/>
          <w:szCs w:val="26"/>
          <w:lang w:val="es-ES"/>
        </w:rPr>
        <w:t>Artículo 81. Procede el recurso de revisión:</w:t>
      </w:r>
    </w:p>
    <w:p w14:paraId="7CCB6F50" w14:textId="77777777" w:rsidR="00F96D41" w:rsidRPr="003417DD" w:rsidRDefault="00F96D41" w:rsidP="00F96D41">
      <w:pPr>
        <w:pStyle w:val="corte4fondo"/>
        <w:spacing w:line="240" w:lineRule="auto"/>
        <w:ind w:left="567" w:firstLine="0"/>
        <w:rPr>
          <w:rFonts w:cs="Arial"/>
          <w:sz w:val="26"/>
          <w:szCs w:val="26"/>
          <w:lang w:val="es-ES"/>
        </w:rPr>
      </w:pPr>
      <w:r w:rsidRPr="003417DD">
        <w:rPr>
          <w:rFonts w:cs="Arial"/>
          <w:sz w:val="26"/>
          <w:szCs w:val="26"/>
          <w:lang w:val="es-ES"/>
        </w:rPr>
        <w:t>(…)</w:t>
      </w:r>
    </w:p>
    <w:p w14:paraId="237A5789" w14:textId="77777777" w:rsidR="00F96D41" w:rsidRPr="003417DD" w:rsidRDefault="00F96D41" w:rsidP="00F96D41">
      <w:pPr>
        <w:pStyle w:val="corte4fondo"/>
        <w:spacing w:line="240" w:lineRule="auto"/>
        <w:ind w:left="567" w:firstLine="0"/>
        <w:rPr>
          <w:rFonts w:cs="Arial"/>
          <w:sz w:val="26"/>
          <w:szCs w:val="26"/>
          <w:lang w:val="es-ES"/>
        </w:rPr>
      </w:pPr>
      <w:r w:rsidRPr="003417DD">
        <w:rPr>
          <w:rFonts w:cs="Arial"/>
          <w:sz w:val="26"/>
          <w:szCs w:val="26"/>
          <w:lang w:val="es-ES"/>
        </w:rPr>
        <w:lastRenderedPageBreak/>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277CE5D5" w14:textId="77777777" w:rsidR="00F96D41" w:rsidRPr="003417DD" w:rsidRDefault="00F96D41" w:rsidP="00F96D41">
      <w:pPr>
        <w:pStyle w:val="corte4fondo"/>
        <w:ind w:left="567" w:firstLine="0"/>
        <w:rPr>
          <w:rFonts w:cs="Arial"/>
          <w:sz w:val="26"/>
          <w:szCs w:val="26"/>
          <w:lang w:val="es-ES"/>
        </w:rPr>
      </w:pPr>
    </w:p>
    <w:p w14:paraId="4D0179D8" w14:textId="77777777" w:rsidR="00DF76A0" w:rsidRPr="003417DD" w:rsidRDefault="00F96D41" w:rsidP="00614A07">
      <w:pPr>
        <w:pStyle w:val="corte4fondo"/>
        <w:numPr>
          <w:ilvl w:val="0"/>
          <w:numId w:val="2"/>
        </w:numPr>
        <w:ind w:left="0" w:hanging="567"/>
        <w:rPr>
          <w:rFonts w:cs="Arial"/>
          <w:sz w:val="26"/>
          <w:szCs w:val="26"/>
          <w:lang w:val="es-ES"/>
        </w:rPr>
      </w:pPr>
      <w:r w:rsidRPr="003417DD">
        <w:rPr>
          <w:rFonts w:cs="Arial"/>
          <w:sz w:val="26"/>
          <w:szCs w:val="26"/>
          <w:lang w:val="es-ES"/>
        </w:rPr>
        <w:t>De la exposición de motivos de la reforma constitucional se desprende que el propósito de la modificación de los requisitos de procedencia de la revisión en amparo directo era otorgar mayor discrecionalidad a la Suprema Corte para conocer de este tipo de recursos. En este sentido, se hizo “hincapié en la excepcionalidad” que ameritan tener estos asuntos para ser conocidos en esta instancia constitucional.</w:t>
      </w:r>
      <w:r w:rsidRPr="003417DD">
        <w:rPr>
          <w:rFonts w:cs="Arial"/>
          <w:sz w:val="26"/>
          <w:szCs w:val="26"/>
          <w:vertAlign w:val="superscript"/>
          <w:lang w:val="es-ES"/>
        </w:rPr>
        <w:footnoteReference w:id="17"/>
      </w:r>
    </w:p>
    <w:p w14:paraId="06D6E468" w14:textId="77777777" w:rsidR="00DF76A0" w:rsidRPr="003417DD" w:rsidRDefault="00DF76A0" w:rsidP="00614A07">
      <w:pPr>
        <w:pStyle w:val="corte4fondo"/>
        <w:ind w:hanging="567"/>
        <w:rPr>
          <w:rFonts w:cs="Arial"/>
          <w:sz w:val="26"/>
          <w:szCs w:val="26"/>
          <w:lang w:val="es-ES"/>
        </w:rPr>
      </w:pPr>
    </w:p>
    <w:p w14:paraId="36B351AC" w14:textId="049ECE0D" w:rsidR="00DF76A0" w:rsidRPr="003417DD" w:rsidRDefault="002C3938" w:rsidP="00614A07">
      <w:pPr>
        <w:pStyle w:val="corte4fondo"/>
        <w:numPr>
          <w:ilvl w:val="0"/>
          <w:numId w:val="2"/>
        </w:numPr>
        <w:ind w:left="0" w:hanging="567"/>
        <w:rPr>
          <w:rFonts w:cs="Arial"/>
          <w:sz w:val="26"/>
          <w:szCs w:val="26"/>
          <w:lang w:val="es-ES"/>
        </w:rPr>
      </w:pPr>
      <w:r w:rsidRPr="003417DD">
        <w:rPr>
          <w:rFonts w:cs="Arial"/>
          <w:sz w:val="26"/>
          <w:szCs w:val="26"/>
          <w:lang w:val="es-ES"/>
        </w:rPr>
        <w:t>E</w:t>
      </w:r>
      <w:r w:rsidR="00893679" w:rsidRPr="003417DD">
        <w:rPr>
          <w:rFonts w:cs="Arial"/>
          <w:sz w:val="26"/>
          <w:szCs w:val="26"/>
          <w:lang w:val="es-ES"/>
        </w:rPr>
        <w:t>n estos términos, e</w:t>
      </w:r>
      <w:r w:rsidRPr="003417DD">
        <w:rPr>
          <w:rFonts w:cs="Arial"/>
          <w:sz w:val="26"/>
          <w:szCs w:val="26"/>
          <w:lang w:val="es-ES"/>
        </w:rPr>
        <w:t>l presente</w:t>
      </w:r>
      <w:r w:rsidR="00191B97" w:rsidRPr="003417DD">
        <w:rPr>
          <w:rFonts w:cs="Arial"/>
          <w:sz w:val="26"/>
          <w:szCs w:val="26"/>
          <w:lang w:val="es-ES"/>
        </w:rPr>
        <w:t xml:space="preserve"> asunto reviste un interés excepcional en materia constitucional y de derechos humanos que amerita del conocimiento de la Suprema Corte. El recurso permite analizar si </w:t>
      </w:r>
      <w:r w:rsidR="00C57647" w:rsidRPr="003417DD">
        <w:rPr>
          <w:rFonts w:cs="Arial"/>
          <w:sz w:val="26"/>
          <w:szCs w:val="26"/>
          <w:lang w:val="es-ES"/>
        </w:rPr>
        <w:t xml:space="preserve">es inconstitucional </w:t>
      </w:r>
      <w:r w:rsidR="00191B97" w:rsidRPr="003417DD">
        <w:rPr>
          <w:rFonts w:cs="Arial"/>
          <w:sz w:val="26"/>
          <w:szCs w:val="26"/>
          <w:lang w:val="es-ES"/>
        </w:rPr>
        <w:t xml:space="preserve">el artículo </w:t>
      </w:r>
      <w:r w:rsidR="00241F37" w:rsidRPr="003417DD">
        <w:rPr>
          <w:rFonts w:cs="Arial"/>
          <w:sz w:val="26"/>
          <w:szCs w:val="26"/>
          <w:lang w:val="es-ES"/>
        </w:rPr>
        <w:t>336 del Código Civil del Estado de Jalisco</w:t>
      </w:r>
      <w:r w:rsidR="00946EA9" w:rsidRPr="003417DD">
        <w:rPr>
          <w:rStyle w:val="Refdenotaalpie"/>
          <w:rFonts w:cs="Arial"/>
          <w:sz w:val="26"/>
          <w:szCs w:val="26"/>
          <w:lang w:val="es-ES"/>
        </w:rPr>
        <w:footnoteReference w:id="18"/>
      </w:r>
      <w:r w:rsidR="00241F37" w:rsidRPr="003417DD">
        <w:rPr>
          <w:rFonts w:cs="Arial"/>
          <w:sz w:val="26"/>
          <w:szCs w:val="26"/>
          <w:lang w:val="es-ES"/>
        </w:rPr>
        <w:t>, que dispone</w:t>
      </w:r>
      <w:r w:rsidR="00780DFB" w:rsidRPr="003417DD">
        <w:rPr>
          <w:rFonts w:cs="Arial"/>
          <w:sz w:val="26"/>
          <w:szCs w:val="26"/>
          <w:lang w:val="es-ES"/>
        </w:rPr>
        <w:t xml:space="preserve"> que el consorte que hubiere obrado de mala fe no tendrá parte en los gananciales de la sociedad conyugal</w:t>
      </w:r>
      <w:r w:rsidR="00C57647">
        <w:rPr>
          <w:rFonts w:cs="Arial"/>
          <w:sz w:val="26"/>
          <w:szCs w:val="26"/>
          <w:lang w:val="es-ES"/>
        </w:rPr>
        <w:t>.</w:t>
      </w:r>
    </w:p>
    <w:p w14:paraId="1851127F" w14:textId="77777777" w:rsidR="00DF76A0" w:rsidRPr="003417DD" w:rsidRDefault="00DF76A0" w:rsidP="00614A07">
      <w:pPr>
        <w:pStyle w:val="Prrafodelista"/>
        <w:spacing w:line="360" w:lineRule="auto"/>
        <w:ind w:left="0" w:hanging="567"/>
        <w:rPr>
          <w:rFonts w:cs="Arial"/>
          <w:sz w:val="26"/>
          <w:szCs w:val="26"/>
          <w:lang w:val="es-ES"/>
        </w:rPr>
      </w:pPr>
    </w:p>
    <w:p w14:paraId="18B5CD73" w14:textId="443880D8" w:rsidR="00D22AF4" w:rsidRPr="003417DD" w:rsidRDefault="005130F3" w:rsidP="00614A07">
      <w:pPr>
        <w:pStyle w:val="corte4fondo"/>
        <w:numPr>
          <w:ilvl w:val="0"/>
          <w:numId w:val="2"/>
        </w:numPr>
        <w:ind w:left="0" w:hanging="567"/>
        <w:rPr>
          <w:rFonts w:cs="Arial"/>
          <w:sz w:val="26"/>
          <w:szCs w:val="26"/>
          <w:lang w:val="es-ES"/>
        </w:rPr>
      </w:pPr>
      <w:r w:rsidRPr="003417DD">
        <w:rPr>
          <w:rFonts w:cs="Arial"/>
          <w:sz w:val="26"/>
          <w:szCs w:val="26"/>
          <w:lang w:val="es-ES"/>
        </w:rPr>
        <w:t xml:space="preserve">En el caso, </w:t>
      </w:r>
      <w:r w:rsidR="002F548E" w:rsidRPr="003417DD">
        <w:rPr>
          <w:rFonts w:cs="Arial"/>
          <w:sz w:val="26"/>
          <w:szCs w:val="26"/>
          <w:lang w:val="es-ES"/>
        </w:rPr>
        <w:t xml:space="preserve">el tribunal colegiado en su sentencia estableció que el artículo </w:t>
      </w:r>
      <w:r w:rsidR="000F6403" w:rsidRPr="003417DD">
        <w:rPr>
          <w:rFonts w:cs="Arial"/>
          <w:sz w:val="26"/>
          <w:szCs w:val="26"/>
          <w:lang w:val="es-ES"/>
        </w:rPr>
        <w:t>resulta inconstitucional al establecer una sanción al cónyuge que actuó de mala fe que resulta absoluta</w:t>
      </w:r>
      <w:r w:rsidR="00D51CD8">
        <w:rPr>
          <w:rFonts w:cs="Arial"/>
          <w:sz w:val="26"/>
          <w:szCs w:val="26"/>
          <w:lang w:val="es-ES"/>
        </w:rPr>
        <w:t>,</w:t>
      </w:r>
      <w:r w:rsidR="000F6403" w:rsidRPr="003417DD">
        <w:rPr>
          <w:rFonts w:cs="Arial"/>
          <w:sz w:val="26"/>
          <w:szCs w:val="26"/>
          <w:lang w:val="es-ES"/>
        </w:rPr>
        <w:t xml:space="preserve"> genérica, abstracta y desproporcionada. A consideración del </w:t>
      </w:r>
      <w:r w:rsidR="000F6403" w:rsidRPr="003417DD">
        <w:rPr>
          <w:rFonts w:cs="Arial"/>
          <w:sz w:val="26"/>
          <w:szCs w:val="26"/>
          <w:lang w:val="es-ES"/>
        </w:rPr>
        <w:lastRenderedPageBreak/>
        <w:t xml:space="preserve">tribunal, </w:t>
      </w:r>
      <w:r w:rsidR="003B10B6" w:rsidRPr="003417DD">
        <w:rPr>
          <w:rFonts w:cs="Arial"/>
          <w:sz w:val="26"/>
          <w:szCs w:val="26"/>
          <w:lang w:val="es-ES"/>
        </w:rPr>
        <w:t xml:space="preserve">se trata de una medida que no es idónea ni proporcional y que afecta el derecho a la propiedad y al acceso a una vida digna. </w:t>
      </w:r>
      <w:r w:rsidR="00291B28" w:rsidRPr="003417DD">
        <w:rPr>
          <w:rFonts w:cs="Arial"/>
          <w:sz w:val="26"/>
          <w:szCs w:val="26"/>
          <w:lang w:val="es-ES"/>
        </w:rPr>
        <w:t xml:space="preserve">En el recurso de revisión, la recurrente </w:t>
      </w:r>
      <w:r w:rsidR="007A59B8" w:rsidRPr="003417DD">
        <w:rPr>
          <w:rFonts w:cs="Arial"/>
          <w:sz w:val="26"/>
          <w:szCs w:val="26"/>
          <w:lang w:val="es-ES"/>
        </w:rPr>
        <w:t>combate esta conclusión.</w:t>
      </w:r>
      <w:r w:rsidR="002C276A" w:rsidRPr="003417DD">
        <w:rPr>
          <w:rFonts w:cs="Arial"/>
          <w:sz w:val="26"/>
          <w:szCs w:val="26"/>
          <w:lang w:val="es-ES"/>
        </w:rPr>
        <w:t xml:space="preserve"> </w:t>
      </w:r>
      <w:r w:rsidR="004D2D17" w:rsidRPr="003417DD">
        <w:rPr>
          <w:rFonts w:cs="Arial"/>
          <w:sz w:val="26"/>
          <w:szCs w:val="26"/>
          <w:lang w:val="es-ES"/>
        </w:rPr>
        <w:t>Por lo anterior,</w:t>
      </w:r>
      <w:r w:rsidR="006430CA" w:rsidRPr="003417DD">
        <w:rPr>
          <w:rFonts w:cs="Arial"/>
          <w:sz w:val="26"/>
          <w:szCs w:val="26"/>
          <w:lang w:val="es-ES"/>
        </w:rPr>
        <w:t xml:space="preserve"> el presente asunto resulta </w:t>
      </w:r>
      <w:r w:rsidR="005E75B9" w:rsidRPr="003417DD">
        <w:rPr>
          <w:rFonts w:cs="Arial"/>
          <w:sz w:val="26"/>
          <w:szCs w:val="26"/>
          <w:lang w:val="es-ES"/>
        </w:rPr>
        <w:t xml:space="preserve">procedente </w:t>
      </w:r>
      <w:r w:rsidR="006430CA" w:rsidRPr="003417DD">
        <w:rPr>
          <w:rFonts w:cs="Arial"/>
          <w:sz w:val="26"/>
          <w:szCs w:val="26"/>
          <w:lang w:val="es-ES"/>
        </w:rPr>
        <w:t>porque plantea</w:t>
      </w:r>
      <w:r w:rsidR="00421196" w:rsidRPr="003417DD">
        <w:rPr>
          <w:rFonts w:cs="Arial"/>
          <w:sz w:val="26"/>
          <w:szCs w:val="26"/>
          <w:lang w:val="es-ES"/>
        </w:rPr>
        <w:t xml:space="preserve"> el análisis </w:t>
      </w:r>
      <w:r w:rsidR="004D796F" w:rsidRPr="003417DD">
        <w:rPr>
          <w:rFonts w:cs="Arial"/>
          <w:sz w:val="26"/>
          <w:szCs w:val="26"/>
          <w:lang w:val="es-ES"/>
        </w:rPr>
        <w:t xml:space="preserve">sobre la inconstitucionalidad de un artículo </w:t>
      </w:r>
      <w:r w:rsidR="00C71B06" w:rsidRPr="003417DD">
        <w:rPr>
          <w:rFonts w:cs="Arial"/>
          <w:sz w:val="26"/>
          <w:szCs w:val="26"/>
          <w:lang w:val="es-ES"/>
        </w:rPr>
        <w:t>respecto del cual no existe criterio obligatorio de e</w:t>
      </w:r>
      <w:r w:rsidR="00B37266" w:rsidRPr="003417DD">
        <w:rPr>
          <w:rFonts w:cs="Arial"/>
          <w:sz w:val="26"/>
          <w:szCs w:val="26"/>
          <w:lang w:val="es-ES"/>
        </w:rPr>
        <w:t>sta Suprema Corte</w:t>
      </w:r>
      <w:r w:rsidR="00241D2C" w:rsidRPr="003417DD">
        <w:rPr>
          <w:rFonts w:cs="Arial"/>
          <w:sz w:val="26"/>
          <w:szCs w:val="26"/>
          <w:lang w:val="es-ES"/>
        </w:rPr>
        <w:t>.</w:t>
      </w:r>
    </w:p>
    <w:p w14:paraId="578B0FEC" w14:textId="45C09A85" w:rsidR="007A50E0" w:rsidRPr="003417DD" w:rsidRDefault="007A50E0" w:rsidP="007A50E0">
      <w:pPr>
        <w:pStyle w:val="corte4fondo"/>
        <w:ind w:firstLine="0"/>
        <w:rPr>
          <w:rFonts w:cs="Arial"/>
          <w:sz w:val="26"/>
          <w:szCs w:val="26"/>
          <w:lang w:val="es-ES"/>
        </w:rPr>
      </w:pPr>
    </w:p>
    <w:p w14:paraId="0CEEC6AD" w14:textId="189347F2" w:rsidR="007A50E0" w:rsidRPr="003417DD" w:rsidRDefault="007A50E0" w:rsidP="00EC6B61">
      <w:pPr>
        <w:pStyle w:val="Prrafodelista"/>
        <w:numPr>
          <w:ilvl w:val="0"/>
          <w:numId w:val="17"/>
        </w:numPr>
        <w:tabs>
          <w:tab w:val="left" w:pos="567"/>
        </w:tabs>
        <w:spacing w:line="360" w:lineRule="auto"/>
        <w:jc w:val="center"/>
        <w:rPr>
          <w:rFonts w:ascii="Arial" w:hAnsi="Arial" w:cs="Arial"/>
          <w:b/>
          <w:sz w:val="26"/>
          <w:szCs w:val="26"/>
          <w:lang w:val="es-ES"/>
        </w:rPr>
      </w:pPr>
      <w:r w:rsidRPr="003417DD">
        <w:rPr>
          <w:rFonts w:ascii="Arial" w:hAnsi="Arial" w:cs="Arial"/>
          <w:b/>
          <w:sz w:val="26"/>
          <w:szCs w:val="26"/>
          <w:lang w:val="es-ES"/>
        </w:rPr>
        <w:t xml:space="preserve">ESTUDIO </w:t>
      </w:r>
    </w:p>
    <w:p w14:paraId="034C243F" w14:textId="77777777" w:rsidR="007A50E0" w:rsidRPr="003417DD" w:rsidRDefault="007A50E0" w:rsidP="007A50E0">
      <w:pPr>
        <w:pStyle w:val="Prrafodelista"/>
        <w:rPr>
          <w:rFonts w:cs="Arial"/>
          <w:sz w:val="26"/>
          <w:szCs w:val="26"/>
          <w:lang w:val="es-ES"/>
        </w:rPr>
      </w:pPr>
    </w:p>
    <w:p w14:paraId="623BF5E3" w14:textId="22397344" w:rsidR="000725D6" w:rsidRPr="003417DD" w:rsidRDefault="00B40ABD" w:rsidP="00A05FBF">
      <w:pPr>
        <w:pStyle w:val="corte4fondo"/>
        <w:numPr>
          <w:ilvl w:val="0"/>
          <w:numId w:val="2"/>
        </w:numPr>
        <w:ind w:left="0" w:hanging="567"/>
        <w:rPr>
          <w:rFonts w:cs="Arial"/>
          <w:sz w:val="26"/>
          <w:szCs w:val="26"/>
          <w:lang w:val="es-ES"/>
        </w:rPr>
      </w:pPr>
      <w:r w:rsidRPr="003417DD">
        <w:rPr>
          <w:rFonts w:cs="Arial"/>
          <w:sz w:val="26"/>
          <w:szCs w:val="26"/>
          <w:lang w:val="es-ES"/>
        </w:rPr>
        <w:t xml:space="preserve">La materia de la revisión consiste en determinar si resultan fundados los agravios en los que </w:t>
      </w:r>
      <w:r w:rsidR="00366CE6">
        <w:rPr>
          <w:rFonts w:cs="Arial"/>
          <w:sz w:val="26"/>
          <w:szCs w:val="26"/>
          <w:lang w:val="es-ES"/>
        </w:rPr>
        <w:t>l</w:t>
      </w:r>
      <w:r w:rsidR="00571584">
        <w:rPr>
          <w:rFonts w:cs="Arial"/>
          <w:sz w:val="26"/>
          <w:szCs w:val="26"/>
          <w:lang w:val="es-ES"/>
        </w:rPr>
        <w:t>a</w:t>
      </w:r>
      <w:r w:rsidR="00366CE6">
        <w:rPr>
          <w:rFonts w:cs="Arial"/>
          <w:sz w:val="26"/>
          <w:szCs w:val="26"/>
          <w:lang w:val="es-ES"/>
        </w:rPr>
        <w:t xml:space="preserve"> recurrente combate</w:t>
      </w:r>
      <w:r w:rsidRPr="003417DD">
        <w:rPr>
          <w:rFonts w:cs="Arial"/>
          <w:sz w:val="26"/>
          <w:szCs w:val="26"/>
          <w:lang w:val="es-ES"/>
        </w:rPr>
        <w:t xml:space="preserve">, entre otras cuestiones, la declaración de inconstitucionalidad que realizó el tribunal colegiado respecto del </w:t>
      </w:r>
      <w:r w:rsidR="00981925" w:rsidRPr="003417DD">
        <w:rPr>
          <w:rFonts w:cs="Arial"/>
          <w:sz w:val="26"/>
          <w:szCs w:val="26"/>
          <w:lang w:val="es-ES"/>
        </w:rPr>
        <w:t>artículo 336 del Código Civil del Estado de Jalisco</w:t>
      </w:r>
      <w:r w:rsidRPr="003417DD">
        <w:rPr>
          <w:rFonts w:cs="Arial"/>
          <w:sz w:val="26"/>
          <w:szCs w:val="26"/>
          <w:lang w:val="es-ES"/>
        </w:rPr>
        <w:t>. El artículo establece</w:t>
      </w:r>
      <w:r w:rsidR="00981925" w:rsidRPr="003417DD">
        <w:rPr>
          <w:rFonts w:cs="Arial"/>
          <w:sz w:val="26"/>
          <w:szCs w:val="26"/>
          <w:lang w:val="es-ES"/>
        </w:rPr>
        <w:t xml:space="preserve"> </w:t>
      </w:r>
      <w:r w:rsidR="000D706A" w:rsidRPr="003417DD">
        <w:rPr>
          <w:rFonts w:cs="Arial"/>
          <w:sz w:val="26"/>
          <w:szCs w:val="26"/>
          <w:lang w:val="es-ES"/>
        </w:rPr>
        <w:t>que</w:t>
      </w:r>
      <w:r w:rsidRPr="003417DD">
        <w:rPr>
          <w:rFonts w:cs="Arial"/>
          <w:sz w:val="26"/>
          <w:szCs w:val="26"/>
          <w:lang w:val="es-ES"/>
        </w:rPr>
        <w:t xml:space="preserve"> el</w:t>
      </w:r>
      <w:r w:rsidR="00981925" w:rsidRPr="003417DD">
        <w:rPr>
          <w:rFonts w:cs="Arial"/>
          <w:sz w:val="26"/>
          <w:szCs w:val="26"/>
          <w:lang w:val="es-ES"/>
        </w:rPr>
        <w:t xml:space="preserve"> cónyuge </w:t>
      </w:r>
      <w:r w:rsidR="000D706A" w:rsidRPr="003417DD">
        <w:rPr>
          <w:rFonts w:cs="Arial"/>
          <w:sz w:val="26"/>
          <w:szCs w:val="26"/>
          <w:lang w:val="es-ES"/>
        </w:rPr>
        <w:t>que actuó de mala fe al contraer matrimonio no tendrá parte en los gananciales de la sociedad conyugal</w:t>
      </w:r>
      <w:r w:rsidRPr="003417DD">
        <w:rPr>
          <w:rFonts w:cs="Arial"/>
          <w:sz w:val="26"/>
          <w:szCs w:val="26"/>
          <w:lang w:val="es-ES"/>
        </w:rPr>
        <w:t>.</w:t>
      </w:r>
    </w:p>
    <w:p w14:paraId="780D5BA4" w14:textId="77777777" w:rsidR="00B40ABD" w:rsidRPr="003417DD" w:rsidRDefault="00B40ABD" w:rsidP="003A026B">
      <w:pPr>
        <w:pStyle w:val="corte4fondo"/>
        <w:ind w:firstLine="0"/>
        <w:rPr>
          <w:rFonts w:cs="Arial"/>
          <w:sz w:val="26"/>
          <w:szCs w:val="26"/>
          <w:lang w:val="es-ES" w:eastAsia="en-US"/>
        </w:rPr>
      </w:pPr>
    </w:p>
    <w:p w14:paraId="068408C1" w14:textId="37CA7AA5" w:rsidR="00F4292B" w:rsidRPr="003417DD" w:rsidRDefault="009C107A" w:rsidP="00352A29">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 xml:space="preserve">Como se desprende de la secuela procesal relatada, en la demanda de amparo el señor </w:t>
      </w:r>
      <w:r w:rsidRPr="007F4C67">
        <w:rPr>
          <w:rFonts w:cs="Arial"/>
          <w:color w:val="FF0000"/>
          <w:sz w:val="26"/>
          <w:szCs w:val="26"/>
          <w:lang w:val="es-ES" w:eastAsia="en-US"/>
        </w:rPr>
        <w:t>LA</w:t>
      </w:r>
      <w:r w:rsidR="00F4292B" w:rsidRPr="007F4C67">
        <w:rPr>
          <w:rFonts w:cs="Arial"/>
          <w:color w:val="FF0000"/>
          <w:sz w:val="26"/>
          <w:szCs w:val="26"/>
          <w:lang w:val="es-ES" w:eastAsia="en-US"/>
        </w:rPr>
        <w:t xml:space="preserve"> </w:t>
      </w:r>
      <w:r w:rsidR="00F4292B" w:rsidRPr="003417DD">
        <w:rPr>
          <w:rFonts w:cs="Arial"/>
          <w:sz w:val="26"/>
          <w:szCs w:val="26"/>
          <w:lang w:val="es-ES" w:eastAsia="en-US"/>
        </w:rPr>
        <w:t>formuló tres conceptos de violación. Por un lado, combatió que en el caso no se había acreditado que hubiera actuado de mala fe, mientras que en el segundo concepto de violación reclamó la inconstitucionalidad del artículo 336 del Código Civil del Estado de Jalisco. Finalmente, en el tercer concepto de violación reclama la incorrecta aplicación de la perspectiva de género</w:t>
      </w:r>
      <w:r w:rsidR="00992DA6">
        <w:rPr>
          <w:rFonts w:cs="Arial"/>
          <w:sz w:val="26"/>
          <w:szCs w:val="26"/>
          <w:lang w:val="es-ES" w:eastAsia="en-US"/>
        </w:rPr>
        <w:t>, dado que la sala de apelación descartó la interpretación que el juez de primera instancia realizó en este sentido</w:t>
      </w:r>
      <w:r w:rsidR="00F4292B" w:rsidRPr="003417DD">
        <w:rPr>
          <w:rFonts w:cs="Arial"/>
          <w:sz w:val="26"/>
          <w:szCs w:val="26"/>
          <w:lang w:val="es-ES" w:eastAsia="en-US"/>
        </w:rPr>
        <w:t xml:space="preserve">. </w:t>
      </w:r>
    </w:p>
    <w:p w14:paraId="12507BAE" w14:textId="77777777" w:rsidR="00F4292B" w:rsidRPr="003417DD" w:rsidRDefault="00F4292B" w:rsidP="00911CE0">
      <w:pPr>
        <w:pStyle w:val="Prrafodelista"/>
        <w:spacing w:line="360" w:lineRule="auto"/>
        <w:rPr>
          <w:rFonts w:cs="Arial"/>
          <w:sz w:val="26"/>
          <w:szCs w:val="26"/>
          <w:lang w:val="es-ES" w:eastAsia="en-US"/>
        </w:rPr>
      </w:pPr>
    </w:p>
    <w:p w14:paraId="3154FCE7" w14:textId="3AD875B0" w:rsidR="00F05F4C" w:rsidRPr="003417DD" w:rsidRDefault="00F4292B" w:rsidP="00352A29">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En lo que aquí concierne, se destaca que en el segundo concepto de vio</w:t>
      </w:r>
      <w:r w:rsidR="007F4C67">
        <w:rPr>
          <w:rFonts w:cs="Arial"/>
          <w:sz w:val="26"/>
          <w:szCs w:val="26"/>
          <w:lang w:val="es-ES" w:eastAsia="en-US"/>
        </w:rPr>
        <w:t>lación</w:t>
      </w:r>
      <w:r w:rsidR="00225057" w:rsidRPr="003417DD">
        <w:rPr>
          <w:rFonts w:cs="Arial"/>
          <w:sz w:val="26"/>
          <w:szCs w:val="26"/>
          <w:lang w:val="es-ES" w:eastAsia="en-US"/>
        </w:rPr>
        <w:t xml:space="preserve"> </w:t>
      </w:r>
      <w:r w:rsidR="007F75F7" w:rsidRPr="003417DD">
        <w:rPr>
          <w:rFonts w:cs="Arial"/>
          <w:sz w:val="26"/>
          <w:szCs w:val="26"/>
          <w:lang w:val="es-ES" w:eastAsia="en-US"/>
        </w:rPr>
        <w:t xml:space="preserve">se alegó que el artículo </w:t>
      </w:r>
      <w:r w:rsidR="00225057" w:rsidRPr="003417DD">
        <w:rPr>
          <w:rFonts w:cs="Arial"/>
          <w:sz w:val="26"/>
          <w:szCs w:val="26"/>
          <w:lang w:val="es-ES" w:eastAsia="en-US"/>
        </w:rPr>
        <w:t>resultaba inconstitucional</w:t>
      </w:r>
      <w:r w:rsidR="00984E4F" w:rsidRPr="003417DD">
        <w:rPr>
          <w:rFonts w:cs="Arial"/>
          <w:sz w:val="26"/>
          <w:szCs w:val="26"/>
          <w:lang w:val="es-ES" w:eastAsia="en-US"/>
        </w:rPr>
        <w:t xml:space="preserve">, injusto e inequitativo al </w:t>
      </w:r>
      <w:r w:rsidR="00211012" w:rsidRPr="003417DD">
        <w:rPr>
          <w:rFonts w:cs="Arial"/>
          <w:sz w:val="26"/>
          <w:szCs w:val="26"/>
          <w:lang w:val="es-ES" w:eastAsia="en-US"/>
        </w:rPr>
        <w:t>despojar de todos los gananciales a uno de los cónyuges sin acreditarse la mala fe</w:t>
      </w:r>
      <w:r w:rsidR="003E2516" w:rsidRPr="003417DD">
        <w:rPr>
          <w:rFonts w:cs="Arial"/>
          <w:sz w:val="26"/>
          <w:szCs w:val="26"/>
          <w:lang w:val="es-ES" w:eastAsia="en-US"/>
        </w:rPr>
        <w:t xml:space="preserve">. </w:t>
      </w:r>
      <w:r w:rsidR="007F75F7" w:rsidRPr="003417DD">
        <w:rPr>
          <w:rFonts w:cs="Arial"/>
          <w:sz w:val="26"/>
          <w:szCs w:val="26"/>
          <w:lang w:val="es-ES" w:eastAsia="en-US"/>
        </w:rPr>
        <w:t>A</w:t>
      </w:r>
      <w:r w:rsidR="002F76FD" w:rsidRPr="003417DD">
        <w:rPr>
          <w:rFonts w:cs="Arial"/>
          <w:sz w:val="26"/>
          <w:szCs w:val="26"/>
          <w:lang w:val="es-ES" w:eastAsia="en-US"/>
        </w:rPr>
        <w:t xml:space="preserve">rgumentó que la disposición representaba una vulneración a los derechos a la propiedad, a la protección a la familia y a la igualdad de derechos y equivalencia </w:t>
      </w:r>
      <w:r w:rsidR="002F76FD" w:rsidRPr="003417DD">
        <w:rPr>
          <w:rFonts w:cs="Arial"/>
          <w:sz w:val="26"/>
          <w:szCs w:val="26"/>
          <w:lang w:val="es-ES" w:eastAsia="en-US"/>
        </w:rPr>
        <w:lastRenderedPageBreak/>
        <w:t xml:space="preserve">de responsabilidades entre los cónyuges, que existe durante el matrimonio y en caso de disolución de </w:t>
      </w:r>
      <w:r w:rsidR="007D2D9E" w:rsidRPr="003417DD">
        <w:rPr>
          <w:rFonts w:cs="Arial"/>
          <w:sz w:val="26"/>
          <w:szCs w:val="26"/>
          <w:lang w:val="es-ES" w:eastAsia="en-US"/>
        </w:rPr>
        <w:t>é</w:t>
      </w:r>
      <w:r w:rsidR="002F76FD" w:rsidRPr="003417DD">
        <w:rPr>
          <w:rFonts w:cs="Arial"/>
          <w:sz w:val="26"/>
          <w:szCs w:val="26"/>
          <w:lang w:val="es-ES" w:eastAsia="en-US"/>
        </w:rPr>
        <w:t>ste.</w:t>
      </w:r>
    </w:p>
    <w:p w14:paraId="26218359" w14:textId="77777777" w:rsidR="003959D4" w:rsidRPr="003417DD" w:rsidRDefault="003959D4" w:rsidP="003959D4">
      <w:pPr>
        <w:pStyle w:val="corte4fondo"/>
        <w:ind w:firstLine="0"/>
        <w:rPr>
          <w:rFonts w:cs="Arial"/>
          <w:sz w:val="26"/>
          <w:szCs w:val="26"/>
          <w:lang w:val="es-ES" w:eastAsia="en-US"/>
        </w:rPr>
      </w:pPr>
    </w:p>
    <w:p w14:paraId="66D74E45" w14:textId="5261D03F" w:rsidR="007F75F7" w:rsidRPr="003417DD" w:rsidRDefault="00C673E3" w:rsidP="007F75F7">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 xml:space="preserve">Igualmente, el señor </w:t>
      </w:r>
      <w:r w:rsidRPr="003417DD">
        <w:rPr>
          <w:rFonts w:cs="Arial"/>
          <w:color w:val="FF0000"/>
          <w:sz w:val="26"/>
          <w:szCs w:val="26"/>
          <w:lang w:val="es-ES" w:eastAsia="en-US"/>
        </w:rPr>
        <w:t xml:space="preserve">LA </w:t>
      </w:r>
      <w:r w:rsidRPr="003417DD">
        <w:rPr>
          <w:rFonts w:cs="Arial"/>
          <w:sz w:val="26"/>
          <w:szCs w:val="26"/>
          <w:lang w:val="es-ES" w:eastAsia="en-US"/>
        </w:rPr>
        <w:t xml:space="preserve">argumentó que dicha disposición genera la privación completa de sus propiedades y gananciales adquiridos con todo el trabajo de su vida, pues estuvo casado con la demandante durante más de cuarenta años. </w:t>
      </w:r>
      <w:r w:rsidR="009A5ED4" w:rsidRPr="003417DD">
        <w:rPr>
          <w:rFonts w:cs="Arial"/>
          <w:sz w:val="26"/>
          <w:szCs w:val="26"/>
          <w:lang w:val="es-ES" w:eastAsia="en-US"/>
        </w:rPr>
        <w:t>A</w:t>
      </w:r>
      <w:r w:rsidRPr="003417DD">
        <w:rPr>
          <w:rFonts w:cs="Arial"/>
          <w:sz w:val="26"/>
          <w:szCs w:val="26"/>
          <w:lang w:val="es-ES" w:eastAsia="en-US"/>
        </w:rPr>
        <w:t xml:space="preserve">simismo, </w:t>
      </w:r>
      <w:r w:rsidR="007F4C67">
        <w:rPr>
          <w:rFonts w:cs="Arial"/>
          <w:sz w:val="26"/>
          <w:szCs w:val="26"/>
          <w:lang w:val="es-ES" w:eastAsia="en-US"/>
        </w:rPr>
        <w:t xml:space="preserve">reclamó </w:t>
      </w:r>
      <w:r w:rsidRPr="003417DD">
        <w:rPr>
          <w:rFonts w:cs="Arial"/>
          <w:sz w:val="26"/>
          <w:szCs w:val="26"/>
          <w:lang w:val="es-ES" w:eastAsia="en-US"/>
        </w:rPr>
        <w:t xml:space="preserve">que la medida resulta desproporcionalmente gravosa, pues es consecuencia únicamente de no haber disuelto un matrimonio previo, que ocurrió en fechas previas al segundo matrimonio. </w:t>
      </w:r>
      <w:r w:rsidR="00927F1F" w:rsidRPr="003417DD">
        <w:rPr>
          <w:rFonts w:cs="Arial"/>
          <w:sz w:val="26"/>
          <w:szCs w:val="26"/>
          <w:lang w:val="es-ES" w:eastAsia="en-US"/>
        </w:rPr>
        <w:t>Por todo lo anterior, consideró que la disposición representa una clara limitación constitucional, pues restringe los derechos reconocidos en los artículos 14, 16 y 17 constitucionales</w:t>
      </w:r>
      <w:r w:rsidR="00AC7069" w:rsidRPr="003417DD">
        <w:rPr>
          <w:rFonts w:cs="Arial"/>
          <w:sz w:val="26"/>
          <w:szCs w:val="26"/>
          <w:lang w:val="es-ES" w:eastAsia="en-US"/>
        </w:rPr>
        <w:t>.</w:t>
      </w:r>
    </w:p>
    <w:p w14:paraId="6CE289E6" w14:textId="77777777" w:rsidR="007F75F7" w:rsidRPr="003417DD" w:rsidRDefault="007F75F7" w:rsidP="000D7912">
      <w:pPr>
        <w:pStyle w:val="Prrafodelista"/>
        <w:spacing w:line="360" w:lineRule="auto"/>
        <w:rPr>
          <w:rFonts w:cs="Arial"/>
          <w:sz w:val="26"/>
          <w:szCs w:val="26"/>
          <w:lang w:val="es-ES" w:eastAsia="en-US"/>
        </w:rPr>
      </w:pPr>
    </w:p>
    <w:p w14:paraId="1EFA7FB0" w14:textId="65A1BC0F" w:rsidR="007F75F7" w:rsidRPr="003417DD" w:rsidRDefault="00F4292B" w:rsidP="007F75F7">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Si bien</w:t>
      </w:r>
      <w:r w:rsidR="007F75F7" w:rsidRPr="003417DD">
        <w:rPr>
          <w:rFonts w:cs="Arial"/>
          <w:sz w:val="26"/>
          <w:szCs w:val="26"/>
          <w:lang w:val="es-ES" w:eastAsia="en-US"/>
        </w:rPr>
        <w:t>,</w:t>
      </w:r>
      <w:r w:rsidRPr="003417DD">
        <w:rPr>
          <w:rFonts w:cs="Arial"/>
          <w:sz w:val="26"/>
          <w:szCs w:val="26"/>
          <w:lang w:val="es-ES" w:eastAsia="en-US"/>
        </w:rPr>
        <w:t xml:space="preserve"> por un lado</w:t>
      </w:r>
      <w:r w:rsidR="007F75F7" w:rsidRPr="003417DD">
        <w:rPr>
          <w:rFonts w:cs="Arial"/>
          <w:sz w:val="26"/>
          <w:szCs w:val="26"/>
          <w:lang w:val="es-ES" w:eastAsia="en-US"/>
        </w:rPr>
        <w:t>, el quejoso</w:t>
      </w:r>
      <w:r w:rsidRPr="003417DD">
        <w:rPr>
          <w:rFonts w:cs="Arial"/>
          <w:sz w:val="26"/>
          <w:szCs w:val="26"/>
          <w:lang w:val="es-ES" w:eastAsia="en-US"/>
        </w:rPr>
        <w:t xml:space="preserve"> vincul</w:t>
      </w:r>
      <w:r w:rsidR="007F75F7" w:rsidRPr="003417DD">
        <w:rPr>
          <w:rFonts w:cs="Arial"/>
          <w:sz w:val="26"/>
          <w:szCs w:val="26"/>
          <w:lang w:val="es-ES" w:eastAsia="en-US"/>
        </w:rPr>
        <w:t>ó</w:t>
      </w:r>
      <w:r w:rsidRPr="003417DD">
        <w:rPr>
          <w:rFonts w:cs="Arial"/>
          <w:sz w:val="26"/>
          <w:szCs w:val="26"/>
          <w:lang w:val="es-ES" w:eastAsia="en-US"/>
        </w:rPr>
        <w:t xml:space="preserve"> el argumento de inconstitucionalidad a la incorrecta caracterización que se estima se realizó respecto de su actuación </w:t>
      </w:r>
      <w:r w:rsidR="007F75F7" w:rsidRPr="003417DD">
        <w:rPr>
          <w:rFonts w:cs="Arial"/>
          <w:sz w:val="26"/>
          <w:szCs w:val="26"/>
          <w:lang w:val="es-ES" w:eastAsia="en-US"/>
        </w:rPr>
        <w:br/>
      </w:r>
      <w:r w:rsidRPr="003417DD">
        <w:rPr>
          <w:rFonts w:cs="Arial"/>
          <w:sz w:val="26"/>
          <w:szCs w:val="26"/>
          <w:lang w:val="es-ES" w:eastAsia="en-US"/>
        </w:rPr>
        <w:t xml:space="preserve">—como de mala fe—, </w:t>
      </w:r>
      <w:r w:rsidR="007F4C67">
        <w:rPr>
          <w:rFonts w:cs="Arial"/>
          <w:sz w:val="26"/>
          <w:szCs w:val="26"/>
          <w:lang w:val="es-ES" w:eastAsia="en-US"/>
        </w:rPr>
        <w:t xml:space="preserve">en el escrito de demanda </w:t>
      </w:r>
      <w:r w:rsidRPr="003417DD">
        <w:rPr>
          <w:rFonts w:cs="Arial"/>
          <w:sz w:val="26"/>
          <w:szCs w:val="26"/>
          <w:lang w:val="es-ES" w:eastAsia="en-US"/>
        </w:rPr>
        <w:t>existen también argumentos independientes que combaten</w:t>
      </w:r>
      <w:r w:rsidR="007F75F7" w:rsidRPr="003417DD">
        <w:rPr>
          <w:rFonts w:cs="Arial"/>
          <w:sz w:val="26"/>
          <w:szCs w:val="26"/>
          <w:lang w:val="es-ES" w:eastAsia="en-US"/>
        </w:rPr>
        <w:t xml:space="preserve"> frontalmente la medida prevista en el artículo reclamado, alegatos suficientes para </w:t>
      </w:r>
      <w:r w:rsidR="00862B15">
        <w:rPr>
          <w:rFonts w:cs="Arial"/>
          <w:sz w:val="26"/>
          <w:szCs w:val="26"/>
          <w:lang w:val="es-ES" w:eastAsia="en-US"/>
        </w:rPr>
        <w:t xml:space="preserve">que </w:t>
      </w:r>
      <w:r w:rsidR="007F75F7" w:rsidRPr="003417DD">
        <w:rPr>
          <w:rFonts w:cs="Arial"/>
          <w:sz w:val="26"/>
          <w:szCs w:val="26"/>
          <w:lang w:val="es-ES" w:eastAsia="en-US"/>
        </w:rPr>
        <w:t xml:space="preserve">el tribunal colegiado realizara el estudio respectivo. </w:t>
      </w:r>
      <w:r w:rsidR="007F75F7" w:rsidRPr="00F3132B">
        <w:rPr>
          <w:rFonts w:cs="Arial"/>
          <w:sz w:val="26"/>
          <w:szCs w:val="26"/>
          <w:lang w:val="es-ES" w:eastAsia="en-US"/>
        </w:rPr>
        <w:t xml:space="preserve">Es criterio de esta </w:t>
      </w:r>
      <w:r w:rsidR="007D487F">
        <w:rPr>
          <w:rFonts w:cs="Arial"/>
          <w:sz w:val="26"/>
          <w:szCs w:val="26"/>
          <w:lang w:val="es-ES" w:eastAsia="en-US"/>
        </w:rPr>
        <w:t xml:space="preserve">Suprema </w:t>
      </w:r>
      <w:r w:rsidR="007F75F7" w:rsidRPr="00F3132B">
        <w:rPr>
          <w:rFonts w:cs="Arial"/>
          <w:sz w:val="26"/>
          <w:szCs w:val="26"/>
          <w:lang w:val="es-ES" w:eastAsia="en-US"/>
        </w:rPr>
        <w:t>Corte</w:t>
      </w:r>
      <w:r w:rsidR="007F4C67" w:rsidRPr="00F3132B">
        <w:rPr>
          <w:rStyle w:val="Refdenotaalpie"/>
          <w:rFonts w:cs="Arial"/>
          <w:sz w:val="26"/>
          <w:szCs w:val="26"/>
          <w:lang w:val="es-ES" w:eastAsia="en-US"/>
        </w:rPr>
        <w:footnoteReference w:id="19"/>
      </w:r>
      <w:r w:rsidR="007F75F7" w:rsidRPr="003417DD">
        <w:rPr>
          <w:rFonts w:cs="Arial"/>
          <w:sz w:val="26"/>
          <w:szCs w:val="26"/>
          <w:lang w:val="es-ES" w:eastAsia="en-US"/>
        </w:rPr>
        <w:t xml:space="preserve"> que, no es necesario que se citen correctamente los preceptos constitucionales para poder realizar el estudio sobre el derecho a la protección familiar o el derecho a la propiedad, mientras que de los razonamientos de la demanda pueda advertirse claramente cuál es el derecho que se estima alegado y por</w:t>
      </w:r>
      <w:r w:rsidR="00B04D79">
        <w:rPr>
          <w:rFonts w:cs="Arial"/>
          <w:sz w:val="26"/>
          <w:szCs w:val="26"/>
          <w:lang w:val="es-ES" w:eastAsia="en-US"/>
        </w:rPr>
        <w:t xml:space="preserve"> </w:t>
      </w:r>
      <w:r w:rsidR="007F75F7" w:rsidRPr="003417DD">
        <w:rPr>
          <w:rFonts w:cs="Arial"/>
          <w:sz w:val="26"/>
          <w:szCs w:val="26"/>
          <w:lang w:val="es-ES" w:eastAsia="en-US"/>
        </w:rPr>
        <w:t xml:space="preserve">qué razones. </w:t>
      </w:r>
    </w:p>
    <w:p w14:paraId="0B013871" w14:textId="77777777" w:rsidR="007F75F7" w:rsidRPr="003417DD" w:rsidRDefault="007F75F7" w:rsidP="007D487F">
      <w:pPr>
        <w:pStyle w:val="Prrafodelista"/>
        <w:spacing w:line="360" w:lineRule="auto"/>
        <w:rPr>
          <w:rFonts w:cs="Arial"/>
          <w:sz w:val="26"/>
          <w:szCs w:val="26"/>
          <w:lang w:val="es-ES" w:eastAsia="en-US"/>
        </w:rPr>
      </w:pPr>
    </w:p>
    <w:p w14:paraId="4A16B8D1" w14:textId="3F9D3D18" w:rsidR="00F4292B" w:rsidRPr="003417DD" w:rsidRDefault="007F75F7" w:rsidP="007F75F7">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Por tanto, es infundado el agravio en el que la recurrente reclama</w:t>
      </w:r>
      <w:r w:rsidR="00193103" w:rsidRPr="003417DD">
        <w:rPr>
          <w:rFonts w:cs="Arial"/>
          <w:sz w:val="26"/>
          <w:szCs w:val="26"/>
          <w:lang w:val="es-ES" w:eastAsia="en-US"/>
        </w:rPr>
        <w:t xml:space="preserve"> la incorrecta aplicación de la suplencia de la queja, así como</w:t>
      </w:r>
      <w:r w:rsidRPr="003417DD">
        <w:rPr>
          <w:rFonts w:cs="Arial"/>
          <w:sz w:val="26"/>
          <w:szCs w:val="26"/>
          <w:lang w:val="es-ES" w:eastAsia="en-US"/>
        </w:rPr>
        <w:t xml:space="preserve"> incoherencias entre los conceptos de violación esgrimidos por el quejoso y lo resuelto en la sentencia. De la demanda de amparo se advierte que efectivamente se reclamó la inconstitucionalidad del </w:t>
      </w:r>
      <w:r w:rsidRPr="003417DD">
        <w:rPr>
          <w:rFonts w:cs="Arial"/>
          <w:sz w:val="26"/>
          <w:szCs w:val="26"/>
          <w:lang w:val="es-ES" w:eastAsia="en-US"/>
        </w:rPr>
        <w:lastRenderedPageBreak/>
        <w:t>artículo por violar el derecho a la propiedad y a la protección de la familia</w:t>
      </w:r>
      <w:r w:rsidR="00E05A44" w:rsidRPr="003417DD">
        <w:rPr>
          <w:rFonts w:cs="Arial"/>
          <w:sz w:val="26"/>
          <w:szCs w:val="26"/>
          <w:lang w:val="es-ES" w:eastAsia="en-US"/>
        </w:rPr>
        <w:t xml:space="preserve"> al resultar desproporcionado y violentar el derecho de los cónyuges a la igualdad de derechos y responsabilidades durante y con posterioridad a la disolución del matrimonio. Con base en estos argumentos, el tribunal colegiado emitió la sentencia que ahora se combate. </w:t>
      </w:r>
    </w:p>
    <w:p w14:paraId="41130713" w14:textId="77777777" w:rsidR="007F75F7" w:rsidRPr="003417DD" w:rsidRDefault="007F75F7" w:rsidP="00AC7069">
      <w:pPr>
        <w:pStyle w:val="corte4fondo"/>
        <w:ind w:firstLine="0"/>
        <w:rPr>
          <w:rFonts w:cs="Arial"/>
          <w:sz w:val="26"/>
          <w:szCs w:val="26"/>
          <w:lang w:val="es-ES" w:eastAsia="en-US"/>
        </w:rPr>
      </w:pPr>
    </w:p>
    <w:p w14:paraId="591ECFFE" w14:textId="20E6E4C6" w:rsidR="00301BCB" w:rsidRPr="00874380" w:rsidRDefault="00E05A44" w:rsidP="00301BCB">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 xml:space="preserve">Así pues, </w:t>
      </w:r>
      <w:r w:rsidR="00193103" w:rsidRPr="003417DD">
        <w:rPr>
          <w:rFonts w:cs="Arial"/>
          <w:sz w:val="26"/>
          <w:szCs w:val="26"/>
          <w:lang w:val="es-ES" w:eastAsia="en-US"/>
        </w:rPr>
        <w:t xml:space="preserve">una vez que el tribunal colegiado confirmó la </w:t>
      </w:r>
      <w:r w:rsidR="007F4C67" w:rsidRPr="003417DD">
        <w:rPr>
          <w:rFonts w:cs="Arial"/>
          <w:sz w:val="26"/>
          <w:szCs w:val="26"/>
          <w:lang w:val="es-ES" w:eastAsia="en-US"/>
        </w:rPr>
        <w:t>aplicabilidad</w:t>
      </w:r>
      <w:r w:rsidR="00193103" w:rsidRPr="003417DD">
        <w:rPr>
          <w:rFonts w:cs="Arial"/>
          <w:sz w:val="26"/>
          <w:szCs w:val="26"/>
          <w:lang w:val="es-ES" w:eastAsia="en-US"/>
        </w:rPr>
        <w:t xml:space="preserve"> del artículo 336 del Código Civil del Estado de Jalisco,</w:t>
      </w:r>
      <w:r w:rsidR="006568AB" w:rsidRPr="003417DD">
        <w:rPr>
          <w:rFonts w:cs="Arial"/>
          <w:sz w:val="26"/>
          <w:szCs w:val="26"/>
          <w:lang w:val="es-ES" w:eastAsia="en-US"/>
        </w:rPr>
        <w:t xml:space="preserve"> realizó el análisis de constitucionalidad</w:t>
      </w:r>
      <w:r w:rsidR="00193103" w:rsidRPr="003417DD">
        <w:rPr>
          <w:rFonts w:cs="Arial"/>
          <w:sz w:val="26"/>
          <w:szCs w:val="26"/>
          <w:lang w:val="es-ES" w:eastAsia="en-US"/>
        </w:rPr>
        <w:t xml:space="preserve">. </w:t>
      </w:r>
      <w:r w:rsidR="006568AB" w:rsidRPr="003417DD">
        <w:rPr>
          <w:rFonts w:cs="Arial"/>
          <w:sz w:val="26"/>
          <w:szCs w:val="26"/>
          <w:lang w:val="es-ES" w:eastAsia="en-US"/>
        </w:rPr>
        <w:t>D</w:t>
      </w:r>
      <w:r w:rsidR="00BE34CB" w:rsidRPr="003417DD">
        <w:rPr>
          <w:rFonts w:cs="Arial"/>
          <w:sz w:val="26"/>
          <w:szCs w:val="26"/>
          <w:lang w:val="es-ES" w:eastAsia="en-US"/>
        </w:rPr>
        <w:t xml:space="preserve">eterminó que la sanción impuesta en el numeral al cónyuge que actuó de mala fe resulta inconstitucional por </w:t>
      </w:r>
      <w:r w:rsidR="001A02A6" w:rsidRPr="003417DD">
        <w:rPr>
          <w:rFonts w:cs="Arial"/>
          <w:sz w:val="26"/>
          <w:szCs w:val="26"/>
          <w:lang w:val="es-ES" w:eastAsia="en-US"/>
        </w:rPr>
        <w:t xml:space="preserve">absoluta y excesiva. </w:t>
      </w:r>
      <w:r w:rsidR="00C57647">
        <w:rPr>
          <w:rFonts w:cs="Arial"/>
          <w:sz w:val="26"/>
          <w:szCs w:val="26"/>
          <w:lang w:val="es-ES" w:eastAsia="en-US"/>
        </w:rPr>
        <w:t xml:space="preserve">Sostuvo </w:t>
      </w:r>
      <w:r w:rsidR="00A12046" w:rsidRPr="003417DD">
        <w:rPr>
          <w:rFonts w:cs="Arial"/>
          <w:sz w:val="26"/>
          <w:szCs w:val="26"/>
          <w:lang w:val="es-ES" w:eastAsia="en-US"/>
        </w:rPr>
        <w:t>que</w:t>
      </w:r>
      <w:r w:rsidR="00B35463" w:rsidRPr="003417DD">
        <w:rPr>
          <w:rFonts w:cs="Arial"/>
          <w:sz w:val="26"/>
          <w:szCs w:val="26"/>
          <w:lang w:val="es-ES" w:eastAsia="en-US"/>
        </w:rPr>
        <w:t>,</w:t>
      </w:r>
      <w:r w:rsidR="00A12046" w:rsidRPr="003417DD">
        <w:rPr>
          <w:rFonts w:cs="Arial"/>
          <w:sz w:val="26"/>
          <w:szCs w:val="26"/>
          <w:lang w:val="es-ES" w:eastAsia="en-US"/>
        </w:rPr>
        <w:t xml:space="preserve"> </w:t>
      </w:r>
      <w:r w:rsidR="00A12046" w:rsidRPr="003417DD">
        <w:rPr>
          <w:rFonts w:cs="Arial"/>
          <w:bCs/>
          <w:sz w:val="26"/>
          <w:szCs w:val="26"/>
          <w:lang w:val="es-ES" w:eastAsia="en-US"/>
        </w:rPr>
        <w:t>si bien es constitucionalmente válido imponer una sanción al consorte que actuó de mala fe, dicha sanción no puede ser desproporcionada</w:t>
      </w:r>
      <w:r w:rsidR="00193103" w:rsidRPr="003417DD">
        <w:rPr>
          <w:rFonts w:cs="Arial"/>
          <w:bCs/>
          <w:sz w:val="26"/>
          <w:szCs w:val="26"/>
          <w:lang w:val="es-ES" w:eastAsia="en-US"/>
        </w:rPr>
        <w:t>. Esto</w:t>
      </w:r>
      <w:r w:rsidR="00A12046" w:rsidRPr="003417DD">
        <w:rPr>
          <w:rFonts w:cs="Arial"/>
          <w:bCs/>
          <w:sz w:val="26"/>
          <w:szCs w:val="26"/>
          <w:lang w:val="es-ES" w:eastAsia="en-US"/>
        </w:rPr>
        <w:t xml:space="preserve"> sucedería si se priva</w:t>
      </w:r>
      <w:r w:rsidR="00915C11" w:rsidRPr="003417DD">
        <w:rPr>
          <w:rFonts w:cs="Arial"/>
          <w:bCs/>
          <w:sz w:val="26"/>
          <w:szCs w:val="26"/>
          <w:lang w:val="es-ES" w:eastAsia="en-US"/>
        </w:rPr>
        <w:t xml:space="preserve"> a la persona</w:t>
      </w:r>
      <w:r w:rsidR="00A12046" w:rsidRPr="003417DD">
        <w:rPr>
          <w:rFonts w:cs="Arial"/>
          <w:bCs/>
          <w:sz w:val="26"/>
          <w:szCs w:val="26"/>
          <w:lang w:val="es-ES" w:eastAsia="en-US"/>
        </w:rPr>
        <w:t xml:space="preserve"> de todos los bienes del patrimonio común sin hacer previamente un ejercicio en donde se tomen en cuenta</w:t>
      </w:r>
      <w:r w:rsidR="00844360" w:rsidRPr="003417DD">
        <w:rPr>
          <w:rFonts w:cs="Arial"/>
          <w:bCs/>
          <w:sz w:val="26"/>
          <w:szCs w:val="26"/>
          <w:lang w:val="es-ES" w:eastAsia="en-US"/>
        </w:rPr>
        <w:t xml:space="preserve"> </w:t>
      </w:r>
      <w:r w:rsidR="00A12046" w:rsidRPr="003417DD">
        <w:rPr>
          <w:rFonts w:cs="Arial"/>
          <w:bCs/>
          <w:sz w:val="26"/>
          <w:szCs w:val="26"/>
          <w:lang w:val="es-ES" w:eastAsia="en-US"/>
        </w:rPr>
        <w:t xml:space="preserve">elementos </w:t>
      </w:r>
      <w:r w:rsidR="00B35463" w:rsidRPr="003417DD">
        <w:rPr>
          <w:rFonts w:cs="Arial"/>
          <w:bCs/>
          <w:sz w:val="26"/>
          <w:szCs w:val="26"/>
          <w:lang w:val="es-ES" w:eastAsia="en-US"/>
        </w:rPr>
        <w:t>como el tiempo que duró la relación, la cantidad de bienes adquiridos, quién aportó los recursos para adquirir dichos bienes, cómo se desarrolló la dinámica del matrimonio, e incluso la edad de los consortes al momento de la declaratoria de nulidad del matrimonio</w:t>
      </w:r>
      <w:r w:rsidR="004C3C8A" w:rsidRPr="003417DD">
        <w:rPr>
          <w:rFonts w:cs="Arial"/>
          <w:bCs/>
          <w:sz w:val="26"/>
          <w:szCs w:val="26"/>
          <w:lang w:val="es-ES" w:eastAsia="en-US"/>
        </w:rPr>
        <w:t>.</w:t>
      </w:r>
      <w:r w:rsidR="00915C11" w:rsidRPr="003417DD">
        <w:rPr>
          <w:rFonts w:cs="Arial"/>
          <w:bCs/>
          <w:sz w:val="26"/>
          <w:szCs w:val="26"/>
          <w:lang w:val="es-ES" w:eastAsia="en-US"/>
        </w:rPr>
        <w:t xml:space="preserve"> En este sentido, </w:t>
      </w:r>
      <w:r w:rsidR="00301BCB" w:rsidRPr="003417DD">
        <w:rPr>
          <w:rFonts w:cs="Arial"/>
          <w:bCs/>
          <w:sz w:val="26"/>
          <w:szCs w:val="26"/>
          <w:lang w:val="es-ES" w:eastAsia="en-US"/>
        </w:rPr>
        <w:t xml:space="preserve">contrario a lo alegado por la recurrente, el tribunal del conocimiento </w:t>
      </w:r>
      <w:r w:rsidR="0018027D" w:rsidRPr="003417DD">
        <w:rPr>
          <w:rFonts w:cs="Arial"/>
          <w:bCs/>
          <w:sz w:val="26"/>
          <w:szCs w:val="26"/>
          <w:lang w:val="es-ES" w:eastAsia="en-US"/>
        </w:rPr>
        <w:t xml:space="preserve">sí </w:t>
      </w:r>
      <w:r w:rsidR="00301BCB" w:rsidRPr="003417DD">
        <w:rPr>
          <w:rFonts w:cs="Arial"/>
          <w:bCs/>
          <w:sz w:val="26"/>
          <w:szCs w:val="26"/>
          <w:lang w:val="es-ES" w:eastAsia="en-US"/>
        </w:rPr>
        <w:t xml:space="preserve">dio razones sobre porqué </w:t>
      </w:r>
      <w:r w:rsidR="0018027D" w:rsidRPr="003417DD">
        <w:rPr>
          <w:rFonts w:cs="Arial"/>
          <w:bCs/>
          <w:sz w:val="26"/>
          <w:szCs w:val="26"/>
          <w:lang w:val="es-ES" w:eastAsia="en-US"/>
        </w:rPr>
        <w:t xml:space="preserve">consideraba que </w:t>
      </w:r>
      <w:r w:rsidR="00301BCB" w:rsidRPr="003417DD">
        <w:rPr>
          <w:rFonts w:cs="Arial"/>
          <w:bCs/>
          <w:sz w:val="26"/>
          <w:szCs w:val="26"/>
          <w:lang w:val="es-ES" w:eastAsia="en-US"/>
        </w:rPr>
        <w:t xml:space="preserve">el artículo resultaba inconstitucional. </w:t>
      </w:r>
    </w:p>
    <w:p w14:paraId="48A9273C" w14:textId="77777777" w:rsidR="00874380" w:rsidRDefault="00874380" w:rsidP="00E270B1">
      <w:pPr>
        <w:pStyle w:val="Prrafodelista"/>
        <w:spacing w:line="360" w:lineRule="auto"/>
        <w:rPr>
          <w:rFonts w:cs="Arial"/>
          <w:sz w:val="26"/>
          <w:szCs w:val="26"/>
          <w:lang w:val="es-ES" w:eastAsia="en-US"/>
        </w:rPr>
      </w:pPr>
    </w:p>
    <w:p w14:paraId="1C52F84C" w14:textId="5C4BF637" w:rsidR="00874380" w:rsidRDefault="00874380" w:rsidP="00874380">
      <w:pPr>
        <w:pStyle w:val="corte4fondo"/>
        <w:numPr>
          <w:ilvl w:val="0"/>
          <w:numId w:val="2"/>
        </w:numPr>
        <w:ind w:left="0" w:hanging="567"/>
        <w:rPr>
          <w:rFonts w:cs="Arial"/>
          <w:sz w:val="26"/>
          <w:szCs w:val="26"/>
          <w:lang w:val="es-ES" w:eastAsia="en-US"/>
        </w:rPr>
      </w:pPr>
      <w:r>
        <w:rPr>
          <w:rFonts w:cs="Arial"/>
          <w:sz w:val="26"/>
          <w:szCs w:val="26"/>
          <w:lang w:val="es-ES" w:eastAsia="en-US"/>
        </w:rPr>
        <w:t>Asimismo,</w:t>
      </w:r>
      <w:r w:rsidRPr="003417DD">
        <w:rPr>
          <w:rFonts w:cs="Arial"/>
          <w:sz w:val="26"/>
          <w:szCs w:val="26"/>
          <w:lang w:val="es-ES" w:eastAsia="en-US"/>
        </w:rPr>
        <w:t xml:space="preserve"> la revisionista argumenta que fue incorrecto que el tribunal llevara a cabo el estudio de constitucionalidad del precepto analizado. Alegó que no era la primera vez que se le aplicaba el artículo al quejoso, por lo que en todo caso lo había consentido o su reclamo resultaba extemporáneo. De los argumentos se advierte que la recurrente pretende realizar un argumento de preclusión. Este agravio también es infundado. De la revisión de los antecedentes del caso, se advierte que no fue hasta la sentencia dictada en cumplimiento de 8 de diciembre de 2021 en la que se determinó el carácter de mala fe con el que actuó el quejoso, la buena fe de la tercera interesada y la aplicabilidad del precepto. Hasta ese </w:t>
      </w:r>
      <w:r w:rsidRPr="003417DD">
        <w:rPr>
          <w:rFonts w:cs="Arial"/>
          <w:sz w:val="26"/>
          <w:szCs w:val="26"/>
          <w:lang w:val="es-ES" w:eastAsia="en-US"/>
        </w:rPr>
        <w:lastRenderedPageBreak/>
        <w:t xml:space="preserve">momento se aplicó en su prejuicio el artículo 336 del Código Civil del Estado de Jalisco, por lo que no existe preclusión en el caso concreto. </w:t>
      </w:r>
      <w:r w:rsidRPr="003417DD">
        <w:rPr>
          <w:rStyle w:val="Refdenotaalpie"/>
          <w:rFonts w:cs="Arial"/>
          <w:sz w:val="26"/>
          <w:szCs w:val="26"/>
          <w:lang w:val="es-ES" w:eastAsia="en-US"/>
        </w:rPr>
        <w:footnoteReference w:id="20"/>
      </w:r>
    </w:p>
    <w:p w14:paraId="64744527" w14:textId="6931839B" w:rsidR="00915C11" w:rsidRPr="00874380" w:rsidRDefault="00915C11" w:rsidP="00874380">
      <w:pPr>
        <w:pStyle w:val="corte4fondo"/>
        <w:ind w:firstLine="0"/>
        <w:rPr>
          <w:rFonts w:cs="Arial"/>
          <w:sz w:val="26"/>
          <w:szCs w:val="26"/>
          <w:lang w:val="es-ES" w:eastAsia="en-US"/>
        </w:rPr>
      </w:pPr>
    </w:p>
    <w:p w14:paraId="5126312B" w14:textId="4D2DE407" w:rsidR="00BF4ADE" w:rsidRPr="003417DD" w:rsidRDefault="0018027D" w:rsidP="00F57627">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 xml:space="preserve">Ahora bien, la señora </w:t>
      </w:r>
      <w:r w:rsidRPr="003417DD">
        <w:rPr>
          <w:rFonts w:cs="Arial"/>
          <w:color w:val="FF0000"/>
          <w:sz w:val="26"/>
          <w:szCs w:val="26"/>
          <w:lang w:val="es-ES" w:eastAsia="en-US"/>
        </w:rPr>
        <w:t xml:space="preserve">MGGI </w:t>
      </w:r>
      <w:r w:rsidRPr="003417DD">
        <w:rPr>
          <w:rFonts w:cs="Arial"/>
          <w:color w:val="000000" w:themeColor="text1"/>
          <w:sz w:val="26"/>
          <w:szCs w:val="26"/>
          <w:lang w:val="es-ES" w:eastAsia="en-US"/>
        </w:rPr>
        <w:t>también combate la conclusión de inconstitucionalidad. Considera que la medida prevista en el artículo impugnado cuenta con una justificación constitucionalmente válida</w:t>
      </w:r>
      <w:r w:rsidR="00CD4D18" w:rsidRPr="003417DD">
        <w:rPr>
          <w:rFonts w:cs="Arial"/>
          <w:color w:val="000000" w:themeColor="text1"/>
          <w:sz w:val="26"/>
          <w:szCs w:val="26"/>
          <w:lang w:val="es-ES" w:eastAsia="en-US"/>
        </w:rPr>
        <w:t xml:space="preserve"> </w:t>
      </w:r>
      <w:r w:rsidR="00BF4ADE" w:rsidRPr="003417DD">
        <w:rPr>
          <w:rFonts w:cs="Arial"/>
          <w:color w:val="000000" w:themeColor="text1"/>
          <w:sz w:val="26"/>
          <w:szCs w:val="26"/>
          <w:lang w:val="es-ES" w:eastAsia="en-US"/>
        </w:rPr>
        <w:t>de protección de la familia, de acuerdo con el artículo 4 constitucional. Alega que la medida es idónea para garantizar que la actuación de los consortes sea apegada a derecho</w:t>
      </w:r>
      <w:r w:rsidR="00F57627" w:rsidRPr="003417DD">
        <w:rPr>
          <w:rFonts w:cs="Arial"/>
          <w:color w:val="000000" w:themeColor="text1"/>
          <w:sz w:val="26"/>
          <w:szCs w:val="26"/>
          <w:lang w:val="es-ES" w:eastAsia="en-US"/>
        </w:rPr>
        <w:t xml:space="preserve"> y evita la duplicidad de matrimonios. </w:t>
      </w:r>
      <w:r w:rsidR="00BF4ADE" w:rsidRPr="003417DD">
        <w:rPr>
          <w:rFonts w:cs="Arial"/>
          <w:sz w:val="26"/>
          <w:szCs w:val="26"/>
          <w:lang w:val="es-ES" w:eastAsia="en-US"/>
        </w:rPr>
        <w:t>Insiste en que la resolución del tribunal atenta contra la</w:t>
      </w:r>
      <w:r w:rsidR="00911C60" w:rsidRPr="003417DD">
        <w:rPr>
          <w:rFonts w:cs="Arial"/>
          <w:sz w:val="26"/>
          <w:szCs w:val="26"/>
          <w:lang w:val="es-ES" w:eastAsia="en-US"/>
        </w:rPr>
        <w:t xml:space="preserve"> “naturaleza y esencia de la </w:t>
      </w:r>
      <w:r w:rsidR="00BF4ADE" w:rsidRPr="003417DD">
        <w:rPr>
          <w:rFonts w:cs="Arial"/>
          <w:sz w:val="26"/>
          <w:szCs w:val="26"/>
          <w:lang w:val="es-ES" w:eastAsia="en-US"/>
        </w:rPr>
        <w:t>institución del matrimonio</w:t>
      </w:r>
      <w:r w:rsidR="00911C60" w:rsidRPr="003417DD">
        <w:rPr>
          <w:rFonts w:cs="Arial"/>
          <w:sz w:val="26"/>
          <w:szCs w:val="26"/>
          <w:lang w:val="es-ES" w:eastAsia="en-US"/>
        </w:rPr>
        <w:t>”</w:t>
      </w:r>
      <w:r w:rsidR="00F57627" w:rsidRPr="003417DD">
        <w:rPr>
          <w:rFonts w:cs="Arial"/>
          <w:color w:val="000000" w:themeColor="text1"/>
          <w:sz w:val="26"/>
          <w:szCs w:val="26"/>
          <w:lang w:val="es-ES" w:eastAsia="en-US"/>
        </w:rPr>
        <w:t>, que –considera—constituye la figura más valiosa para la formación de la familia</w:t>
      </w:r>
      <w:r w:rsidR="00435537" w:rsidRPr="003417DD">
        <w:rPr>
          <w:rFonts w:cs="Arial"/>
          <w:color w:val="000000" w:themeColor="text1"/>
          <w:sz w:val="26"/>
          <w:szCs w:val="26"/>
          <w:lang w:val="es-ES" w:eastAsia="en-US"/>
        </w:rPr>
        <w:t>, de carácter público e interés social.</w:t>
      </w:r>
    </w:p>
    <w:p w14:paraId="420D141D" w14:textId="77777777" w:rsidR="00F57627" w:rsidRPr="003417DD" w:rsidRDefault="00F57627" w:rsidP="005A0FF1">
      <w:pPr>
        <w:pStyle w:val="Prrafodelista"/>
        <w:spacing w:line="360" w:lineRule="auto"/>
        <w:rPr>
          <w:rFonts w:cs="Arial"/>
          <w:sz w:val="26"/>
          <w:szCs w:val="26"/>
          <w:lang w:val="es-ES" w:eastAsia="en-US"/>
        </w:rPr>
      </w:pPr>
    </w:p>
    <w:p w14:paraId="6D99D855" w14:textId="4F478C69" w:rsidR="00F57627" w:rsidRPr="003417DD" w:rsidRDefault="00F57627" w:rsidP="00F57627">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Además, reclama que la sentencia de amparo deja sin sanción el supuesto. En todo caso, considera que, si el tribunal estimó que la sanción no debía ser absoluta, debió entonces resolver sobre los parámetros que debían tomarse en cuenta</w:t>
      </w:r>
      <w:r w:rsidR="00911C60" w:rsidRPr="003417DD">
        <w:rPr>
          <w:rFonts w:cs="Arial"/>
          <w:sz w:val="26"/>
          <w:szCs w:val="26"/>
          <w:lang w:val="es-ES" w:eastAsia="en-US"/>
        </w:rPr>
        <w:t xml:space="preserve"> </w:t>
      </w:r>
      <w:r w:rsidRPr="003417DD">
        <w:rPr>
          <w:rFonts w:cs="Arial"/>
          <w:sz w:val="26"/>
          <w:szCs w:val="26"/>
          <w:lang w:val="es-ES" w:eastAsia="en-US"/>
        </w:rPr>
        <w:t xml:space="preserve">en lugar de “absolver” al quejoso. Precisa que </w:t>
      </w:r>
      <w:r w:rsidR="00911C60" w:rsidRPr="003417DD">
        <w:rPr>
          <w:rFonts w:cs="Arial"/>
          <w:sz w:val="26"/>
          <w:szCs w:val="26"/>
          <w:lang w:val="es-ES" w:eastAsia="en-US"/>
        </w:rPr>
        <w:t>al tribunal</w:t>
      </w:r>
      <w:r w:rsidR="005A0FF1">
        <w:rPr>
          <w:rFonts w:cs="Arial"/>
          <w:sz w:val="26"/>
          <w:szCs w:val="26"/>
          <w:lang w:val="es-ES" w:eastAsia="en-US"/>
        </w:rPr>
        <w:t xml:space="preserve"> colegiado</w:t>
      </w:r>
      <w:r w:rsidR="00911C60" w:rsidRPr="003417DD">
        <w:rPr>
          <w:rFonts w:cs="Arial"/>
          <w:sz w:val="26"/>
          <w:szCs w:val="26"/>
          <w:lang w:val="es-ES" w:eastAsia="en-US"/>
        </w:rPr>
        <w:t xml:space="preserve"> le correspondía</w:t>
      </w:r>
      <w:r w:rsidRPr="003417DD">
        <w:rPr>
          <w:rFonts w:cs="Arial"/>
          <w:sz w:val="26"/>
          <w:szCs w:val="26"/>
          <w:lang w:val="es-ES" w:eastAsia="en-US"/>
        </w:rPr>
        <w:t xml:space="preserve"> ordenar que el artículo se aplicara en forma parcial y no absoluta, pero que no podía estimarse que el cónyuge que actuó de mala fe </w:t>
      </w:r>
      <w:r w:rsidR="00435537" w:rsidRPr="003417DD">
        <w:rPr>
          <w:rFonts w:cs="Arial"/>
          <w:sz w:val="26"/>
          <w:szCs w:val="26"/>
          <w:lang w:val="es-ES" w:eastAsia="en-US"/>
        </w:rPr>
        <w:t>quedar</w:t>
      </w:r>
      <w:r w:rsidR="001F4ECE">
        <w:rPr>
          <w:rFonts w:cs="Arial"/>
          <w:sz w:val="26"/>
          <w:szCs w:val="26"/>
          <w:lang w:val="es-ES" w:eastAsia="en-US"/>
        </w:rPr>
        <w:t>a</w:t>
      </w:r>
      <w:r w:rsidR="00435537" w:rsidRPr="003417DD">
        <w:rPr>
          <w:rFonts w:cs="Arial"/>
          <w:sz w:val="26"/>
          <w:szCs w:val="26"/>
          <w:lang w:val="es-ES" w:eastAsia="en-US"/>
        </w:rPr>
        <w:t xml:space="preserve"> sin sanción. En su opinión, el tribunal </w:t>
      </w:r>
      <w:r w:rsidR="00944C52">
        <w:rPr>
          <w:rFonts w:cs="Arial"/>
          <w:sz w:val="26"/>
          <w:szCs w:val="26"/>
          <w:lang w:val="es-ES" w:eastAsia="en-US"/>
        </w:rPr>
        <w:t xml:space="preserve">colegiado </w:t>
      </w:r>
      <w:r w:rsidR="00435537" w:rsidRPr="003417DD">
        <w:rPr>
          <w:rFonts w:cs="Arial"/>
          <w:sz w:val="26"/>
          <w:szCs w:val="26"/>
          <w:lang w:val="es-ES" w:eastAsia="en-US"/>
        </w:rPr>
        <w:t xml:space="preserve">debió instruir a la sala responsable sobre cómo aplicar la sanción con base en los criterios que precisó el tribunal y con motivo del daño que ella y la sociedad resintieron con la conducta del quejoso. </w:t>
      </w:r>
    </w:p>
    <w:p w14:paraId="4B66755C" w14:textId="77777777" w:rsidR="0018027D" w:rsidRPr="003417DD" w:rsidRDefault="0018027D" w:rsidP="00944C52">
      <w:pPr>
        <w:pStyle w:val="Prrafodelista"/>
        <w:spacing w:line="360" w:lineRule="auto"/>
        <w:rPr>
          <w:rFonts w:cs="Arial"/>
          <w:sz w:val="26"/>
          <w:szCs w:val="26"/>
          <w:lang w:val="es-ES" w:eastAsia="en-US"/>
        </w:rPr>
      </w:pPr>
    </w:p>
    <w:p w14:paraId="11718776" w14:textId="3A935858" w:rsidR="0018027D" w:rsidRPr="003417DD" w:rsidRDefault="00F57627" w:rsidP="00193103">
      <w:pPr>
        <w:pStyle w:val="corte4fondo"/>
        <w:numPr>
          <w:ilvl w:val="0"/>
          <w:numId w:val="2"/>
        </w:numPr>
        <w:ind w:left="0" w:hanging="567"/>
        <w:rPr>
          <w:rFonts w:cs="Arial"/>
          <w:sz w:val="26"/>
          <w:szCs w:val="26"/>
          <w:lang w:val="es-ES" w:eastAsia="en-US"/>
        </w:rPr>
      </w:pPr>
      <w:r w:rsidRPr="003417DD">
        <w:rPr>
          <w:rFonts w:cs="Arial"/>
          <w:sz w:val="26"/>
          <w:szCs w:val="26"/>
          <w:lang w:val="es-ES" w:eastAsia="en-US"/>
        </w:rPr>
        <w:lastRenderedPageBreak/>
        <w:t xml:space="preserve">Esta Primera Sala considera que son infundados los </w:t>
      </w:r>
      <w:r w:rsidR="00435537" w:rsidRPr="003417DD">
        <w:rPr>
          <w:rFonts w:cs="Arial"/>
          <w:sz w:val="26"/>
          <w:szCs w:val="26"/>
          <w:lang w:val="es-ES" w:eastAsia="en-US"/>
        </w:rPr>
        <w:t>planteamientos</w:t>
      </w:r>
      <w:r w:rsidRPr="003417DD">
        <w:rPr>
          <w:rFonts w:cs="Arial"/>
          <w:sz w:val="26"/>
          <w:szCs w:val="26"/>
          <w:lang w:val="es-ES" w:eastAsia="en-US"/>
        </w:rPr>
        <w:t xml:space="preserve"> reseñados. </w:t>
      </w:r>
      <w:r w:rsidR="00BF4ADE" w:rsidRPr="003417DD">
        <w:rPr>
          <w:rFonts w:cs="Arial"/>
          <w:sz w:val="26"/>
          <w:szCs w:val="26"/>
          <w:lang w:val="es-ES" w:eastAsia="en-US"/>
        </w:rPr>
        <w:t>Compartimos</w:t>
      </w:r>
      <w:r w:rsidR="0018027D" w:rsidRPr="003417DD">
        <w:rPr>
          <w:rFonts w:cs="Arial"/>
          <w:sz w:val="26"/>
          <w:szCs w:val="26"/>
          <w:lang w:val="es-ES" w:eastAsia="en-US"/>
        </w:rPr>
        <w:t xml:space="preserve"> la conclusión del tribunal colegiado sobre la inconstitucionalidad del artículo 336 del Código Civil del Estado de Jalisco</w:t>
      </w:r>
      <w:r w:rsidR="00BF4ADE" w:rsidRPr="003417DD">
        <w:rPr>
          <w:rFonts w:cs="Arial"/>
          <w:sz w:val="26"/>
          <w:szCs w:val="26"/>
          <w:lang w:val="es-ES" w:eastAsia="en-US"/>
        </w:rPr>
        <w:t xml:space="preserve"> </w:t>
      </w:r>
      <w:r w:rsidR="00CD4D18" w:rsidRPr="003417DD">
        <w:rPr>
          <w:rFonts w:cs="Arial"/>
          <w:sz w:val="26"/>
          <w:szCs w:val="26"/>
          <w:lang w:val="es-ES" w:eastAsia="en-US"/>
        </w:rPr>
        <w:t xml:space="preserve">—si bien no </w:t>
      </w:r>
      <w:r w:rsidR="00BF4ADE" w:rsidRPr="003417DD">
        <w:rPr>
          <w:rFonts w:cs="Arial"/>
          <w:sz w:val="26"/>
          <w:szCs w:val="26"/>
          <w:lang w:val="es-ES" w:eastAsia="en-US"/>
        </w:rPr>
        <w:t>todos los argumentos</w:t>
      </w:r>
      <w:r w:rsidR="00CD4D18" w:rsidRPr="003417DD">
        <w:rPr>
          <w:rFonts w:cs="Arial"/>
          <w:sz w:val="26"/>
          <w:szCs w:val="26"/>
          <w:lang w:val="es-ES" w:eastAsia="en-US"/>
        </w:rPr>
        <w:t xml:space="preserve"> que </w:t>
      </w:r>
      <w:r w:rsidR="00BF4ADE" w:rsidRPr="003417DD">
        <w:rPr>
          <w:rFonts w:cs="Arial"/>
          <w:sz w:val="26"/>
          <w:szCs w:val="26"/>
          <w:lang w:val="es-ES" w:eastAsia="en-US"/>
        </w:rPr>
        <w:t xml:space="preserve">le </w:t>
      </w:r>
      <w:r w:rsidR="00CD4D18" w:rsidRPr="003417DD">
        <w:rPr>
          <w:rFonts w:cs="Arial"/>
          <w:sz w:val="26"/>
          <w:szCs w:val="26"/>
          <w:lang w:val="es-ES" w:eastAsia="en-US"/>
        </w:rPr>
        <w:t xml:space="preserve">permitieron llegar a </w:t>
      </w:r>
      <w:r w:rsidR="00BF4ADE" w:rsidRPr="003417DD">
        <w:rPr>
          <w:rFonts w:cs="Arial"/>
          <w:sz w:val="26"/>
          <w:szCs w:val="26"/>
          <w:lang w:val="es-ES" w:eastAsia="en-US"/>
        </w:rPr>
        <w:t>ella</w:t>
      </w:r>
      <w:r w:rsidR="00CD4D18" w:rsidRPr="003417DD">
        <w:rPr>
          <w:rFonts w:cs="Arial"/>
          <w:sz w:val="26"/>
          <w:szCs w:val="26"/>
          <w:lang w:val="es-ES" w:eastAsia="en-US"/>
        </w:rPr>
        <w:t>—</w:t>
      </w:r>
      <w:r w:rsidR="00BF4ADE" w:rsidRPr="003417DD">
        <w:rPr>
          <w:rFonts w:cs="Arial"/>
          <w:sz w:val="26"/>
          <w:szCs w:val="26"/>
          <w:lang w:val="es-ES" w:eastAsia="en-US"/>
        </w:rPr>
        <w:t>.</w:t>
      </w:r>
      <w:r w:rsidR="00435537" w:rsidRPr="003417DD">
        <w:rPr>
          <w:rFonts w:cs="Arial"/>
          <w:sz w:val="26"/>
          <w:szCs w:val="26"/>
          <w:lang w:val="es-ES" w:eastAsia="en-US"/>
        </w:rPr>
        <w:t xml:space="preserve"> Para dar respuesta a estos agravios, primero</w:t>
      </w:r>
      <w:r w:rsidR="006975EB" w:rsidRPr="003417DD">
        <w:rPr>
          <w:rFonts w:cs="Arial"/>
          <w:sz w:val="26"/>
          <w:szCs w:val="26"/>
          <w:lang w:val="es-ES" w:eastAsia="en-US"/>
        </w:rPr>
        <w:t>, se describirá el marco normativo en el que se desarrolla el caso.</w:t>
      </w:r>
      <w:r w:rsidR="007F4C67">
        <w:rPr>
          <w:rFonts w:cs="Arial"/>
          <w:sz w:val="26"/>
          <w:szCs w:val="26"/>
          <w:lang w:val="es-ES" w:eastAsia="en-US"/>
        </w:rPr>
        <w:t xml:space="preserve"> En segundo lugar, atenderemos los argumentos que reclaman </w:t>
      </w:r>
      <w:r w:rsidR="00847FDE">
        <w:rPr>
          <w:rFonts w:cs="Arial"/>
          <w:sz w:val="26"/>
          <w:szCs w:val="26"/>
          <w:lang w:val="es-ES" w:eastAsia="en-US"/>
        </w:rPr>
        <w:t xml:space="preserve">resultan insuficientes o incorrectas las razones por las que el tribunal de amparo consideró inconstitucional el precepto referido. </w:t>
      </w:r>
      <w:r w:rsidR="007F4C67">
        <w:rPr>
          <w:rFonts w:cs="Arial"/>
          <w:sz w:val="26"/>
          <w:szCs w:val="26"/>
          <w:lang w:val="es-ES" w:eastAsia="en-US"/>
        </w:rPr>
        <w:t>Finalmente</w:t>
      </w:r>
      <w:r w:rsidR="00847FDE">
        <w:rPr>
          <w:rFonts w:cs="Arial"/>
          <w:sz w:val="26"/>
          <w:szCs w:val="26"/>
          <w:lang w:val="es-ES" w:eastAsia="en-US"/>
        </w:rPr>
        <w:t xml:space="preserve">, se </w:t>
      </w:r>
      <w:r w:rsidR="008F4FF3">
        <w:rPr>
          <w:rFonts w:cs="Arial"/>
          <w:sz w:val="26"/>
          <w:szCs w:val="26"/>
          <w:lang w:val="es-ES" w:eastAsia="en-US"/>
        </w:rPr>
        <w:t>analizará si —como sostiene la recurrente— el artículo impugnado admitía una modulación que no dejara sin efectos la acción del cónyuge de mala fe.</w:t>
      </w:r>
      <w:r w:rsidR="002E4A01">
        <w:rPr>
          <w:rFonts w:cs="Arial"/>
          <w:sz w:val="26"/>
          <w:szCs w:val="26"/>
          <w:lang w:val="es-ES" w:eastAsia="en-US"/>
        </w:rPr>
        <w:t xml:space="preserve"> </w:t>
      </w:r>
      <w:r w:rsidR="00847FDE">
        <w:rPr>
          <w:rFonts w:cs="Arial"/>
          <w:sz w:val="26"/>
          <w:szCs w:val="26"/>
          <w:lang w:val="es-ES" w:eastAsia="en-US"/>
        </w:rPr>
        <w:t xml:space="preserve"> </w:t>
      </w:r>
    </w:p>
    <w:p w14:paraId="0B2B4012" w14:textId="07D51C09" w:rsidR="004E0094" w:rsidRPr="003417DD" w:rsidRDefault="004E0094" w:rsidP="006975EB">
      <w:pPr>
        <w:pStyle w:val="corte4fondo"/>
        <w:ind w:firstLine="0"/>
        <w:rPr>
          <w:rFonts w:cs="Arial"/>
          <w:sz w:val="26"/>
          <w:szCs w:val="26"/>
          <w:lang w:val="es-ES" w:eastAsia="en-US"/>
        </w:rPr>
      </w:pPr>
    </w:p>
    <w:p w14:paraId="7AD96530" w14:textId="014A2733" w:rsidR="0020589D" w:rsidRPr="003417DD" w:rsidRDefault="0020589D" w:rsidP="0020589D">
      <w:pPr>
        <w:pStyle w:val="corte4fondo"/>
        <w:ind w:firstLine="0"/>
        <w:jc w:val="center"/>
        <w:rPr>
          <w:rFonts w:cs="Arial"/>
          <w:i/>
          <w:iCs/>
          <w:sz w:val="26"/>
          <w:szCs w:val="26"/>
          <w:lang w:val="es-ES" w:eastAsia="en-US"/>
        </w:rPr>
      </w:pPr>
      <w:r w:rsidRPr="003417DD">
        <w:rPr>
          <w:rFonts w:cs="Arial"/>
          <w:i/>
          <w:iCs/>
          <w:sz w:val="26"/>
          <w:szCs w:val="26"/>
          <w:lang w:val="es-ES" w:eastAsia="en-US"/>
        </w:rPr>
        <w:t>Marco normativo en el que se inscribe la medida</w:t>
      </w:r>
    </w:p>
    <w:p w14:paraId="47D3A607" w14:textId="77777777" w:rsidR="0020589D" w:rsidRPr="003417DD" w:rsidRDefault="0020589D" w:rsidP="0020589D">
      <w:pPr>
        <w:pStyle w:val="corte4fondo"/>
        <w:ind w:firstLine="0"/>
        <w:rPr>
          <w:rFonts w:cs="Arial"/>
          <w:i/>
          <w:iCs/>
          <w:sz w:val="26"/>
          <w:szCs w:val="26"/>
          <w:lang w:val="es-ES" w:eastAsia="en-US"/>
        </w:rPr>
      </w:pPr>
    </w:p>
    <w:p w14:paraId="13E03EB6" w14:textId="5460BCAA" w:rsidR="004E0094" w:rsidRPr="003417DD" w:rsidRDefault="006975EB" w:rsidP="004E0094">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E</w:t>
      </w:r>
      <w:r w:rsidR="004E0094" w:rsidRPr="003417DD">
        <w:rPr>
          <w:rFonts w:cs="Arial"/>
          <w:sz w:val="26"/>
          <w:szCs w:val="26"/>
          <w:lang w:val="es-ES" w:eastAsia="en-US"/>
        </w:rPr>
        <w:t xml:space="preserve">l Código Civil del Estado de Jalisco establece como </w:t>
      </w:r>
      <w:r w:rsidR="006549A5">
        <w:rPr>
          <w:rFonts w:cs="Arial"/>
          <w:sz w:val="26"/>
          <w:szCs w:val="26"/>
          <w:lang w:val="es-ES" w:eastAsia="en-US"/>
        </w:rPr>
        <w:t>impedimentos</w:t>
      </w:r>
      <w:r w:rsidR="004E0094" w:rsidRPr="003417DD">
        <w:rPr>
          <w:rFonts w:cs="Arial"/>
          <w:sz w:val="26"/>
          <w:szCs w:val="26"/>
          <w:lang w:val="es-ES" w:eastAsia="en-US"/>
        </w:rPr>
        <w:t xml:space="preserve"> para contraer matrimonio</w:t>
      </w:r>
      <w:r w:rsidRPr="003417DD">
        <w:rPr>
          <w:rFonts w:cs="Arial"/>
          <w:sz w:val="26"/>
          <w:szCs w:val="26"/>
          <w:lang w:val="es-ES" w:eastAsia="en-US"/>
        </w:rPr>
        <w:t xml:space="preserve"> </w:t>
      </w:r>
      <w:r w:rsidR="004E0094" w:rsidRPr="003417DD">
        <w:rPr>
          <w:rFonts w:cs="Arial"/>
          <w:sz w:val="26"/>
          <w:szCs w:val="26"/>
          <w:lang w:val="es-ES" w:eastAsia="en-US"/>
        </w:rPr>
        <w:t>los siguientes:</w:t>
      </w:r>
    </w:p>
    <w:p w14:paraId="1CD281D8" w14:textId="77777777" w:rsidR="004E0094" w:rsidRPr="003417DD" w:rsidRDefault="004E0094" w:rsidP="004E0094">
      <w:pPr>
        <w:pStyle w:val="corte4fondo"/>
        <w:rPr>
          <w:rFonts w:cs="Arial"/>
          <w:sz w:val="26"/>
          <w:szCs w:val="26"/>
          <w:lang w:val="es-ES" w:eastAsia="en-US"/>
        </w:rPr>
      </w:pPr>
    </w:p>
    <w:p w14:paraId="52CBF803" w14:textId="77777777" w:rsidR="004E0094" w:rsidRPr="003417DD" w:rsidRDefault="004E0094" w:rsidP="006975EB">
      <w:pPr>
        <w:pStyle w:val="corte4fondo"/>
        <w:spacing w:line="240" w:lineRule="auto"/>
        <w:ind w:left="1134" w:right="567" w:hanging="567"/>
        <w:rPr>
          <w:rFonts w:cs="Arial"/>
          <w:sz w:val="24"/>
          <w:szCs w:val="24"/>
          <w:lang w:val="es-ES" w:eastAsia="en-US"/>
        </w:rPr>
      </w:pPr>
      <w:r w:rsidRPr="003417DD">
        <w:rPr>
          <w:rFonts w:cs="Arial"/>
          <w:sz w:val="24"/>
          <w:szCs w:val="24"/>
          <w:lang w:val="es-ES" w:eastAsia="en-US"/>
        </w:rPr>
        <w:t>I. Ser menor de 18 años de edad;</w:t>
      </w:r>
    </w:p>
    <w:p w14:paraId="75F65BEF" w14:textId="77777777" w:rsidR="004E0094" w:rsidRPr="003417DD" w:rsidRDefault="004E0094" w:rsidP="006975EB">
      <w:pPr>
        <w:pStyle w:val="corte4fondo"/>
        <w:spacing w:line="240" w:lineRule="auto"/>
        <w:ind w:left="1134" w:right="567" w:hanging="567"/>
        <w:rPr>
          <w:rFonts w:cs="Arial"/>
          <w:sz w:val="24"/>
          <w:szCs w:val="24"/>
          <w:lang w:val="es-ES" w:eastAsia="en-US"/>
        </w:rPr>
      </w:pPr>
      <w:r w:rsidRPr="003417DD">
        <w:rPr>
          <w:rFonts w:cs="Arial"/>
          <w:sz w:val="24"/>
          <w:szCs w:val="24"/>
          <w:lang w:val="es-ES" w:eastAsia="en-US"/>
        </w:rPr>
        <w:t>II. El parentesco de consanguinidad, legítimo o natural, sin limitación de grado en la línea recta ascendente o descendente. En la línea colateral igual, el impedimento se extiende a los hermanos, medios hermanos y primos. En la colateral desigual, el impedimento se extiende solamente a los tíos y sobrinos. El parentesco de afinidad en línea recta, sin limitación alguna;</w:t>
      </w:r>
    </w:p>
    <w:p w14:paraId="0731DFA8" w14:textId="77777777" w:rsidR="004E0094" w:rsidRPr="003417DD" w:rsidRDefault="004E0094" w:rsidP="006975EB">
      <w:pPr>
        <w:pStyle w:val="corte4fondo"/>
        <w:spacing w:line="240" w:lineRule="auto"/>
        <w:ind w:left="1134" w:right="567" w:hanging="567"/>
        <w:rPr>
          <w:rFonts w:cs="Arial"/>
          <w:sz w:val="24"/>
          <w:szCs w:val="24"/>
          <w:lang w:val="es-ES" w:eastAsia="en-US"/>
        </w:rPr>
      </w:pPr>
      <w:r w:rsidRPr="003417DD">
        <w:rPr>
          <w:rFonts w:cs="Arial"/>
          <w:sz w:val="24"/>
          <w:szCs w:val="24"/>
          <w:lang w:val="es-ES" w:eastAsia="en-US"/>
        </w:rPr>
        <w:t>III. El parentesco de consanguinidad en línea colateral en el tercero y cuarto grados;</w:t>
      </w:r>
    </w:p>
    <w:p w14:paraId="1F5DDF03" w14:textId="77777777" w:rsidR="004E0094" w:rsidRPr="003417DD" w:rsidRDefault="004E0094" w:rsidP="006975EB">
      <w:pPr>
        <w:pStyle w:val="corte4fondo"/>
        <w:spacing w:line="240" w:lineRule="auto"/>
        <w:ind w:left="1134" w:right="567" w:hanging="567"/>
        <w:rPr>
          <w:rFonts w:cs="Arial"/>
          <w:sz w:val="24"/>
          <w:szCs w:val="24"/>
          <w:lang w:val="es-ES" w:eastAsia="en-US"/>
        </w:rPr>
      </w:pPr>
      <w:r w:rsidRPr="003417DD">
        <w:rPr>
          <w:rFonts w:cs="Arial"/>
          <w:sz w:val="24"/>
          <w:szCs w:val="24"/>
          <w:lang w:val="es-ES" w:eastAsia="en-US"/>
        </w:rPr>
        <w:t>IV. El matrimonio subsistente;</w:t>
      </w:r>
    </w:p>
    <w:p w14:paraId="6F414BA8" w14:textId="77777777" w:rsidR="004E0094" w:rsidRPr="003417DD" w:rsidRDefault="004E0094" w:rsidP="006975EB">
      <w:pPr>
        <w:pStyle w:val="corte4fondo"/>
        <w:spacing w:line="240" w:lineRule="auto"/>
        <w:ind w:left="1134" w:right="567" w:hanging="567"/>
        <w:rPr>
          <w:rFonts w:cs="Arial"/>
          <w:sz w:val="24"/>
          <w:szCs w:val="24"/>
          <w:lang w:val="es-ES" w:eastAsia="en-US"/>
        </w:rPr>
      </w:pPr>
      <w:r w:rsidRPr="003417DD">
        <w:rPr>
          <w:rFonts w:cs="Arial"/>
          <w:sz w:val="24"/>
          <w:szCs w:val="24"/>
          <w:lang w:val="es-ES" w:eastAsia="en-US"/>
        </w:rPr>
        <w:t>V. (Derogada)</w:t>
      </w:r>
    </w:p>
    <w:p w14:paraId="37005681" w14:textId="77777777" w:rsidR="004E0094" w:rsidRPr="003417DD" w:rsidRDefault="004E0094" w:rsidP="006975EB">
      <w:pPr>
        <w:pStyle w:val="corte4fondo"/>
        <w:spacing w:line="240" w:lineRule="auto"/>
        <w:ind w:left="1134" w:right="567" w:hanging="567"/>
        <w:rPr>
          <w:rFonts w:cs="Arial"/>
          <w:sz w:val="24"/>
          <w:szCs w:val="24"/>
          <w:lang w:val="es-ES" w:eastAsia="en-US"/>
        </w:rPr>
      </w:pPr>
      <w:r w:rsidRPr="003417DD">
        <w:rPr>
          <w:rFonts w:cs="Arial"/>
          <w:sz w:val="24"/>
          <w:szCs w:val="24"/>
          <w:lang w:val="es-ES" w:eastAsia="en-US"/>
        </w:rPr>
        <w:t>VI. El atentado contra la vida de alguno de los casados para contraer matrimonio con el que quede libre;</w:t>
      </w:r>
    </w:p>
    <w:p w14:paraId="2303710D" w14:textId="77777777" w:rsidR="004E0094" w:rsidRPr="003417DD" w:rsidRDefault="004E0094" w:rsidP="006975EB">
      <w:pPr>
        <w:pStyle w:val="corte4fondo"/>
        <w:spacing w:line="240" w:lineRule="auto"/>
        <w:ind w:left="1134" w:right="567" w:hanging="567"/>
        <w:rPr>
          <w:rFonts w:cs="Arial"/>
          <w:sz w:val="24"/>
          <w:szCs w:val="24"/>
          <w:lang w:val="es-ES" w:eastAsia="en-US"/>
        </w:rPr>
      </w:pPr>
      <w:r w:rsidRPr="003417DD">
        <w:rPr>
          <w:rFonts w:cs="Arial"/>
          <w:sz w:val="24"/>
          <w:szCs w:val="24"/>
          <w:lang w:val="es-ES" w:eastAsia="en-US"/>
        </w:rPr>
        <w:t>VII. Las enfermedades crónicas e incurables que sean, además, contagiosas y que pongan en peligro la vida o hereditarias; y cualesquiera otra enfermedad o conformación especial que sean contrarias a los fines del matrimonio, bien porque impidan las funciones relativas, o bien porque científicamente hagan prever algún perjuicio grave o degeneración para los descendientes; la impotencia incurable para la cópula salvo cuando exista por causa de la edad o cuando por otra diversa causa sea conocida por ambos contrayentes;</w:t>
      </w:r>
    </w:p>
    <w:p w14:paraId="5614BF8F" w14:textId="77777777" w:rsidR="004E0094" w:rsidRPr="003417DD" w:rsidRDefault="004E0094" w:rsidP="006975EB">
      <w:pPr>
        <w:pStyle w:val="corte4fondo"/>
        <w:spacing w:line="240" w:lineRule="auto"/>
        <w:ind w:left="1134" w:right="567" w:hanging="567"/>
        <w:rPr>
          <w:rFonts w:cs="Arial"/>
          <w:sz w:val="24"/>
          <w:szCs w:val="24"/>
          <w:lang w:val="es-ES" w:eastAsia="en-US"/>
        </w:rPr>
      </w:pPr>
      <w:r w:rsidRPr="003417DD">
        <w:rPr>
          <w:rFonts w:cs="Arial"/>
          <w:sz w:val="24"/>
          <w:szCs w:val="24"/>
          <w:lang w:val="es-ES" w:eastAsia="en-US"/>
        </w:rPr>
        <w:t>VIII. El estado de interdicción que se lo impida;</w:t>
      </w:r>
    </w:p>
    <w:p w14:paraId="7505C7DC" w14:textId="77777777" w:rsidR="004E0094" w:rsidRPr="003417DD" w:rsidRDefault="004E0094" w:rsidP="006975EB">
      <w:pPr>
        <w:pStyle w:val="corte4fondo"/>
        <w:spacing w:line="240" w:lineRule="auto"/>
        <w:ind w:left="1134" w:right="567" w:hanging="567"/>
        <w:rPr>
          <w:rFonts w:cs="Arial"/>
          <w:sz w:val="24"/>
          <w:szCs w:val="24"/>
          <w:lang w:val="es-ES" w:eastAsia="en-US"/>
        </w:rPr>
      </w:pPr>
      <w:r w:rsidRPr="003417DD">
        <w:rPr>
          <w:rFonts w:cs="Arial"/>
          <w:sz w:val="24"/>
          <w:szCs w:val="24"/>
          <w:lang w:val="es-ES" w:eastAsia="en-US"/>
        </w:rPr>
        <w:t>IX. La fuerza o miedo graves;</w:t>
      </w:r>
    </w:p>
    <w:p w14:paraId="79D126DF" w14:textId="77777777" w:rsidR="004E0094" w:rsidRPr="003417DD" w:rsidRDefault="004E0094" w:rsidP="006975EB">
      <w:pPr>
        <w:pStyle w:val="corte4fondo"/>
        <w:spacing w:line="240" w:lineRule="auto"/>
        <w:ind w:left="1134" w:right="567" w:hanging="567"/>
        <w:rPr>
          <w:rFonts w:cs="Arial"/>
          <w:sz w:val="24"/>
          <w:szCs w:val="24"/>
          <w:lang w:val="es-ES" w:eastAsia="en-US"/>
        </w:rPr>
      </w:pPr>
      <w:r w:rsidRPr="003417DD">
        <w:rPr>
          <w:rFonts w:cs="Arial"/>
          <w:sz w:val="24"/>
          <w:szCs w:val="24"/>
          <w:lang w:val="es-ES" w:eastAsia="en-US"/>
        </w:rPr>
        <w:lastRenderedPageBreak/>
        <w:t>X. No acreditar ante el Oficial del Registro Civil, que los interesados recibieron el curso prematrimonial, a que se hace referencia en el artículo anterior.</w:t>
      </w:r>
      <w:r w:rsidRPr="003417DD">
        <w:rPr>
          <w:rStyle w:val="Refdenotaalpie"/>
          <w:rFonts w:cs="Arial"/>
          <w:sz w:val="24"/>
          <w:szCs w:val="24"/>
          <w:lang w:val="es-ES" w:eastAsia="en-US"/>
        </w:rPr>
        <w:footnoteReference w:id="21"/>
      </w:r>
    </w:p>
    <w:p w14:paraId="67CD4533" w14:textId="77777777" w:rsidR="004E0094" w:rsidRPr="003417DD" w:rsidRDefault="004E0094" w:rsidP="004E0094">
      <w:pPr>
        <w:pStyle w:val="corte4fondo"/>
        <w:rPr>
          <w:rFonts w:cs="Arial"/>
          <w:sz w:val="26"/>
          <w:szCs w:val="26"/>
          <w:lang w:val="es-ES" w:eastAsia="en-US"/>
        </w:rPr>
      </w:pPr>
    </w:p>
    <w:p w14:paraId="48E4B009" w14:textId="4772408C" w:rsidR="004E0094" w:rsidRPr="003417DD" w:rsidRDefault="004E0094" w:rsidP="004E0094">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De estos impedimentos, se consideran dispensables únicamente los establecidos en las fracciones III y VII, de modo que el incumplimiento del resto de las condiciones implica que el matrimonio celebrado entre las partes no puede considerarse válido. De acuerdo con el propio código, el matrimonio celebrado por una persona con un matrimonio previo subsistente genera la ilegitimidad por ineficacia del acto jurídico,</w:t>
      </w:r>
      <w:r w:rsidRPr="003417DD">
        <w:rPr>
          <w:rStyle w:val="Refdenotaalpie"/>
          <w:rFonts w:cs="Arial"/>
          <w:sz w:val="26"/>
          <w:szCs w:val="26"/>
          <w:lang w:val="es-ES" w:eastAsia="en-US"/>
        </w:rPr>
        <w:footnoteReference w:id="22"/>
      </w:r>
      <w:r w:rsidRPr="003417DD">
        <w:rPr>
          <w:rFonts w:cs="Arial"/>
          <w:sz w:val="26"/>
          <w:szCs w:val="26"/>
          <w:lang w:val="es-ES" w:eastAsia="en-US"/>
        </w:rPr>
        <w:t xml:space="preserve"> es decir, el matrimonio celebrado en estos términos puede ser declarado nulo. </w:t>
      </w:r>
    </w:p>
    <w:p w14:paraId="08422270" w14:textId="77777777" w:rsidR="004E0094" w:rsidRPr="003417DD" w:rsidRDefault="004E0094" w:rsidP="004E0094">
      <w:pPr>
        <w:pStyle w:val="corte4fondo"/>
        <w:ind w:firstLine="0"/>
        <w:rPr>
          <w:rFonts w:cs="Arial"/>
          <w:sz w:val="26"/>
          <w:szCs w:val="26"/>
          <w:lang w:val="es-ES" w:eastAsia="en-US"/>
        </w:rPr>
      </w:pPr>
    </w:p>
    <w:p w14:paraId="6C2FDC01" w14:textId="64A121EE" w:rsidR="004E0094" w:rsidRPr="003417DD" w:rsidRDefault="004E0094" w:rsidP="004E0094">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En términos de esta Primera Sala, la nulidad de</w:t>
      </w:r>
      <w:r w:rsidR="004951D8">
        <w:rPr>
          <w:rFonts w:cs="Arial"/>
          <w:sz w:val="26"/>
          <w:szCs w:val="26"/>
          <w:lang w:val="es-ES" w:eastAsia="en-US"/>
        </w:rPr>
        <w:t>l</w:t>
      </w:r>
      <w:r w:rsidRPr="003417DD">
        <w:rPr>
          <w:rFonts w:cs="Arial"/>
          <w:sz w:val="26"/>
          <w:szCs w:val="26"/>
          <w:lang w:val="es-ES" w:eastAsia="en-US"/>
        </w:rPr>
        <w:t xml:space="preserve"> matrimonio es la consecuencia jurídica que produce la falta o imperfección de los requisitos o presupuestos legalmente establecidos para la celebración de la unión matrimonial.</w:t>
      </w:r>
      <w:r w:rsidRPr="003417DD">
        <w:rPr>
          <w:rStyle w:val="Refdenotaalpie"/>
          <w:rFonts w:cs="Arial"/>
          <w:sz w:val="26"/>
          <w:szCs w:val="26"/>
          <w:lang w:val="es-ES" w:eastAsia="en-US"/>
        </w:rPr>
        <w:footnoteReference w:id="23"/>
      </w:r>
      <w:r w:rsidRPr="003417DD">
        <w:rPr>
          <w:rFonts w:cs="Arial"/>
          <w:sz w:val="26"/>
          <w:szCs w:val="26"/>
          <w:lang w:val="es-ES" w:eastAsia="en-US"/>
        </w:rPr>
        <w:t xml:space="preserve"> En el marco normativo de Jalisco, la acción de ilegitimidad contra el matrimonio contraído por una persona que ya está casada puede ser ejercida en cualquier momento por los cónyuges o por sus ascendientes; por el cónyuge del primer matrimonio, por los hijos de aquél y por los cónyuges que contrajeron el segundo.</w:t>
      </w:r>
      <w:r w:rsidRPr="003417DD">
        <w:rPr>
          <w:rStyle w:val="Refdenotaalpie"/>
          <w:rFonts w:cs="Arial"/>
          <w:sz w:val="26"/>
          <w:szCs w:val="26"/>
          <w:lang w:val="es-ES" w:eastAsia="en-US"/>
        </w:rPr>
        <w:footnoteReference w:id="24"/>
      </w:r>
      <w:r w:rsidRPr="003417DD">
        <w:rPr>
          <w:lang w:val="es-ES"/>
        </w:rPr>
        <w:t xml:space="preserve"> </w:t>
      </w:r>
      <w:r w:rsidRPr="003417DD">
        <w:rPr>
          <w:rFonts w:cs="Arial"/>
          <w:sz w:val="26"/>
          <w:szCs w:val="26"/>
          <w:lang w:val="es-ES" w:eastAsia="en-US"/>
        </w:rPr>
        <w:t>Asimismo, estas acciones son imprescriptibles y no podrán ser legitimadas; cuando no son ejercitadas por las personas facultadas, deberá promover su ilegitimidad el Agente de la Procuraduría Social.</w:t>
      </w:r>
      <w:r w:rsidRPr="003417DD">
        <w:rPr>
          <w:rStyle w:val="Refdenotaalpie"/>
          <w:rFonts w:cs="Arial"/>
          <w:sz w:val="26"/>
          <w:szCs w:val="26"/>
          <w:lang w:val="es-ES" w:eastAsia="en-US"/>
        </w:rPr>
        <w:footnoteReference w:id="25"/>
      </w:r>
    </w:p>
    <w:p w14:paraId="031810D9" w14:textId="77777777" w:rsidR="004E0094" w:rsidRPr="003417DD" w:rsidRDefault="004E0094" w:rsidP="0042419B">
      <w:pPr>
        <w:pStyle w:val="Prrafodelista"/>
        <w:spacing w:line="360" w:lineRule="auto"/>
        <w:rPr>
          <w:rFonts w:cs="Arial"/>
          <w:sz w:val="26"/>
          <w:szCs w:val="26"/>
          <w:lang w:val="es-ES" w:eastAsia="en-US"/>
        </w:rPr>
      </w:pPr>
    </w:p>
    <w:p w14:paraId="01CEC2C7" w14:textId="2F5121AB" w:rsidR="004E0094" w:rsidRPr="003417DD" w:rsidRDefault="006975EB" w:rsidP="006975EB">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En este y en otros supuestos de nulidad, u</w:t>
      </w:r>
      <w:r w:rsidR="004E0094" w:rsidRPr="003417DD">
        <w:rPr>
          <w:rFonts w:cs="Arial"/>
          <w:sz w:val="26"/>
          <w:szCs w:val="26"/>
          <w:lang w:val="es-ES" w:eastAsia="en-US"/>
        </w:rPr>
        <w:t>na vez declarado ilegitimo o nulo el matrimonio</w:t>
      </w:r>
      <w:r w:rsidRPr="003417DD">
        <w:rPr>
          <w:rFonts w:cs="Arial"/>
          <w:sz w:val="26"/>
          <w:szCs w:val="26"/>
          <w:lang w:val="es-ES" w:eastAsia="en-US"/>
        </w:rPr>
        <w:t>,</w:t>
      </w:r>
      <w:r w:rsidR="004E0094" w:rsidRPr="003417DD">
        <w:rPr>
          <w:rFonts w:cs="Arial"/>
          <w:sz w:val="26"/>
          <w:szCs w:val="26"/>
          <w:lang w:val="es-ES" w:eastAsia="en-US"/>
        </w:rPr>
        <w:t xml:space="preserve"> cobra relevancia la actuación de las partes al momento de su celebración para determinar los efectos de la declaración. La conducta de las partes puede clasificarse como de buena o mala fe, en la medida en que conocen </w:t>
      </w:r>
      <w:r w:rsidR="004E0094" w:rsidRPr="003417DD">
        <w:rPr>
          <w:rFonts w:cs="Arial"/>
          <w:sz w:val="26"/>
          <w:szCs w:val="26"/>
          <w:lang w:val="es-ES" w:eastAsia="en-US"/>
        </w:rPr>
        <w:lastRenderedPageBreak/>
        <w:t xml:space="preserve">que su conducta se ajusta o no a la ley. </w:t>
      </w:r>
      <w:r w:rsidRPr="003417DD">
        <w:rPr>
          <w:rFonts w:cs="Arial"/>
          <w:sz w:val="26"/>
          <w:szCs w:val="26"/>
          <w:lang w:val="es-ES" w:eastAsia="en-US"/>
        </w:rPr>
        <w:t xml:space="preserve">Por regla general, mientras la buena fe se presume, la mala fe debe probarse. </w:t>
      </w:r>
      <w:r w:rsidR="004E0094" w:rsidRPr="003417DD">
        <w:rPr>
          <w:rFonts w:cs="Arial"/>
          <w:sz w:val="26"/>
          <w:szCs w:val="26"/>
          <w:lang w:val="es-ES" w:eastAsia="en-US"/>
        </w:rPr>
        <w:t>Mientras la buena fe implica una creencia honesta de que la conducta es legal y no afecta los derechos de terceros, la mala fe implica que la persona tiene conocimiento real o razonable de que está violando la ley o los derechos de otra persona.</w:t>
      </w:r>
      <w:r w:rsidRPr="003417DD">
        <w:rPr>
          <w:rFonts w:cs="Arial"/>
          <w:sz w:val="26"/>
          <w:szCs w:val="26"/>
          <w:lang w:val="es-ES" w:eastAsia="en-US"/>
        </w:rPr>
        <w:t xml:space="preserve"> </w:t>
      </w:r>
      <w:r w:rsidR="004E0094" w:rsidRPr="003417DD">
        <w:rPr>
          <w:rFonts w:cs="Arial"/>
          <w:sz w:val="26"/>
          <w:szCs w:val="26"/>
          <w:lang w:val="es-ES" w:eastAsia="en-US"/>
        </w:rPr>
        <w:t xml:space="preserve">Sobre el tema, en la contradicción de tesis 389/2011 esta Primera Sala estableció que: </w:t>
      </w:r>
    </w:p>
    <w:p w14:paraId="7412ECE2" w14:textId="77777777" w:rsidR="004E0094" w:rsidRPr="003417DD" w:rsidRDefault="004E0094" w:rsidP="004E0094">
      <w:pPr>
        <w:pStyle w:val="Prrafodelista"/>
        <w:ind w:left="567"/>
        <w:rPr>
          <w:rFonts w:cs="Arial"/>
          <w:sz w:val="24"/>
          <w:szCs w:val="24"/>
          <w:lang w:val="es-ES" w:eastAsia="en-US"/>
        </w:rPr>
      </w:pPr>
    </w:p>
    <w:p w14:paraId="15169AD5" w14:textId="20F095FA" w:rsidR="004E0094" w:rsidRPr="003417DD" w:rsidRDefault="004E0094" w:rsidP="006975EB">
      <w:pPr>
        <w:pStyle w:val="corte4fondo"/>
        <w:spacing w:line="240" w:lineRule="auto"/>
        <w:ind w:left="567" w:right="567" w:firstLine="0"/>
        <w:rPr>
          <w:rFonts w:cs="Arial"/>
          <w:sz w:val="24"/>
          <w:szCs w:val="24"/>
          <w:lang w:val="es-ES" w:eastAsia="en-US"/>
        </w:rPr>
      </w:pPr>
      <w:r w:rsidRPr="003417DD">
        <w:rPr>
          <w:rFonts w:cs="Arial"/>
          <w:sz w:val="24"/>
          <w:szCs w:val="24"/>
          <w:lang w:val="es-ES" w:eastAsia="en-US"/>
        </w:rPr>
        <w:t>Se considera que hay buena fe cuando el consorte no tenía conocimiento de la existencia de la causal de nulidad al momento de celebrar el matrimonio. En cambio, habrá mala fe cuando el consorte conocía que su matrimonio estaba viciado por una nulidad y a pesar de ello lo celebró. Cabe resaltar que el matrimonio tiene a su favor la presunción de haber sido celebrado de buena fe.</w:t>
      </w:r>
      <w:r w:rsidRPr="003417DD">
        <w:rPr>
          <w:rStyle w:val="Refdenotaalpie"/>
          <w:rFonts w:cs="Arial"/>
          <w:sz w:val="24"/>
          <w:szCs w:val="24"/>
          <w:lang w:val="es-ES" w:eastAsia="en-US"/>
        </w:rPr>
        <w:footnoteReference w:id="26"/>
      </w:r>
    </w:p>
    <w:p w14:paraId="0242C6DF" w14:textId="77777777" w:rsidR="004E0094" w:rsidRPr="003417DD" w:rsidRDefault="004E0094" w:rsidP="00FD537D">
      <w:pPr>
        <w:spacing w:line="360" w:lineRule="auto"/>
        <w:rPr>
          <w:rFonts w:cs="Arial"/>
          <w:sz w:val="26"/>
          <w:szCs w:val="26"/>
          <w:lang w:val="es-ES" w:eastAsia="en-US"/>
        </w:rPr>
      </w:pPr>
    </w:p>
    <w:p w14:paraId="56D40C69" w14:textId="48E32C41" w:rsidR="004E0094" w:rsidRPr="003417DD" w:rsidRDefault="004E0094" w:rsidP="004E0094">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 xml:space="preserve">En este sentido, </w:t>
      </w:r>
      <w:r w:rsidRPr="001F4ECE">
        <w:rPr>
          <w:rFonts w:cs="Arial"/>
          <w:sz w:val="26"/>
          <w:szCs w:val="26"/>
          <w:lang w:val="es-ES" w:eastAsia="en-US"/>
        </w:rPr>
        <w:t xml:space="preserve">el </w:t>
      </w:r>
      <w:r w:rsidR="00FF3E3E" w:rsidRPr="001F4ECE">
        <w:rPr>
          <w:rFonts w:cs="Arial"/>
          <w:sz w:val="26"/>
          <w:szCs w:val="26"/>
          <w:lang w:val="es-ES" w:eastAsia="en-US"/>
        </w:rPr>
        <w:t>código</w:t>
      </w:r>
      <w:r w:rsidRPr="001F4ECE">
        <w:rPr>
          <w:rFonts w:cs="Arial"/>
          <w:sz w:val="26"/>
          <w:szCs w:val="26"/>
          <w:lang w:val="es-ES" w:eastAsia="en-US"/>
        </w:rPr>
        <w:t xml:space="preserve"> de la entidad señala</w:t>
      </w:r>
      <w:r w:rsidRPr="003417DD">
        <w:rPr>
          <w:rFonts w:cs="Arial"/>
          <w:sz w:val="26"/>
          <w:szCs w:val="26"/>
          <w:lang w:val="es-ES" w:eastAsia="en-US"/>
        </w:rPr>
        <w:t xml:space="preserve"> que, en los casos de ilegitimidad, la sociedad subsistirá hasta que se pronuncie sentencia ejecutoria, si los dos cónyuges procedieron de buena fe,</w:t>
      </w:r>
      <w:r w:rsidR="001F4ECE">
        <w:rPr>
          <w:rStyle w:val="Refdenotaalpie"/>
          <w:rFonts w:cs="Arial"/>
          <w:sz w:val="26"/>
          <w:szCs w:val="26"/>
          <w:lang w:val="es-ES" w:eastAsia="en-US"/>
        </w:rPr>
        <w:footnoteReference w:id="27"/>
      </w:r>
      <w:r w:rsidRPr="003417DD">
        <w:rPr>
          <w:rFonts w:cs="Arial"/>
          <w:sz w:val="26"/>
          <w:szCs w:val="26"/>
          <w:lang w:val="es-ES" w:eastAsia="en-US"/>
        </w:rPr>
        <w:t xml:space="preserve"> pero cuando uno solo de los cónyuges tuvo buena fe, la sociedad subsistirá también hasta que cause ejecutoria la sentencia, si la continuación es favorable al cónyuge inocente; en caso contrario se considerará nula desde un principio.</w:t>
      </w:r>
      <w:r w:rsidR="001F4ECE">
        <w:rPr>
          <w:rStyle w:val="Refdenotaalpie"/>
          <w:rFonts w:cs="Arial"/>
          <w:sz w:val="26"/>
          <w:szCs w:val="26"/>
          <w:lang w:val="es-ES" w:eastAsia="en-US"/>
        </w:rPr>
        <w:footnoteReference w:id="28"/>
      </w:r>
      <w:r w:rsidRPr="003417DD">
        <w:rPr>
          <w:rFonts w:cs="Arial"/>
          <w:sz w:val="26"/>
          <w:szCs w:val="26"/>
          <w:lang w:val="es-ES" w:eastAsia="en-US"/>
        </w:rPr>
        <w:t xml:space="preserve"> Asimismo, si los dos cónyuges procedieron con mala fe, los gananciales se aplicarán a los hijos y si no los hubiere, se repartirán proporcionalmente entre los consortes.</w:t>
      </w:r>
      <w:r w:rsidR="00FF3E3E" w:rsidRPr="003417DD">
        <w:rPr>
          <w:rStyle w:val="Refdenotaalpie"/>
          <w:rFonts w:cs="Arial"/>
          <w:sz w:val="26"/>
          <w:szCs w:val="26"/>
          <w:lang w:val="es-ES" w:eastAsia="en-US"/>
        </w:rPr>
        <w:footnoteReference w:id="29"/>
      </w:r>
    </w:p>
    <w:p w14:paraId="1FED0937" w14:textId="77777777" w:rsidR="004E0094" w:rsidRPr="003417DD" w:rsidRDefault="004E0094" w:rsidP="00F50B64">
      <w:pPr>
        <w:spacing w:line="360" w:lineRule="auto"/>
        <w:rPr>
          <w:rFonts w:cs="Arial"/>
          <w:sz w:val="26"/>
          <w:szCs w:val="26"/>
          <w:lang w:val="es-ES" w:eastAsia="en-US"/>
        </w:rPr>
      </w:pPr>
    </w:p>
    <w:p w14:paraId="63875121" w14:textId="77777777" w:rsidR="004E0094" w:rsidRPr="003417DD" w:rsidRDefault="004E0094" w:rsidP="004E0094">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 xml:space="preserve">En este contexto normativo que sanciona la mala fe y protege al cónyuge que se condujo de buena fe, el artículo 336 del código reclamado establece: </w:t>
      </w:r>
    </w:p>
    <w:p w14:paraId="59404A22" w14:textId="77777777" w:rsidR="004E0094" w:rsidRPr="003417DD" w:rsidRDefault="004E0094" w:rsidP="004E0094">
      <w:pPr>
        <w:pStyle w:val="corte4fondo"/>
        <w:ind w:firstLine="0"/>
        <w:rPr>
          <w:rFonts w:cs="Arial"/>
          <w:sz w:val="26"/>
          <w:szCs w:val="26"/>
          <w:lang w:val="es-ES" w:eastAsia="en-US"/>
        </w:rPr>
      </w:pPr>
    </w:p>
    <w:p w14:paraId="1268F0D1" w14:textId="2AEF837D" w:rsidR="004E0094" w:rsidRPr="003417DD" w:rsidRDefault="004E0094" w:rsidP="006975EB">
      <w:pPr>
        <w:pStyle w:val="corte4fondo"/>
        <w:spacing w:line="240" w:lineRule="auto"/>
        <w:ind w:left="567" w:right="567" w:firstLine="0"/>
        <w:rPr>
          <w:rFonts w:cs="Arial"/>
          <w:sz w:val="26"/>
          <w:szCs w:val="26"/>
          <w:lang w:val="es-ES" w:eastAsia="en-US"/>
        </w:rPr>
      </w:pPr>
      <w:r w:rsidRPr="003417DD">
        <w:rPr>
          <w:rFonts w:cs="Arial"/>
          <w:sz w:val="26"/>
          <w:szCs w:val="26"/>
          <w:lang w:val="es-ES" w:eastAsia="en-US"/>
        </w:rPr>
        <w:lastRenderedPageBreak/>
        <w:t>Art. 336.- Si la disolución de la sociedad procede de ilegitimidad del matrimonio, el consorte que hubiere obrado con mala fe no tendrá parte en los gananciales.</w:t>
      </w:r>
    </w:p>
    <w:p w14:paraId="468F0A68" w14:textId="77777777" w:rsidR="00FF3E3E" w:rsidRPr="003417DD" w:rsidRDefault="00FF3E3E" w:rsidP="00FF3E3E">
      <w:pPr>
        <w:pStyle w:val="corte4fondo"/>
        <w:ind w:firstLine="0"/>
        <w:rPr>
          <w:rFonts w:cs="Arial"/>
          <w:sz w:val="26"/>
          <w:szCs w:val="26"/>
          <w:lang w:val="es-ES" w:eastAsia="en-US"/>
        </w:rPr>
      </w:pPr>
    </w:p>
    <w:p w14:paraId="393717CA" w14:textId="542FDB29" w:rsidR="00915C11" w:rsidRPr="003417DD" w:rsidRDefault="004E0094" w:rsidP="00FF3E3E">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Es decir, el cónyuge que actuó de mala fe pierde, de conformidad con este artículo, los bienes y activos adquiridos durante el matrimonio</w:t>
      </w:r>
      <w:r w:rsidR="006975EB" w:rsidRPr="003417DD">
        <w:rPr>
          <w:rFonts w:cs="Arial"/>
          <w:sz w:val="26"/>
          <w:szCs w:val="26"/>
          <w:lang w:val="es-ES" w:eastAsia="en-US"/>
        </w:rPr>
        <w:t xml:space="preserve">. </w:t>
      </w:r>
      <w:r w:rsidR="00FF3E3E" w:rsidRPr="003417DD">
        <w:rPr>
          <w:rFonts w:cs="Arial"/>
          <w:sz w:val="26"/>
          <w:szCs w:val="26"/>
          <w:lang w:val="es-ES" w:eastAsia="en-US"/>
        </w:rPr>
        <w:t>Vale destacar que</w:t>
      </w:r>
      <w:r w:rsidR="00B50DE8" w:rsidRPr="003417DD">
        <w:rPr>
          <w:rFonts w:cs="Arial"/>
          <w:sz w:val="26"/>
          <w:szCs w:val="26"/>
          <w:lang w:val="es-ES" w:eastAsia="en-US"/>
        </w:rPr>
        <w:t>,</w:t>
      </w:r>
      <w:r w:rsidR="00FF3E3E" w:rsidRPr="003417DD">
        <w:rPr>
          <w:rFonts w:cs="Arial"/>
          <w:sz w:val="26"/>
          <w:szCs w:val="26"/>
          <w:lang w:val="es-ES" w:eastAsia="en-US"/>
        </w:rPr>
        <w:t xml:space="preserve"> de acuerdo con el artículo 314</w:t>
      </w:r>
      <w:r w:rsidR="00720EC7">
        <w:rPr>
          <w:rFonts w:cs="Arial"/>
          <w:sz w:val="26"/>
          <w:szCs w:val="26"/>
          <w:lang w:val="es-ES" w:eastAsia="en-US"/>
        </w:rPr>
        <w:t xml:space="preserve"> del Código Civil del Estado de </w:t>
      </w:r>
      <w:r w:rsidR="00AE2CD4">
        <w:rPr>
          <w:rFonts w:cs="Arial"/>
          <w:sz w:val="26"/>
          <w:szCs w:val="26"/>
          <w:lang w:val="es-ES" w:eastAsia="en-US"/>
        </w:rPr>
        <w:t>Jalisco</w:t>
      </w:r>
      <w:r w:rsidR="00FF3E3E" w:rsidRPr="003417DD">
        <w:rPr>
          <w:rStyle w:val="Refdenotaalpie"/>
          <w:rFonts w:cs="Arial"/>
          <w:sz w:val="26"/>
          <w:szCs w:val="26"/>
          <w:lang w:val="es-ES" w:eastAsia="en-US"/>
        </w:rPr>
        <w:footnoteReference w:id="30"/>
      </w:r>
      <w:r w:rsidR="00FF3E3E" w:rsidRPr="003417DD">
        <w:rPr>
          <w:rFonts w:cs="Arial"/>
          <w:sz w:val="26"/>
          <w:szCs w:val="26"/>
          <w:lang w:val="es-ES" w:eastAsia="en-US"/>
        </w:rPr>
        <w:t xml:space="preserve">, todos los bienes que existen en poder de cualesquiera de los cónyuges en el momento de la separación se presumen gananciales, mientras no se pruebe lo contrario. </w:t>
      </w:r>
      <w:r w:rsidR="00B50DE8" w:rsidRPr="003417DD">
        <w:rPr>
          <w:rFonts w:cs="Arial"/>
          <w:sz w:val="26"/>
          <w:szCs w:val="26"/>
          <w:lang w:val="es-ES" w:eastAsia="en-US"/>
        </w:rPr>
        <w:t>E</w:t>
      </w:r>
      <w:r w:rsidR="006975EB" w:rsidRPr="003417DD">
        <w:rPr>
          <w:rFonts w:cs="Arial"/>
          <w:sz w:val="26"/>
          <w:szCs w:val="26"/>
          <w:lang w:val="es-ES" w:eastAsia="en-US"/>
        </w:rPr>
        <w:t xml:space="preserve">l artículo 288 del Código Civil del Estado de Jalisco </w:t>
      </w:r>
      <w:r w:rsidR="00B50DE8" w:rsidRPr="003417DD">
        <w:rPr>
          <w:rFonts w:cs="Arial"/>
          <w:sz w:val="26"/>
          <w:szCs w:val="26"/>
          <w:lang w:val="es-ES" w:eastAsia="en-US"/>
        </w:rPr>
        <w:t xml:space="preserve">precisa que </w:t>
      </w:r>
      <w:r w:rsidR="006975EB" w:rsidRPr="003417DD">
        <w:rPr>
          <w:rFonts w:cs="Arial"/>
          <w:sz w:val="26"/>
          <w:szCs w:val="26"/>
          <w:lang w:val="es-ES" w:eastAsia="en-US"/>
        </w:rPr>
        <w:t>esto incluye:</w:t>
      </w:r>
    </w:p>
    <w:p w14:paraId="40C473BF" w14:textId="77777777" w:rsidR="006975EB" w:rsidRPr="003417DD" w:rsidRDefault="006975EB" w:rsidP="006975EB">
      <w:pPr>
        <w:pStyle w:val="Prrafodelista"/>
        <w:rPr>
          <w:sz w:val="26"/>
          <w:szCs w:val="26"/>
          <w:lang w:val="es-ES"/>
        </w:rPr>
      </w:pPr>
    </w:p>
    <w:p w14:paraId="4B99380F" w14:textId="77777777" w:rsidR="006975EB" w:rsidRPr="003417DD" w:rsidRDefault="006975EB" w:rsidP="006975EB">
      <w:pPr>
        <w:pStyle w:val="corte4fondo"/>
        <w:numPr>
          <w:ilvl w:val="0"/>
          <w:numId w:val="22"/>
        </w:numPr>
        <w:rPr>
          <w:sz w:val="26"/>
          <w:szCs w:val="26"/>
          <w:lang w:val="es-ES"/>
        </w:rPr>
      </w:pPr>
      <w:r w:rsidRPr="003417DD">
        <w:rPr>
          <w:sz w:val="26"/>
          <w:szCs w:val="26"/>
          <w:lang w:val="es-ES"/>
        </w:rPr>
        <w:t>Todos los bienes adquiridos por cualquiera de los cónyuges en el ejercicio de su profesión u oficio;</w:t>
      </w:r>
    </w:p>
    <w:p w14:paraId="500870D7" w14:textId="77777777" w:rsidR="006975EB" w:rsidRPr="003417DD" w:rsidRDefault="006975EB" w:rsidP="006975EB">
      <w:pPr>
        <w:pStyle w:val="corte4fondo"/>
        <w:numPr>
          <w:ilvl w:val="0"/>
          <w:numId w:val="22"/>
        </w:numPr>
        <w:rPr>
          <w:sz w:val="26"/>
          <w:szCs w:val="26"/>
          <w:lang w:val="es-ES"/>
        </w:rPr>
      </w:pPr>
      <w:r w:rsidRPr="003417DD">
        <w:rPr>
          <w:sz w:val="26"/>
          <w:szCs w:val="26"/>
          <w:lang w:val="es-ES"/>
        </w:rPr>
        <w:t>Los bienes que provengan de herencia, legado o donación hechos a ambos cónyuges sin designación de parte. Si hubiere designación de partes y éstas fueren desiguales, sólo serán comunes los frutos de la herencia, legado o donación;</w:t>
      </w:r>
    </w:p>
    <w:p w14:paraId="6EDDB654" w14:textId="77777777" w:rsidR="006975EB" w:rsidRPr="003417DD" w:rsidRDefault="006975EB" w:rsidP="006975EB">
      <w:pPr>
        <w:pStyle w:val="corte4fondo"/>
        <w:numPr>
          <w:ilvl w:val="0"/>
          <w:numId w:val="22"/>
        </w:numPr>
        <w:rPr>
          <w:sz w:val="26"/>
          <w:szCs w:val="26"/>
          <w:lang w:val="es-ES"/>
        </w:rPr>
      </w:pPr>
      <w:r w:rsidRPr="003417DD">
        <w:rPr>
          <w:sz w:val="26"/>
          <w:szCs w:val="26"/>
          <w:lang w:val="es-ES"/>
        </w:rPr>
        <w:t>El numerario extraído de la masa común para adquirir bienes por resolución de contrato u otro título que pertenezca por derecho propio a alguno de los cónyuges, anterior al matrimonio;</w:t>
      </w:r>
    </w:p>
    <w:p w14:paraId="4AA8A6A2" w14:textId="77777777" w:rsidR="006975EB" w:rsidRPr="003417DD" w:rsidRDefault="006975EB" w:rsidP="006975EB">
      <w:pPr>
        <w:pStyle w:val="corte4fondo"/>
        <w:numPr>
          <w:ilvl w:val="0"/>
          <w:numId w:val="22"/>
        </w:numPr>
        <w:rPr>
          <w:sz w:val="26"/>
          <w:szCs w:val="26"/>
          <w:lang w:val="es-ES"/>
        </w:rPr>
      </w:pPr>
      <w:r w:rsidRPr="003417DD">
        <w:rPr>
          <w:sz w:val="26"/>
          <w:szCs w:val="26"/>
          <w:lang w:val="es-ES"/>
        </w:rPr>
        <w:t>El precio de las refacciones de crédito, y el de cualesquiera mejora y reparaciones hechas en fincas o créditos propios de cada uno de los cónyuges;</w:t>
      </w:r>
    </w:p>
    <w:p w14:paraId="430D60E7" w14:textId="77777777" w:rsidR="006975EB" w:rsidRPr="003417DD" w:rsidRDefault="006975EB" w:rsidP="006975EB">
      <w:pPr>
        <w:pStyle w:val="corte4fondo"/>
        <w:numPr>
          <w:ilvl w:val="0"/>
          <w:numId w:val="22"/>
        </w:numPr>
        <w:rPr>
          <w:sz w:val="26"/>
          <w:szCs w:val="26"/>
          <w:lang w:val="es-ES"/>
        </w:rPr>
      </w:pPr>
      <w:r w:rsidRPr="003417DD">
        <w:rPr>
          <w:sz w:val="26"/>
          <w:szCs w:val="26"/>
          <w:lang w:val="es-ES"/>
        </w:rPr>
        <w:t>El exceso o diferencia de precio dado por uno de los cónyuges en venta o permuta de bienes propios para adquirir otros en lugar de los vendidos o permutados;</w:t>
      </w:r>
    </w:p>
    <w:p w14:paraId="734B65C4" w14:textId="77777777" w:rsidR="006975EB" w:rsidRPr="003417DD" w:rsidRDefault="006975EB" w:rsidP="006975EB">
      <w:pPr>
        <w:pStyle w:val="corte4fondo"/>
        <w:numPr>
          <w:ilvl w:val="0"/>
          <w:numId w:val="22"/>
        </w:numPr>
        <w:rPr>
          <w:sz w:val="26"/>
          <w:szCs w:val="26"/>
          <w:lang w:val="es-ES"/>
        </w:rPr>
      </w:pPr>
      <w:r w:rsidRPr="003417DD">
        <w:rPr>
          <w:sz w:val="26"/>
          <w:szCs w:val="26"/>
          <w:lang w:val="es-ES"/>
        </w:rPr>
        <w:t>Los bienes adquiridos por título oneroso durante la sociedad, bien se haga la adquisición para la comunidad, bien para uno solo de los consortes; y</w:t>
      </w:r>
    </w:p>
    <w:p w14:paraId="2E8C06F7" w14:textId="77777777" w:rsidR="006975EB" w:rsidRPr="003417DD" w:rsidRDefault="006975EB" w:rsidP="006975EB">
      <w:pPr>
        <w:pStyle w:val="corte4fondo"/>
        <w:numPr>
          <w:ilvl w:val="0"/>
          <w:numId w:val="22"/>
        </w:numPr>
        <w:rPr>
          <w:sz w:val="26"/>
          <w:szCs w:val="26"/>
          <w:lang w:val="es-ES"/>
        </w:rPr>
      </w:pPr>
      <w:r w:rsidRPr="003417DD">
        <w:rPr>
          <w:sz w:val="26"/>
          <w:szCs w:val="26"/>
          <w:lang w:val="es-ES"/>
        </w:rPr>
        <w:lastRenderedPageBreak/>
        <w:t>Los frutos, accesiones, rentas o intereses percibidos o devengados durante la sociedad, procedentes de los bienes comunes o de los peculiares de cada uno de los consortes.</w:t>
      </w:r>
      <w:r w:rsidRPr="003417DD">
        <w:rPr>
          <w:rStyle w:val="Refdenotaalpie"/>
          <w:sz w:val="26"/>
          <w:szCs w:val="26"/>
          <w:lang w:val="es-ES"/>
        </w:rPr>
        <w:footnoteReference w:id="31"/>
      </w:r>
    </w:p>
    <w:p w14:paraId="1B16115E" w14:textId="77777777" w:rsidR="005C3EF2" w:rsidRPr="003417DD" w:rsidRDefault="005C3EF2" w:rsidP="005C3EF2">
      <w:pPr>
        <w:pStyle w:val="corte4fondo"/>
        <w:ind w:firstLine="0"/>
        <w:rPr>
          <w:sz w:val="26"/>
          <w:szCs w:val="26"/>
          <w:lang w:val="es-ES"/>
        </w:rPr>
      </w:pPr>
    </w:p>
    <w:p w14:paraId="2E47A03C" w14:textId="2F331790" w:rsidR="005C3EF2" w:rsidRPr="003417DD" w:rsidRDefault="005C3EF2" w:rsidP="005C3EF2">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Con base en lo reseñado, la privación de los gananciales prevista en el artículo impugnado</w:t>
      </w:r>
      <w:r w:rsidR="00F205B9">
        <w:rPr>
          <w:rFonts w:cs="Arial"/>
          <w:sz w:val="26"/>
          <w:szCs w:val="26"/>
          <w:lang w:val="es-ES" w:eastAsia="en-US"/>
        </w:rPr>
        <w:t xml:space="preserve"> —</w:t>
      </w:r>
      <w:r w:rsidRPr="003417DD">
        <w:rPr>
          <w:rFonts w:cs="Arial"/>
          <w:sz w:val="26"/>
          <w:szCs w:val="26"/>
          <w:lang w:val="es-ES" w:eastAsia="en-US"/>
        </w:rPr>
        <w:t>como</w:t>
      </w:r>
      <w:r w:rsidR="00F205B9">
        <w:rPr>
          <w:rFonts w:cs="Arial"/>
          <w:sz w:val="26"/>
          <w:szCs w:val="26"/>
          <w:lang w:val="es-ES" w:eastAsia="en-US"/>
        </w:rPr>
        <w:t xml:space="preserve"> </w:t>
      </w:r>
      <w:r w:rsidRPr="003417DD">
        <w:rPr>
          <w:rFonts w:cs="Arial"/>
          <w:sz w:val="26"/>
          <w:szCs w:val="26"/>
          <w:lang w:val="es-ES" w:eastAsia="en-US"/>
        </w:rPr>
        <w:t>conclusión de la determinación de la mala fe y buena fe de las partes</w:t>
      </w:r>
      <w:r w:rsidR="00F205B9">
        <w:rPr>
          <w:rFonts w:cs="Arial"/>
          <w:sz w:val="26"/>
          <w:szCs w:val="26"/>
          <w:lang w:val="es-ES" w:eastAsia="en-US"/>
        </w:rPr>
        <w:t>—</w:t>
      </w:r>
      <w:r w:rsidRPr="003417DD">
        <w:rPr>
          <w:rFonts w:cs="Arial"/>
          <w:sz w:val="26"/>
          <w:szCs w:val="26"/>
          <w:lang w:val="es-ES" w:eastAsia="en-US"/>
        </w:rPr>
        <w:t xml:space="preserve"> sí podría constituir una afectación injustificada del derecho a la propiedad y a la igualdad de derechos y de responsabilidades de ambos esposos durante el matrimonio y en caso de disolución. Esto es así, pues privaría al cónyuge de mala fe del patrimonio construido durante el matrimonio en favor del cónyuge de buena fe. </w:t>
      </w:r>
    </w:p>
    <w:p w14:paraId="528DEF10" w14:textId="77777777" w:rsidR="005C3EF2" w:rsidRPr="003417DD" w:rsidRDefault="005C3EF2" w:rsidP="005C3EF2">
      <w:pPr>
        <w:pStyle w:val="corte4fondo"/>
        <w:ind w:firstLine="0"/>
        <w:rPr>
          <w:rFonts w:cs="Arial"/>
          <w:sz w:val="26"/>
          <w:szCs w:val="26"/>
          <w:lang w:val="es-ES" w:eastAsia="en-US"/>
        </w:rPr>
      </w:pPr>
    </w:p>
    <w:p w14:paraId="542D7BD4" w14:textId="2CDAC69B" w:rsidR="005C3EF2" w:rsidRDefault="005C3EF2" w:rsidP="005C3EF2">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Vale destacar que tanto el artículo 17 de la Convención Americana sobre Derechos Humanos</w:t>
      </w:r>
      <w:r w:rsidRPr="003417DD">
        <w:rPr>
          <w:rFonts w:cs="Arial"/>
          <w:sz w:val="26"/>
          <w:szCs w:val="26"/>
          <w:vertAlign w:val="superscript"/>
          <w:lang w:val="es-ES" w:eastAsia="en-US"/>
        </w:rPr>
        <w:footnoteReference w:id="32"/>
      </w:r>
      <w:r w:rsidRPr="003417DD">
        <w:rPr>
          <w:rFonts w:cs="Arial"/>
          <w:sz w:val="26"/>
          <w:szCs w:val="26"/>
          <w:lang w:val="es-ES" w:eastAsia="en-US"/>
        </w:rPr>
        <w:t xml:space="preserve">, como el </w:t>
      </w:r>
      <w:r w:rsidR="0090641E">
        <w:rPr>
          <w:rFonts w:cs="Arial"/>
          <w:sz w:val="26"/>
          <w:szCs w:val="26"/>
          <w:lang w:val="es-ES" w:eastAsia="en-US"/>
        </w:rPr>
        <w:t xml:space="preserve">artículo </w:t>
      </w:r>
      <w:r w:rsidRPr="003417DD">
        <w:rPr>
          <w:rFonts w:cs="Arial"/>
          <w:sz w:val="26"/>
          <w:szCs w:val="26"/>
          <w:lang w:val="es-ES" w:eastAsia="en-US"/>
        </w:rPr>
        <w:t>23 del Pacto Internacional de Derechos Civiles y Políticos</w:t>
      </w:r>
      <w:r w:rsidRPr="003417DD">
        <w:rPr>
          <w:rFonts w:cs="Arial"/>
          <w:sz w:val="26"/>
          <w:szCs w:val="26"/>
          <w:vertAlign w:val="superscript"/>
          <w:lang w:val="es-ES" w:eastAsia="en-US"/>
        </w:rPr>
        <w:footnoteReference w:id="33"/>
      </w:r>
      <w:r w:rsidRPr="003417DD">
        <w:rPr>
          <w:rFonts w:cs="Arial"/>
          <w:sz w:val="26"/>
          <w:szCs w:val="26"/>
          <w:lang w:val="es-ES" w:eastAsia="en-US"/>
        </w:rPr>
        <w:t xml:space="preserve">, expresamente reconocen que el derecho a la protección familiar “implica [tomar] las medidas apropiadas para asegurar la igualdad de derechos y de responsabilidades de ambos esposos en cuanto al matrimonio, durante el matrimonio y en caso de disolución del mismo”. Esta obligación de tomar medidas </w:t>
      </w:r>
      <w:r w:rsidRPr="003417DD">
        <w:rPr>
          <w:rFonts w:cs="Arial"/>
          <w:sz w:val="26"/>
          <w:szCs w:val="26"/>
          <w:lang w:val="es-ES" w:eastAsia="en-US"/>
        </w:rPr>
        <w:lastRenderedPageBreak/>
        <w:t>incluye reconocer los mecanismos jurídicos necesarios para impedir que el matrimonio constituya una causa de empobrecimiento.</w:t>
      </w:r>
      <w:r w:rsidRPr="003417DD">
        <w:rPr>
          <w:rFonts w:cs="Arial"/>
          <w:sz w:val="26"/>
          <w:szCs w:val="26"/>
          <w:vertAlign w:val="superscript"/>
          <w:lang w:val="es-ES" w:eastAsia="en-US"/>
        </w:rPr>
        <w:footnoteReference w:id="34"/>
      </w:r>
    </w:p>
    <w:p w14:paraId="6E0AC9DC" w14:textId="77777777" w:rsidR="00F205B9" w:rsidRDefault="00F205B9" w:rsidP="00E62159">
      <w:pPr>
        <w:pStyle w:val="Prrafodelista"/>
        <w:spacing w:line="360" w:lineRule="auto"/>
        <w:rPr>
          <w:rFonts w:cs="Arial"/>
          <w:sz w:val="26"/>
          <w:szCs w:val="26"/>
          <w:lang w:val="es-ES" w:eastAsia="en-US"/>
        </w:rPr>
      </w:pPr>
    </w:p>
    <w:p w14:paraId="011DC492" w14:textId="6FD4A49B" w:rsidR="00F205B9" w:rsidRPr="003417DD" w:rsidRDefault="00F205B9" w:rsidP="005C3EF2">
      <w:pPr>
        <w:pStyle w:val="corte4fondo"/>
        <w:numPr>
          <w:ilvl w:val="0"/>
          <w:numId w:val="2"/>
        </w:numPr>
        <w:ind w:left="0" w:hanging="567"/>
        <w:rPr>
          <w:rFonts w:cs="Arial"/>
          <w:sz w:val="26"/>
          <w:szCs w:val="26"/>
          <w:lang w:val="es-ES" w:eastAsia="en-US"/>
        </w:rPr>
      </w:pPr>
      <w:r>
        <w:rPr>
          <w:rFonts w:cs="Arial"/>
          <w:sz w:val="26"/>
          <w:szCs w:val="26"/>
          <w:lang w:val="es-ES" w:eastAsia="en-US"/>
        </w:rPr>
        <w:t xml:space="preserve">En este sentido, tal y como concluyó el tribunal del conocimiento, la medida prevista en el artículo impugnado sí constituye </w:t>
      </w:r>
      <w:r w:rsidRPr="00F205B9">
        <w:rPr>
          <w:rFonts w:cs="Arial"/>
          <w:i/>
          <w:iCs/>
          <w:sz w:val="26"/>
          <w:szCs w:val="26"/>
          <w:lang w:val="es-ES" w:eastAsia="en-US"/>
        </w:rPr>
        <w:t>prima facie</w:t>
      </w:r>
      <w:r>
        <w:rPr>
          <w:rFonts w:cs="Arial"/>
          <w:sz w:val="26"/>
          <w:szCs w:val="26"/>
          <w:lang w:val="es-ES" w:eastAsia="en-US"/>
        </w:rPr>
        <w:t xml:space="preserve"> una afectación a los derechos hechos valer por el quejoso. </w:t>
      </w:r>
    </w:p>
    <w:p w14:paraId="132E4124" w14:textId="77777777" w:rsidR="00E05A44" w:rsidRPr="003417DD" w:rsidRDefault="00E05A44" w:rsidP="005C3EF2">
      <w:pPr>
        <w:pStyle w:val="corte4fondo"/>
        <w:ind w:firstLine="0"/>
        <w:rPr>
          <w:rFonts w:cs="Arial"/>
          <w:sz w:val="26"/>
          <w:szCs w:val="26"/>
          <w:lang w:val="es-ES" w:eastAsia="en-US"/>
        </w:rPr>
      </w:pPr>
    </w:p>
    <w:p w14:paraId="25F162E6" w14:textId="66D040F4" w:rsidR="00E50691" w:rsidRDefault="00F205B9" w:rsidP="009356F2">
      <w:pPr>
        <w:pStyle w:val="corte4fondo"/>
        <w:ind w:firstLine="0"/>
        <w:jc w:val="center"/>
        <w:rPr>
          <w:rFonts w:cs="Arial"/>
          <w:i/>
          <w:iCs/>
          <w:sz w:val="26"/>
          <w:szCs w:val="26"/>
          <w:lang w:val="es-ES" w:eastAsia="en-US"/>
        </w:rPr>
      </w:pPr>
      <w:r>
        <w:rPr>
          <w:rFonts w:cs="Arial"/>
          <w:i/>
          <w:iCs/>
          <w:sz w:val="26"/>
          <w:szCs w:val="26"/>
          <w:lang w:val="es-ES" w:eastAsia="en-US"/>
        </w:rPr>
        <w:t>Análisis del test de proporcionalidad que realizó el tribunal del conocimiento</w:t>
      </w:r>
    </w:p>
    <w:p w14:paraId="0CDE47D9" w14:textId="77777777" w:rsidR="00F205B9" w:rsidRPr="009356F2" w:rsidRDefault="00F205B9" w:rsidP="009356F2">
      <w:pPr>
        <w:pStyle w:val="corte4fondo"/>
        <w:ind w:firstLine="0"/>
        <w:jc w:val="center"/>
        <w:rPr>
          <w:rFonts w:cs="Arial"/>
          <w:i/>
          <w:iCs/>
          <w:sz w:val="26"/>
          <w:szCs w:val="26"/>
          <w:lang w:val="es-ES" w:eastAsia="en-US"/>
        </w:rPr>
      </w:pPr>
    </w:p>
    <w:p w14:paraId="05B818FA" w14:textId="726179CF" w:rsidR="00E50691" w:rsidRPr="003417DD" w:rsidRDefault="009356F2" w:rsidP="00E62159">
      <w:pPr>
        <w:pStyle w:val="corte4fondo"/>
        <w:numPr>
          <w:ilvl w:val="0"/>
          <w:numId w:val="2"/>
        </w:numPr>
        <w:ind w:left="0" w:hanging="567"/>
        <w:rPr>
          <w:rFonts w:cs="Arial"/>
          <w:sz w:val="26"/>
          <w:szCs w:val="26"/>
          <w:lang w:val="es-ES" w:eastAsia="en-US"/>
        </w:rPr>
      </w:pPr>
      <w:r>
        <w:rPr>
          <w:rFonts w:cs="Arial"/>
          <w:sz w:val="26"/>
          <w:szCs w:val="26"/>
          <w:lang w:val="es-ES" w:eastAsia="en-US"/>
        </w:rPr>
        <w:t>T</w:t>
      </w:r>
      <w:r w:rsidR="0020589D" w:rsidRPr="003417DD">
        <w:rPr>
          <w:rFonts w:cs="Arial"/>
          <w:sz w:val="26"/>
          <w:szCs w:val="26"/>
          <w:lang w:val="es-ES" w:eastAsia="en-US"/>
        </w:rPr>
        <w:t>anto la recurrente como el tribunal colegiado sostienen que priva</w:t>
      </w:r>
      <w:r w:rsidR="003358B3" w:rsidRPr="003417DD">
        <w:rPr>
          <w:rFonts w:cs="Arial"/>
          <w:sz w:val="26"/>
          <w:szCs w:val="26"/>
          <w:lang w:val="es-ES" w:eastAsia="en-US"/>
        </w:rPr>
        <w:t>r</w:t>
      </w:r>
      <w:r w:rsidR="0020589D" w:rsidRPr="003417DD">
        <w:rPr>
          <w:rFonts w:cs="Arial"/>
          <w:sz w:val="26"/>
          <w:szCs w:val="26"/>
          <w:lang w:val="es-ES" w:eastAsia="en-US"/>
        </w:rPr>
        <w:t xml:space="preserve"> de los gananciales al cónyuge que hubiera actuado de mala fe </w:t>
      </w:r>
      <w:r w:rsidR="003358B3" w:rsidRPr="003417DD">
        <w:rPr>
          <w:rFonts w:cs="Arial"/>
          <w:sz w:val="26"/>
          <w:szCs w:val="26"/>
          <w:lang w:val="es-ES" w:eastAsia="en-US"/>
        </w:rPr>
        <w:t>(</w:t>
      </w:r>
      <w:r w:rsidR="0020589D" w:rsidRPr="003417DD">
        <w:rPr>
          <w:rFonts w:cs="Arial"/>
          <w:sz w:val="26"/>
          <w:szCs w:val="26"/>
          <w:lang w:val="es-ES" w:eastAsia="en-US"/>
        </w:rPr>
        <w:t>una vez declarada la nulidad del matrimonio</w:t>
      </w:r>
      <w:r w:rsidR="003358B3" w:rsidRPr="003417DD">
        <w:rPr>
          <w:rFonts w:cs="Arial"/>
          <w:sz w:val="26"/>
          <w:szCs w:val="26"/>
          <w:lang w:val="es-ES" w:eastAsia="en-US"/>
        </w:rPr>
        <w:t>)</w:t>
      </w:r>
      <w:r w:rsidR="0020589D" w:rsidRPr="003417DD">
        <w:rPr>
          <w:rFonts w:cs="Arial"/>
          <w:sz w:val="26"/>
          <w:szCs w:val="26"/>
          <w:lang w:val="es-ES" w:eastAsia="en-US"/>
        </w:rPr>
        <w:t xml:space="preserve"> tiene como propósito o fin constitucional la protección de la familia. Parecen coincidir en que</w:t>
      </w:r>
      <w:r w:rsidR="003358B3" w:rsidRPr="003417DD">
        <w:rPr>
          <w:rFonts w:cs="Arial"/>
          <w:sz w:val="26"/>
          <w:szCs w:val="26"/>
          <w:lang w:val="es-ES" w:eastAsia="en-US"/>
        </w:rPr>
        <w:t xml:space="preserve"> se busca proteger al matrimonio como institución pública</w:t>
      </w:r>
      <w:r w:rsidR="00C2062D" w:rsidRPr="003417DD">
        <w:rPr>
          <w:rFonts w:cs="Arial"/>
          <w:sz w:val="26"/>
          <w:szCs w:val="26"/>
          <w:lang w:val="es-ES" w:eastAsia="en-US"/>
        </w:rPr>
        <w:t xml:space="preserve">, como “base” </w:t>
      </w:r>
      <w:r w:rsidR="003358B3" w:rsidRPr="003417DD">
        <w:rPr>
          <w:rFonts w:cs="Arial"/>
          <w:sz w:val="26"/>
          <w:szCs w:val="26"/>
          <w:lang w:val="es-ES" w:eastAsia="en-US"/>
        </w:rPr>
        <w:t>de la familia</w:t>
      </w:r>
      <w:r w:rsidR="00E50691" w:rsidRPr="003417DD">
        <w:rPr>
          <w:rFonts w:cs="Arial"/>
          <w:sz w:val="26"/>
          <w:szCs w:val="26"/>
          <w:lang w:val="es-ES" w:eastAsia="en-US"/>
        </w:rPr>
        <w:t xml:space="preserve"> que amerita una </w:t>
      </w:r>
      <w:r w:rsidR="00E8145E" w:rsidRPr="003417DD">
        <w:rPr>
          <w:rFonts w:cs="Arial"/>
          <w:sz w:val="26"/>
          <w:szCs w:val="26"/>
          <w:lang w:val="es-ES" w:eastAsia="en-US"/>
        </w:rPr>
        <w:t>“</w:t>
      </w:r>
      <w:r w:rsidR="00E50691" w:rsidRPr="003417DD">
        <w:rPr>
          <w:rFonts w:cs="Arial"/>
          <w:sz w:val="26"/>
          <w:szCs w:val="26"/>
          <w:lang w:val="es-ES" w:eastAsia="en-US"/>
        </w:rPr>
        <w:t>protección especial</w:t>
      </w:r>
      <w:r w:rsidR="00E8145E" w:rsidRPr="003417DD">
        <w:rPr>
          <w:rFonts w:cs="Arial"/>
          <w:sz w:val="26"/>
          <w:szCs w:val="26"/>
          <w:lang w:val="es-ES" w:eastAsia="en-US"/>
        </w:rPr>
        <w:t>”</w:t>
      </w:r>
      <w:r w:rsidR="00C2062D" w:rsidRPr="003417DD">
        <w:rPr>
          <w:rFonts w:cs="Arial"/>
          <w:sz w:val="26"/>
          <w:szCs w:val="26"/>
          <w:lang w:val="es-ES" w:eastAsia="en-US"/>
        </w:rPr>
        <w:t xml:space="preserve">. </w:t>
      </w:r>
      <w:r w:rsidR="00E8145E" w:rsidRPr="003417DD">
        <w:rPr>
          <w:rFonts w:cs="Arial"/>
          <w:sz w:val="26"/>
          <w:szCs w:val="26"/>
          <w:lang w:val="es-ES" w:eastAsia="en-US"/>
        </w:rPr>
        <w:t>La recurrente insiste en que debe salvaguardarse la “naturaleza y esencia de la institución del matrimonio”</w:t>
      </w:r>
      <w:r w:rsidR="00E8145E" w:rsidRPr="003417DD">
        <w:rPr>
          <w:rFonts w:cs="Arial"/>
          <w:color w:val="000000" w:themeColor="text1"/>
          <w:sz w:val="26"/>
          <w:szCs w:val="26"/>
          <w:lang w:val="es-ES" w:eastAsia="en-US"/>
        </w:rPr>
        <w:t>, que –considera—</w:t>
      </w:r>
      <w:r w:rsidR="00444E24">
        <w:rPr>
          <w:rFonts w:cs="Arial"/>
          <w:color w:val="000000" w:themeColor="text1"/>
          <w:sz w:val="26"/>
          <w:szCs w:val="26"/>
          <w:lang w:val="es-ES" w:eastAsia="en-US"/>
        </w:rPr>
        <w:t xml:space="preserve"> </w:t>
      </w:r>
      <w:r w:rsidR="00E8145E" w:rsidRPr="003417DD">
        <w:rPr>
          <w:rFonts w:cs="Arial"/>
          <w:color w:val="000000" w:themeColor="text1"/>
          <w:sz w:val="26"/>
          <w:szCs w:val="26"/>
          <w:lang w:val="es-ES" w:eastAsia="en-US"/>
        </w:rPr>
        <w:t>constituye la figura más valiosa para la formación de la familia, de carácter público e interés social.</w:t>
      </w:r>
      <w:r w:rsidR="00E8145E" w:rsidRPr="003417DD">
        <w:rPr>
          <w:rFonts w:cs="Arial"/>
          <w:sz w:val="26"/>
          <w:szCs w:val="26"/>
          <w:lang w:val="es-ES" w:eastAsia="en-US"/>
        </w:rPr>
        <w:t xml:space="preserve"> El tribunal precisa, más bien, que lo que se busca </w:t>
      </w:r>
      <w:r w:rsidR="00A03EB2">
        <w:rPr>
          <w:rFonts w:cs="Arial"/>
          <w:sz w:val="26"/>
          <w:szCs w:val="26"/>
          <w:lang w:val="es-ES" w:eastAsia="en-US"/>
        </w:rPr>
        <w:t xml:space="preserve">con la medida establecida en el artículo reclamado </w:t>
      </w:r>
      <w:r w:rsidR="00E8145E" w:rsidRPr="003417DD">
        <w:rPr>
          <w:rFonts w:cs="Arial"/>
          <w:sz w:val="26"/>
          <w:szCs w:val="26"/>
          <w:lang w:val="es-ES" w:eastAsia="en-US"/>
        </w:rPr>
        <w:t xml:space="preserve">es que el matrimonio se celebre legalmente, </w:t>
      </w:r>
      <w:r w:rsidR="00A03EB2">
        <w:rPr>
          <w:rFonts w:cs="Arial"/>
          <w:sz w:val="26"/>
          <w:szCs w:val="26"/>
          <w:lang w:val="es-ES" w:eastAsia="en-US"/>
        </w:rPr>
        <w:t xml:space="preserve">es decir, evitar </w:t>
      </w:r>
      <w:r w:rsidR="00E8145E" w:rsidRPr="003417DD">
        <w:rPr>
          <w:rFonts w:cs="Arial"/>
          <w:sz w:val="26"/>
          <w:szCs w:val="26"/>
          <w:lang w:val="es-ES" w:eastAsia="en-US"/>
        </w:rPr>
        <w:t>causas de ilicitud que provoque</w:t>
      </w:r>
      <w:r w:rsidR="00CC091B">
        <w:rPr>
          <w:rFonts w:cs="Arial"/>
          <w:sz w:val="26"/>
          <w:szCs w:val="26"/>
          <w:lang w:val="es-ES" w:eastAsia="en-US"/>
        </w:rPr>
        <w:t>n</w:t>
      </w:r>
      <w:r w:rsidR="00E8145E" w:rsidRPr="003417DD">
        <w:rPr>
          <w:rFonts w:cs="Arial"/>
          <w:sz w:val="26"/>
          <w:szCs w:val="26"/>
          <w:lang w:val="es-ES" w:eastAsia="en-US"/>
        </w:rPr>
        <w:t xml:space="preserve"> su ilegitimidad.</w:t>
      </w:r>
    </w:p>
    <w:p w14:paraId="00A3709E" w14:textId="77777777" w:rsidR="003358B3" w:rsidRPr="003417DD" w:rsidRDefault="003358B3" w:rsidP="00E50691">
      <w:pPr>
        <w:pStyle w:val="corte4fondo"/>
        <w:ind w:firstLine="0"/>
        <w:rPr>
          <w:rFonts w:cs="Arial"/>
          <w:sz w:val="26"/>
          <w:szCs w:val="26"/>
          <w:lang w:val="es-ES" w:eastAsia="en-US"/>
        </w:rPr>
      </w:pPr>
    </w:p>
    <w:p w14:paraId="3B7F1D44" w14:textId="421B326D" w:rsidR="00585AE2" w:rsidRPr="00A03EB2" w:rsidRDefault="00E50691" w:rsidP="00A03EB2">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 xml:space="preserve">Esta Primera Sala difiere </w:t>
      </w:r>
      <w:r w:rsidR="00EC30A9" w:rsidRPr="003417DD">
        <w:rPr>
          <w:rFonts w:cs="Arial"/>
          <w:sz w:val="26"/>
          <w:szCs w:val="26"/>
          <w:lang w:val="es-ES" w:eastAsia="en-US"/>
        </w:rPr>
        <w:t xml:space="preserve">parcialmente </w:t>
      </w:r>
      <w:r w:rsidRPr="003417DD">
        <w:rPr>
          <w:rFonts w:cs="Arial"/>
          <w:sz w:val="26"/>
          <w:szCs w:val="26"/>
          <w:lang w:val="es-ES" w:eastAsia="en-US"/>
        </w:rPr>
        <w:t>de esta caracterización. De lo descrito</w:t>
      </w:r>
      <w:r w:rsidR="005C3EF2" w:rsidRPr="003417DD">
        <w:rPr>
          <w:rFonts w:cs="Arial"/>
          <w:sz w:val="26"/>
          <w:szCs w:val="26"/>
          <w:lang w:val="es-ES" w:eastAsia="en-US"/>
        </w:rPr>
        <w:t>,</w:t>
      </w:r>
      <w:r w:rsidRPr="003417DD">
        <w:rPr>
          <w:rFonts w:cs="Arial"/>
          <w:sz w:val="26"/>
          <w:szCs w:val="26"/>
          <w:lang w:val="es-ES" w:eastAsia="en-US"/>
        </w:rPr>
        <w:t xml:space="preserve"> parecería que l</w:t>
      </w:r>
      <w:r w:rsidR="00A03EB2">
        <w:rPr>
          <w:rFonts w:cs="Arial"/>
          <w:sz w:val="26"/>
          <w:szCs w:val="26"/>
          <w:lang w:val="es-ES" w:eastAsia="en-US"/>
        </w:rPr>
        <w:t>a sanción establecida en el artículo</w:t>
      </w:r>
      <w:r w:rsidR="00E8145E" w:rsidRPr="00A03EB2">
        <w:rPr>
          <w:rFonts w:cs="Arial"/>
          <w:sz w:val="26"/>
          <w:szCs w:val="26"/>
          <w:lang w:val="es-ES" w:eastAsia="en-US"/>
        </w:rPr>
        <w:t xml:space="preserve"> protege, más que a la familia, </w:t>
      </w:r>
      <w:r w:rsidR="00A03EB2">
        <w:rPr>
          <w:rFonts w:cs="Arial"/>
          <w:sz w:val="26"/>
          <w:szCs w:val="26"/>
          <w:lang w:val="es-ES" w:eastAsia="en-US"/>
        </w:rPr>
        <w:t>a</w:t>
      </w:r>
      <w:r w:rsidR="00E8145E" w:rsidRPr="00A03EB2">
        <w:rPr>
          <w:rFonts w:cs="Arial"/>
          <w:sz w:val="26"/>
          <w:szCs w:val="26"/>
          <w:lang w:val="es-ES" w:eastAsia="en-US"/>
        </w:rPr>
        <w:t xml:space="preserve"> la figura matrimonial. </w:t>
      </w:r>
      <w:r w:rsidR="00A03EB2">
        <w:rPr>
          <w:rFonts w:cs="Arial"/>
          <w:sz w:val="26"/>
          <w:szCs w:val="26"/>
          <w:lang w:val="es-ES" w:eastAsia="en-US"/>
        </w:rPr>
        <w:t>A la luz de la jurisprudencia desarrollada por esta Primera Sala</w:t>
      </w:r>
      <w:r w:rsidR="00E8145E" w:rsidRPr="003417DD">
        <w:rPr>
          <w:rStyle w:val="Refdenotaalpie"/>
          <w:rFonts w:cs="Arial"/>
          <w:sz w:val="26"/>
          <w:szCs w:val="26"/>
          <w:lang w:val="es-ES" w:eastAsia="en-US"/>
        </w:rPr>
        <w:footnoteReference w:id="35"/>
      </w:r>
      <w:r w:rsidR="00370CB8" w:rsidRPr="00A03EB2">
        <w:rPr>
          <w:rFonts w:cs="Arial"/>
          <w:sz w:val="26"/>
          <w:szCs w:val="26"/>
          <w:lang w:val="es-ES" w:eastAsia="en-US"/>
        </w:rPr>
        <w:t>,</w:t>
      </w:r>
      <w:r w:rsidRPr="00A03EB2">
        <w:rPr>
          <w:rFonts w:cs="Arial"/>
          <w:sz w:val="26"/>
          <w:szCs w:val="26"/>
          <w:lang w:val="es-ES" w:eastAsia="en-US"/>
        </w:rPr>
        <w:t xml:space="preserve"> sería difícil sostener es</w:t>
      </w:r>
      <w:r w:rsidR="00EC30A9" w:rsidRPr="00A03EB2">
        <w:rPr>
          <w:rFonts w:cs="Arial"/>
          <w:sz w:val="26"/>
          <w:szCs w:val="26"/>
          <w:lang w:val="es-ES" w:eastAsia="en-US"/>
        </w:rPr>
        <w:t>te propósito como constitucionalmente legítimo</w:t>
      </w:r>
      <w:r w:rsidR="00370CB8" w:rsidRPr="00A03EB2">
        <w:rPr>
          <w:rFonts w:cs="Arial"/>
          <w:sz w:val="26"/>
          <w:szCs w:val="26"/>
          <w:lang w:val="es-ES" w:eastAsia="en-US"/>
        </w:rPr>
        <w:t xml:space="preserve">. </w:t>
      </w:r>
    </w:p>
    <w:p w14:paraId="169292A5" w14:textId="77777777" w:rsidR="00585AE2" w:rsidRDefault="00585AE2" w:rsidP="00AA6A69">
      <w:pPr>
        <w:pStyle w:val="Prrafodelista"/>
        <w:spacing w:line="360" w:lineRule="auto"/>
        <w:contextualSpacing w:val="0"/>
        <w:rPr>
          <w:rFonts w:cs="Arial"/>
          <w:sz w:val="26"/>
          <w:szCs w:val="26"/>
          <w:lang w:val="es-MX" w:eastAsia="en-US"/>
        </w:rPr>
      </w:pPr>
    </w:p>
    <w:p w14:paraId="41E43DE0" w14:textId="7F1C28DF" w:rsidR="00585AE2" w:rsidRDefault="00585AE2" w:rsidP="00585AE2">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 xml:space="preserve">Como reconoce el tribunal, el derecho a la protección de la familia se refiere a todas las manifestaciones y formas familiares, sin que el matrimonio tenga un estatus especial o prioritario. </w:t>
      </w:r>
      <w:r>
        <w:rPr>
          <w:rFonts w:cs="Arial"/>
          <w:sz w:val="26"/>
          <w:szCs w:val="26"/>
          <w:lang w:val="es-MX" w:eastAsia="en-US"/>
        </w:rPr>
        <w:t>De hecho, hemos considerado</w:t>
      </w:r>
      <w:r w:rsidR="00355E79">
        <w:rPr>
          <w:rStyle w:val="Refdenotaalpie"/>
          <w:rFonts w:cs="Arial"/>
          <w:sz w:val="26"/>
          <w:szCs w:val="26"/>
          <w:lang w:val="es-MX" w:eastAsia="en-US"/>
        </w:rPr>
        <w:footnoteReference w:id="36"/>
      </w:r>
      <w:r>
        <w:rPr>
          <w:rFonts w:cs="Arial"/>
          <w:sz w:val="26"/>
          <w:szCs w:val="26"/>
          <w:lang w:val="es-MX" w:eastAsia="en-US"/>
        </w:rPr>
        <w:t xml:space="preserve"> que</w:t>
      </w:r>
      <w:r w:rsidR="00B62206">
        <w:rPr>
          <w:rFonts w:cs="Arial"/>
          <w:sz w:val="26"/>
          <w:szCs w:val="26"/>
          <w:lang w:val="es-MX" w:eastAsia="en-US"/>
        </w:rPr>
        <w:t>,</w:t>
      </w:r>
      <w:r>
        <w:rPr>
          <w:rFonts w:cs="Arial"/>
          <w:sz w:val="26"/>
          <w:szCs w:val="26"/>
          <w:lang w:val="es-MX" w:eastAsia="en-US"/>
        </w:rPr>
        <w:t xml:space="preserve"> s</w:t>
      </w:r>
      <w:r w:rsidRPr="00585AE2">
        <w:rPr>
          <w:rFonts w:cs="Arial"/>
          <w:sz w:val="26"/>
          <w:szCs w:val="26"/>
          <w:lang w:val="es-MX" w:eastAsia="en-US"/>
        </w:rPr>
        <w:t>i todas las familias merecen ser protegidas de la misma manera, es decir, sin conceder o negar mayores derechos a unas y otras, no existe una razón válida para considerar que la celebración del matrimonio es el medio idóneo para que la familia se desarrolle, ni mucho menos para considerar que la formación de la familia necesariamente tiene lugar a través de la celebración de ese acto jurídico.</w:t>
      </w:r>
      <w:r w:rsidR="00355E79" w:rsidRPr="00355E79">
        <w:rPr>
          <w:rStyle w:val="Refdenotaalpie"/>
          <w:rFonts w:cs="Arial"/>
          <w:sz w:val="26"/>
          <w:szCs w:val="26"/>
          <w:lang w:val="es-MX" w:eastAsia="en-US"/>
        </w:rPr>
        <w:t xml:space="preserve"> </w:t>
      </w:r>
      <w:r w:rsidR="00355E79">
        <w:rPr>
          <w:rStyle w:val="Refdenotaalpie"/>
          <w:rFonts w:cs="Arial"/>
          <w:sz w:val="26"/>
          <w:szCs w:val="26"/>
          <w:lang w:val="es-MX" w:eastAsia="en-US"/>
        </w:rPr>
        <w:footnoteReference w:id="37"/>
      </w:r>
      <w:r w:rsidRPr="00585AE2">
        <w:rPr>
          <w:rStyle w:val="Refdenotaalpie"/>
          <w:rFonts w:cs="Arial"/>
          <w:sz w:val="26"/>
          <w:szCs w:val="26"/>
          <w:lang w:val="es-MX" w:eastAsia="en-US"/>
        </w:rPr>
        <w:t xml:space="preserve"> </w:t>
      </w:r>
    </w:p>
    <w:p w14:paraId="6C268A8C" w14:textId="77777777" w:rsidR="00585AE2" w:rsidRDefault="00585AE2" w:rsidP="00801AB1">
      <w:pPr>
        <w:pStyle w:val="Prrafodelista"/>
        <w:spacing w:line="360" w:lineRule="auto"/>
        <w:rPr>
          <w:rFonts w:cs="Arial"/>
          <w:sz w:val="26"/>
          <w:szCs w:val="26"/>
          <w:lang w:val="es-MX" w:eastAsia="en-US"/>
        </w:rPr>
      </w:pPr>
    </w:p>
    <w:p w14:paraId="7EEE9175" w14:textId="1C11F7CD" w:rsidR="00585AE2" w:rsidRPr="00585AE2" w:rsidRDefault="00585AE2" w:rsidP="00801AB1">
      <w:pPr>
        <w:pStyle w:val="corte4fondo"/>
        <w:numPr>
          <w:ilvl w:val="0"/>
          <w:numId w:val="2"/>
        </w:numPr>
        <w:ind w:left="0" w:hanging="567"/>
        <w:rPr>
          <w:rFonts w:cs="Arial"/>
          <w:sz w:val="26"/>
          <w:szCs w:val="26"/>
          <w:lang w:val="es-ES" w:eastAsia="en-US"/>
        </w:rPr>
      </w:pPr>
      <w:r>
        <w:rPr>
          <w:rFonts w:cs="Arial"/>
          <w:sz w:val="26"/>
          <w:szCs w:val="26"/>
          <w:lang w:val="es-MX" w:eastAsia="en-US"/>
        </w:rPr>
        <w:t>Hemos reconocido que t</w:t>
      </w:r>
      <w:r w:rsidRPr="00585AE2">
        <w:rPr>
          <w:rFonts w:cs="Arial"/>
          <w:sz w:val="26"/>
          <w:szCs w:val="26"/>
          <w:lang w:val="es-MX" w:eastAsia="en-US"/>
        </w:rPr>
        <w:t>odas las familias que existen en la sociedad, sin importar la manera en que se constituyan frente al Estado o la forma en que se encuentren conformadas ante la sociedad, merecen igual protección. La afirmación de que el matrimonio es el medio idóneo para formar una familia implica que las familias no formadas mediante un matrimonio no reúnen la condición necesaria para desarrollarse plenamente; y que, en esa virtud, no merece</w:t>
      </w:r>
      <w:r w:rsidR="00794710">
        <w:rPr>
          <w:rFonts w:cs="Arial"/>
          <w:sz w:val="26"/>
          <w:szCs w:val="26"/>
          <w:lang w:val="es-MX" w:eastAsia="en-US"/>
        </w:rPr>
        <w:t>n</w:t>
      </w:r>
      <w:r w:rsidRPr="00585AE2">
        <w:rPr>
          <w:rFonts w:cs="Arial"/>
          <w:sz w:val="26"/>
          <w:szCs w:val="26"/>
          <w:lang w:val="es-MX" w:eastAsia="en-US"/>
        </w:rPr>
        <w:t xml:space="preserve"> ser protegida</w:t>
      </w:r>
      <w:r w:rsidR="00794710">
        <w:rPr>
          <w:rFonts w:cs="Arial"/>
          <w:sz w:val="26"/>
          <w:szCs w:val="26"/>
          <w:lang w:val="es-MX" w:eastAsia="en-US"/>
        </w:rPr>
        <w:t>s</w:t>
      </w:r>
      <w:r w:rsidRPr="00585AE2">
        <w:rPr>
          <w:rFonts w:cs="Arial"/>
          <w:sz w:val="26"/>
          <w:szCs w:val="26"/>
          <w:lang w:val="es-MX" w:eastAsia="en-US"/>
        </w:rPr>
        <w:t xml:space="preserve"> de la misma manera. </w:t>
      </w:r>
    </w:p>
    <w:p w14:paraId="4EAD2630" w14:textId="77777777" w:rsidR="00585AE2" w:rsidRDefault="00585AE2" w:rsidP="00801AB1">
      <w:pPr>
        <w:pStyle w:val="Prrafodelista"/>
        <w:spacing w:line="360" w:lineRule="auto"/>
        <w:rPr>
          <w:rFonts w:cs="Arial"/>
          <w:sz w:val="26"/>
          <w:szCs w:val="26"/>
          <w:lang w:val="es-ES" w:eastAsia="en-US"/>
        </w:rPr>
      </w:pPr>
    </w:p>
    <w:p w14:paraId="639EE3B1" w14:textId="36B02CE0" w:rsidR="00585AE2" w:rsidRDefault="00585AE2" w:rsidP="00585AE2">
      <w:pPr>
        <w:pStyle w:val="corte4fondo"/>
        <w:numPr>
          <w:ilvl w:val="0"/>
          <w:numId w:val="2"/>
        </w:numPr>
        <w:ind w:left="0" w:hanging="567"/>
        <w:rPr>
          <w:rFonts w:cs="Arial"/>
          <w:sz w:val="26"/>
          <w:szCs w:val="26"/>
          <w:lang w:eastAsia="en-US"/>
        </w:rPr>
      </w:pPr>
      <w:r w:rsidRPr="00955ADD">
        <w:rPr>
          <w:rFonts w:cs="Arial"/>
          <w:sz w:val="26"/>
          <w:szCs w:val="26"/>
          <w:lang w:eastAsia="en-US"/>
        </w:rPr>
        <w:lastRenderedPageBreak/>
        <w:t>En este entendimiento del derecho a la protección familiar</w:t>
      </w:r>
      <w:r>
        <w:rPr>
          <w:rFonts w:cs="Arial"/>
          <w:sz w:val="26"/>
          <w:szCs w:val="26"/>
          <w:lang w:eastAsia="en-US"/>
        </w:rPr>
        <w:t xml:space="preserve">, entonces, lo fundamental es la protección y garantía de la familia como grupo y también de sus miembros, más allá de la protección a una institución jurídica que puede dar origen a la familia, como sería el matrimonio. Tal acepción del derecho </w:t>
      </w:r>
      <w:r w:rsidR="00355E79">
        <w:rPr>
          <w:rFonts w:cs="Arial"/>
          <w:sz w:val="26"/>
          <w:szCs w:val="26"/>
          <w:lang w:eastAsia="en-US"/>
        </w:rPr>
        <w:t xml:space="preserve">también </w:t>
      </w:r>
      <w:r>
        <w:rPr>
          <w:rFonts w:cs="Arial"/>
          <w:sz w:val="26"/>
          <w:szCs w:val="26"/>
          <w:lang w:eastAsia="en-US"/>
        </w:rPr>
        <w:t>ha sido desarrollada a partir de casos como los relacionados con el divorcio sin expresión de causa, en los que esta Suprema Corte estableció que es</w:t>
      </w:r>
      <w:r w:rsidRPr="00013CCE">
        <w:rPr>
          <w:rFonts w:cs="Arial"/>
          <w:sz w:val="26"/>
          <w:szCs w:val="26"/>
          <w:lang w:eastAsia="en-US"/>
        </w:rPr>
        <w:t xml:space="preserve"> legítima la disolución del vínculo matrimonial, siempre y cuando se asegure la igualdad de derechos, la adecuada equivalencia de responsabilidades de los cónyuges y la protección necesaria de los hijos sobre la base única del interés y conveniencia de ello</w:t>
      </w:r>
      <w:r>
        <w:rPr>
          <w:rFonts w:cs="Arial"/>
          <w:sz w:val="26"/>
          <w:szCs w:val="26"/>
          <w:lang w:eastAsia="en-US"/>
        </w:rPr>
        <w:t>.</w:t>
      </w:r>
      <w:r>
        <w:rPr>
          <w:rStyle w:val="Refdenotaalpie"/>
          <w:rFonts w:cs="Arial"/>
          <w:sz w:val="26"/>
          <w:szCs w:val="26"/>
          <w:lang w:eastAsia="en-US"/>
        </w:rPr>
        <w:footnoteReference w:id="38"/>
      </w:r>
      <w:r>
        <w:rPr>
          <w:rFonts w:cs="Arial"/>
          <w:sz w:val="26"/>
          <w:szCs w:val="26"/>
          <w:lang w:eastAsia="en-US"/>
        </w:rPr>
        <w:t xml:space="preserve"> </w:t>
      </w:r>
    </w:p>
    <w:p w14:paraId="502C4DB0" w14:textId="77777777" w:rsidR="00585AE2" w:rsidRPr="00585AE2" w:rsidRDefault="00585AE2" w:rsidP="00585AE2">
      <w:pPr>
        <w:pStyle w:val="corte4fondo"/>
        <w:ind w:firstLine="0"/>
        <w:rPr>
          <w:rFonts w:cs="Arial"/>
          <w:sz w:val="26"/>
          <w:szCs w:val="26"/>
          <w:lang w:val="es-ES" w:eastAsia="en-US"/>
        </w:rPr>
      </w:pPr>
    </w:p>
    <w:p w14:paraId="3D17CA97" w14:textId="4AF8BBF3" w:rsidR="009356F2" w:rsidRPr="00585AE2" w:rsidRDefault="00355E79" w:rsidP="00585AE2">
      <w:pPr>
        <w:pStyle w:val="corte4fondo"/>
        <w:numPr>
          <w:ilvl w:val="0"/>
          <w:numId w:val="2"/>
        </w:numPr>
        <w:ind w:left="0" w:hanging="567"/>
        <w:rPr>
          <w:rFonts w:cs="Arial"/>
          <w:sz w:val="26"/>
          <w:szCs w:val="26"/>
          <w:lang w:val="es-ES" w:eastAsia="en-US"/>
        </w:rPr>
      </w:pPr>
      <w:r>
        <w:rPr>
          <w:rFonts w:cs="Arial"/>
          <w:sz w:val="26"/>
          <w:szCs w:val="26"/>
          <w:lang w:val="es-ES" w:eastAsia="en-US"/>
        </w:rPr>
        <w:t>Entonces, c</w:t>
      </w:r>
      <w:r w:rsidR="00370CB8" w:rsidRPr="003417DD">
        <w:rPr>
          <w:rFonts w:cs="Arial"/>
          <w:sz w:val="26"/>
          <w:szCs w:val="26"/>
          <w:lang w:val="es-ES" w:eastAsia="en-US"/>
        </w:rPr>
        <w:t xml:space="preserve">on base en </w:t>
      </w:r>
      <w:r w:rsidR="00585AE2">
        <w:rPr>
          <w:rFonts w:cs="Arial"/>
          <w:sz w:val="26"/>
          <w:szCs w:val="26"/>
          <w:lang w:val="es-ES" w:eastAsia="en-US"/>
        </w:rPr>
        <w:t>el derecho a la protección familiar en igualdad de condiciones</w:t>
      </w:r>
      <w:r w:rsidR="00370CB8" w:rsidRPr="003417DD">
        <w:rPr>
          <w:rFonts w:cs="Arial"/>
          <w:sz w:val="26"/>
          <w:szCs w:val="26"/>
          <w:lang w:val="es-ES" w:eastAsia="en-US"/>
        </w:rPr>
        <w:t>, ya no consideramos (como sí era antes</w:t>
      </w:r>
      <w:r w:rsidR="00E709F0" w:rsidRPr="003417DD">
        <w:rPr>
          <w:rStyle w:val="Refdenotaalpie"/>
          <w:rFonts w:cs="Arial"/>
          <w:sz w:val="26"/>
          <w:szCs w:val="26"/>
          <w:lang w:val="es-ES" w:eastAsia="en-US"/>
        </w:rPr>
        <w:footnoteReference w:id="39"/>
      </w:r>
      <w:r w:rsidR="00370CB8" w:rsidRPr="003417DD">
        <w:rPr>
          <w:rFonts w:cs="Arial"/>
          <w:sz w:val="26"/>
          <w:szCs w:val="26"/>
          <w:lang w:val="es-ES" w:eastAsia="en-US"/>
        </w:rPr>
        <w:t xml:space="preserve">) que el </w:t>
      </w:r>
      <w:r w:rsidR="00E8145E" w:rsidRPr="003417DD">
        <w:rPr>
          <w:rFonts w:cs="Arial"/>
          <w:sz w:val="26"/>
          <w:szCs w:val="26"/>
          <w:lang w:val="es-ES" w:eastAsia="en-US"/>
        </w:rPr>
        <w:t xml:space="preserve">matrimonio </w:t>
      </w:r>
      <w:r w:rsidR="00370CB8" w:rsidRPr="003417DD">
        <w:rPr>
          <w:rFonts w:cs="Arial"/>
          <w:sz w:val="26"/>
          <w:szCs w:val="26"/>
          <w:lang w:val="es-ES" w:eastAsia="en-US"/>
        </w:rPr>
        <w:t>constituy</w:t>
      </w:r>
      <w:r w:rsidR="005C3EF2" w:rsidRPr="003417DD">
        <w:rPr>
          <w:rFonts w:cs="Arial"/>
          <w:sz w:val="26"/>
          <w:szCs w:val="26"/>
          <w:lang w:val="es-ES" w:eastAsia="en-US"/>
        </w:rPr>
        <w:t>e</w:t>
      </w:r>
      <w:r w:rsidR="00370CB8" w:rsidRPr="003417DD">
        <w:rPr>
          <w:rFonts w:cs="Arial"/>
          <w:sz w:val="26"/>
          <w:szCs w:val="26"/>
          <w:lang w:val="es-ES" w:eastAsia="en-US"/>
        </w:rPr>
        <w:t xml:space="preserve"> un fin en sí mismo</w:t>
      </w:r>
      <w:r w:rsidR="008F4FF3">
        <w:rPr>
          <w:rFonts w:cs="Arial"/>
          <w:sz w:val="26"/>
          <w:szCs w:val="26"/>
          <w:lang w:val="es-ES" w:eastAsia="en-US"/>
        </w:rPr>
        <w:t xml:space="preserve">, </w:t>
      </w:r>
      <w:r w:rsidR="00370CB8" w:rsidRPr="003417DD">
        <w:rPr>
          <w:rFonts w:cs="Arial"/>
          <w:sz w:val="26"/>
          <w:szCs w:val="26"/>
          <w:lang w:val="es-ES" w:eastAsia="en-US"/>
        </w:rPr>
        <w:t>con independencia de las relaciones o personas que l</w:t>
      </w:r>
      <w:r w:rsidR="008F4FF3">
        <w:rPr>
          <w:rFonts w:cs="Arial"/>
          <w:sz w:val="26"/>
          <w:szCs w:val="26"/>
          <w:lang w:val="es-ES" w:eastAsia="en-US"/>
        </w:rPr>
        <w:t>o</w:t>
      </w:r>
      <w:r w:rsidR="00370CB8" w:rsidRPr="003417DD">
        <w:rPr>
          <w:rFonts w:cs="Arial"/>
          <w:sz w:val="26"/>
          <w:szCs w:val="26"/>
          <w:lang w:val="es-ES" w:eastAsia="en-US"/>
        </w:rPr>
        <w:t xml:space="preserve"> conforman. </w:t>
      </w:r>
      <w:r w:rsidR="00370CB8" w:rsidRPr="00585AE2">
        <w:rPr>
          <w:rFonts w:cs="Arial"/>
          <w:sz w:val="26"/>
          <w:szCs w:val="26"/>
          <w:lang w:val="es-ES" w:eastAsia="en-US"/>
        </w:rPr>
        <w:t xml:space="preserve">Por tanto, </w:t>
      </w:r>
      <w:r w:rsidR="0023415B" w:rsidRPr="00585AE2">
        <w:rPr>
          <w:rFonts w:cs="Arial"/>
          <w:sz w:val="26"/>
          <w:szCs w:val="26"/>
          <w:lang w:val="es-ES" w:eastAsia="en-US"/>
        </w:rPr>
        <w:t xml:space="preserve">si </w:t>
      </w:r>
      <w:r w:rsidR="005C3EF2" w:rsidRPr="00585AE2">
        <w:rPr>
          <w:rFonts w:cs="Arial"/>
          <w:sz w:val="26"/>
          <w:szCs w:val="26"/>
          <w:lang w:val="es-ES" w:eastAsia="en-US"/>
        </w:rPr>
        <w:t xml:space="preserve">estimamos </w:t>
      </w:r>
      <w:r w:rsidR="0023415B" w:rsidRPr="00585AE2">
        <w:rPr>
          <w:rFonts w:cs="Arial"/>
          <w:sz w:val="26"/>
          <w:szCs w:val="26"/>
          <w:lang w:val="es-ES" w:eastAsia="en-US"/>
        </w:rPr>
        <w:t>que</w:t>
      </w:r>
      <w:r w:rsidR="00370CB8" w:rsidRPr="00585AE2">
        <w:rPr>
          <w:rFonts w:cs="Arial"/>
          <w:sz w:val="26"/>
          <w:szCs w:val="26"/>
          <w:lang w:val="es-ES" w:eastAsia="en-US"/>
        </w:rPr>
        <w:t xml:space="preserve"> el propósito de la medida es la protección del matrimonio</w:t>
      </w:r>
      <w:r w:rsidR="0023415B" w:rsidRPr="00585AE2">
        <w:rPr>
          <w:rFonts w:cs="Arial"/>
          <w:sz w:val="26"/>
          <w:szCs w:val="26"/>
          <w:lang w:val="es-ES" w:eastAsia="en-US"/>
        </w:rPr>
        <w:t>,</w:t>
      </w:r>
      <w:r w:rsidR="00370CB8" w:rsidRPr="00585AE2">
        <w:rPr>
          <w:rFonts w:cs="Arial"/>
          <w:sz w:val="26"/>
          <w:szCs w:val="26"/>
          <w:lang w:val="es-ES" w:eastAsia="en-US"/>
        </w:rPr>
        <w:t xml:space="preserve"> no podría</w:t>
      </w:r>
      <w:r w:rsidR="005C3EF2" w:rsidRPr="00585AE2">
        <w:rPr>
          <w:rFonts w:cs="Arial"/>
          <w:sz w:val="26"/>
          <w:szCs w:val="26"/>
          <w:lang w:val="es-ES" w:eastAsia="en-US"/>
        </w:rPr>
        <w:t xml:space="preserve">mos concluir que se trata de un </w:t>
      </w:r>
      <w:r w:rsidR="00370CB8" w:rsidRPr="00585AE2">
        <w:rPr>
          <w:rFonts w:cs="Arial"/>
          <w:sz w:val="26"/>
          <w:szCs w:val="26"/>
          <w:lang w:val="es-ES" w:eastAsia="en-US"/>
        </w:rPr>
        <w:t xml:space="preserve">fin constitucionalmente legítimo que amerita la afectación </w:t>
      </w:r>
      <w:r w:rsidR="005C3EF2" w:rsidRPr="00585AE2">
        <w:rPr>
          <w:rFonts w:cs="Arial"/>
          <w:sz w:val="26"/>
          <w:szCs w:val="26"/>
          <w:lang w:val="es-ES" w:eastAsia="en-US"/>
        </w:rPr>
        <w:t>de los derechos mencionados.</w:t>
      </w:r>
    </w:p>
    <w:p w14:paraId="27A0233E" w14:textId="77777777" w:rsidR="0023415B" w:rsidRPr="003417DD" w:rsidRDefault="0023415B" w:rsidP="00172CF2">
      <w:pPr>
        <w:pStyle w:val="Prrafodelista"/>
        <w:spacing w:line="360" w:lineRule="auto"/>
        <w:rPr>
          <w:rFonts w:cs="Arial"/>
          <w:sz w:val="26"/>
          <w:szCs w:val="26"/>
          <w:lang w:val="es-ES" w:eastAsia="en-US"/>
        </w:rPr>
      </w:pPr>
    </w:p>
    <w:p w14:paraId="571951AE" w14:textId="2C32B5F8" w:rsidR="00962362" w:rsidRDefault="008F4FF3" w:rsidP="00F8729B">
      <w:pPr>
        <w:pStyle w:val="corte4fondo"/>
        <w:numPr>
          <w:ilvl w:val="0"/>
          <w:numId w:val="2"/>
        </w:numPr>
        <w:ind w:left="0" w:hanging="567"/>
        <w:rPr>
          <w:rFonts w:cs="Arial"/>
          <w:sz w:val="26"/>
          <w:szCs w:val="26"/>
          <w:lang w:val="es-ES" w:eastAsia="en-US"/>
        </w:rPr>
      </w:pPr>
      <w:r>
        <w:rPr>
          <w:rFonts w:cs="Arial"/>
          <w:sz w:val="26"/>
          <w:szCs w:val="26"/>
          <w:lang w:val="es-ES" w:eastAsia="en-US"/>
        </w:rPr>
        <w:t>No obstante, a</w:t>
      </w:r>
      <w:r w:rsidR="00370CB8" w:rsidRPr="003417DD">
        <w:rPr>
          <w:rFonts w:cs="Arial"/>
          <w:sz w:val="26"/>
          <w:szCs w:val="26"/>
          <w:lang w:val="es-ES" w:eastAsia="en-US"/>
        </w:rPr>
        <w:t>lternativamente</w:t>
      </w:r>
      <w:r>
        <w:rPr>
          <w:rFonts w:cs="Arial"/>
          <w:sz w:val="26"/>
          <w:szCs w:val="26"/>
          <w:lang w:val="es-ES" w:eastAsia="en-US"/>
        </w:rPr>
        <w:t xml:space="preserve"> </w:t>
      </w:r>
      <w:r w:rsidR="0023415B" w:rsidRPr="003417DD">
        <w:rPr>
          <w:rFonts w:cs="Arial"/>
          <w:sz w:val="26"/>
          <w:szCs w:val="26"/>
          <w:lang w:val="es-ES" w:eastAsia="en-US"/>
        </w:rPr>
        <w:t>puede sostenerse que el fin de la medida es proteger a</w:t>
      </w:r>
      <w:r w:rsidR="00F8729B" w:rsidRPr="003417DD">
        <w:rPr>
          <w:rFonts w:cs="Arial"/>
          <w:sz w:val="26"/>
          <w:szCs w:val="26"/>
          <w:lang w:val="es-ES" w:eastAsia="en-US"/>
        </w:rPr>
        <w:t xml:space="preserve"> la </w:t>
      </w:r>
      <w:r w:rsidR="0023415B" w:rsidRPr="003417DD">
        <w:rPr>
          <w:rFonts w:cs="Arial"/>
          <w:sz w:val="26"/>
          <w:szCs w:val="26"/>
          <w:lang w:val="es-ES" w:eastAsia="en-US"/>
        </w:rPr>
        <w:t xml:space="preserve">persona que </w:t>
      </w:r>
      <w:r w:rsidR="00F8729B" w:rsidRPr="003417DD">
        <w:rPr>
          <w:rFonts w:cs="Arial"/>
          <w:sz w:val="26"/>
          <w:szCs w:val="26"/>
          <w:lang w:val="es-ES" w:eastAsia="en-US"/>
        </w:rPr>
        <w:t xml:space="preserve">actúa de buena fe y </w:t>
      </w:r>
      <w:r w:rsidR="0023415B" w:rsidRPr="003417DD">
        <w:rPr>
          <w:rFonts w:cs="Arial"/>
          <w:sz w:val="26"/>
          <w:szCs w:val="26"/>
          <w:lang w:val="es-ES" w:eastAsia="en-US"/>
        </w:rPr>
        <w:t>se ve afectada por la declaración de nulidad</w:t>
      </w:r>
      <w:r w:rsidR="00F8729B" w:rsidRPr="003417DD">
        <w:rPr>
          <w:rFonts w:cs="Arial"/>
          <w:sz w:val="26"/>
          <w:szCs w:val="26"/>
          <w:lang w:val="es-ES" w:eastAsia="en-US"/>
        </w:rPr>
        <w:t xml:space="preserve">. Lo que se busca, más bien, es </w:t>
      </w:r>
      <w:r w:rsidR="003358B3" w:rsidRPr="003417DD">
        <w:rPr>
          <w:rFonts w:cs="Arial"/>
          <w:sz w:val="26"/>
          <w:szCs w:val="26"/>
          <w:lang w:val="es-ES" w:eastAsia="en-US"/>
        </w:rPr>
        <w:t xml:space="preserve">disuadir a las personas de engañar a otras respecto de una opción o actuación —casarse— que es de gran importancia en el contexto del plan de vida de cada uno. </w:t>
      </w:r>
    </w:p>
    <w:p w14:paraId="015F5735" w14:textId="77777777" w:rsidR="00962362" w:rsidRDefault="00962362" w:rsidP="003A77ED">
      <w:pPr>
        <w:pStyle w:val="Prrafodelista"/>
        <w:spacing w:line="360" w:lineRule="auto"/>
        <w:rPr>
          <w:rFonts w:cs="Arial"/>
          <w:sz w:val="26"/>
          <w:szCs w:val="26"/>
          <w:lang w:val="es-ES" w:eastAsia="en-US"/>
        </w:rPr>
      </w:pPr>
    </w:p>
    <w:p w14:paraId="096AF79B" w14:textId="79528580" w:rsidR="003358B3" w:rsidRPr="003417DD" w:rsidRDefault="003358B3" w:rsidP="00F8729B">
      <w:pPr>
        <w:pStyle w:val="corte4fondo"/>
        <w:numPr>
          <w:ilvl w:val="0"/>
          <w:numId w:val="2"/>
        </w:numPr>
        <w:ind w:left="0" w:hanging="567"/>
        <w:rPr>
          <w:rFonts w:cs="Arial"/>
          <w:sz w:val="26"/>
          <w:szCs w:val="26"/>
          <w:lang w:val="es-ES" w:eastAsia="en-US"/>
        </w:rPr>
      </w:pPr>
      <w:r w:rsidRPr="003417DD">
        <w:rPr>
          <w:rFonts w:cs="Arial"/>
          <w:sz w:val="26"/>
          <w:szCs w:val="26"/>
          <w:lang w:val="es-ES" w:eastAsia="en-US"/>
        </w:rPr>
        <w:lastRenderedPageBreak/>
        <w:t xml:space="preserve">Vincularse con una persona </w:t>
      </w:r>
      <w:r w:rsidR="008F4FF3">
        <w:rPr>
          <w:rFonts w:cs="Arial"/>
          <w:sz w:val="26"/>
          <w:szCs w:val="26"/>
          <w:lang w:val="es-ES" w:eastAsia="en-US"/>
        </w:rPr>
        <w:t xml:space="preserve">(mediante el matrimonio) </w:t>
      </w:r>
      <w:r w:rsidRPr="003417DD">
        <w:rPr>
          <w:rFonts w:cs="Arial"/>
          <w:sz w:val="26"/>
          <w:szCs w:val="26"/>
          <w:lang w:val="es-ES" w:eastAsia="en-US"/>
        </w:rPr>
        <w:t>con vocación de permanencia tiene repercusiones habitualmente profundas en casi todos los ámbitos de la vida y en relación con muchas opciones y actividades vitales, personales o patrimoniales</w:t>
      </w:r>
      <w:r w:rsidR="00F8729B" w:rsidRPr="003417DD">
        <w:rPr>
          <w:rFonts w:cs="Arial"/>
          <w:sz w:val="26"/>
          <w:szCs w:val="26"/>
          <w:lang w:val="es-ES" w:eastAsia="en-US"/>
        </w:rPr>
        <w:t xml:space="preserve">. </w:t>
      </w:r>
      <w:r w:rsidR="00962362">
        <w:rPr>
          <w:rFonts w:cs="Arial"/>
          <w:sz w:val="26"/>
          <w:szCs w:val="26"/>
          <w:lang w:val="es-ES" w:eastAsia="en-US"/>
        </w:rPr>
        <w:t>Por ello, d</w:t>
      </w:r>
      <w:r w:rsidRPr="003417DD">
        <w:rPr>
          <w:rFonts w:cs="Arial"/>
          <w:sz w:val="26"/>
          <w:szCs w:val="26"/>
          <w:lang w:val="es-ES" w:eastAsia="en-US"/>
        </w:rPr>
        <w:t>isuadir a las personas de engañar a los demás —en este caso, personas de buena fe— respecto de las condiciones en las que se contrae —en este caso, condiciones que implican nulidad— es una finalidad constitucionalmente válida y del todo congruente con la adecuada garantía del derecho al libre desarrollo de la personalidad de las personas.</w:t>
      </w:r>
      <w:r w:rsidRPr="003417DD">
        <w:rPr>
          <w:rStyle w:val="Refdenotaalpie"/>
          <w:rFonts w:cs="Arial"/>
          <w:sz w:val="26"/>
          <w:szCs w:val="26"/>
          <w:lang w:val="es-ES" w:eastAsia="en-US"/>
        </w:rPr>
        <w:footnoteReference w:id="40"/>
      </w:r>
    </w:p>
    <w:p w14:paraId="72096C1A" w14:textId="77777777" w:rsidR="005C3EF2" w:rsidRPr="003417DD" w:rsidRDefault="005C3EF2" w:rsidP="0020589D">
      <w:pPr>
        <w:pStyle w:val="corte4fondo"/>
        <w:rPr>
          <w:rFonts w:cs="Arial"/>
          <w:sz w:val="26"/>
          <w:szCs w:val="26"/>
          <w:lang w:val="es-ES" w:eastAsia="en-US"/>
        </w:rPr>
      </w:pPr>
    </w:p>
    <w:p w14:paraId="1E3AD7B6" w14:textId="77777777" w:rsidR="00962362" w:rsidRDefault="00F8729B" w:rsidP="00F8729B">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Esta manera de abordar el problema, si bien atiende a una visión actual de las relaciones familiares, no contraviene</w:t>
      </w:r>
      <w:r w:rsidR="00101258" w:rsidRPr="003417DD">
        <w:rPr>
          <w:rFonts w:cs="Arial"/>
          <w:sz w:val="26"/>
          <w:szCs w:val="26"/>
          <w:lang w:val="es-ES" w:eastAsia="en-US"/>
        </w:rPr>
        <w:t xml:space="preserve"> necesariamente</w:t>
      </w:r>
      <w:r w:rsidRPr="003417DD">
        <w:rPr>
          <w:rFonts w:cs="Arial"/>
          <w:sz w:val="26"/>
          <w:szCs w:val="26"/>
          <w:lang w:val="es-ES" w:eastAsia="en-US"/>
        </w:rPr>
        <w:t xml:space="preserve"> un análisis histórico de la medida. A</w:t>
      </w:r>
      <w:r w:rsidR="0023415B" w:rsidRPr="003417DD">
        <w:rPr>
          <w:rFonts w:cs="Arial"/>
          <w:sz w:val="26"/>
          <w:szCs w:val="26"/>
          <w:lang w:val="es-ES" w:eastAsia="en-US"/>
        </w:rPr>
        <w:t xml:space="preserve">unque la exposición de motivos del Código Civil del Estado de Jalisco no se pronuncia sobre el tema, las disposiciones que sancionan la mala fe al contraer matrimonio existen desde el Código Civil del Distrito Federal y Territorio de la Baja California de 1870 y establecían una regla esencialmente igual a la </w:t>
      </w:r>
      <w:r w:rsidR="00101258" w:rsidRPr="003417DD">
        <w:rPr>
          <w:rFonts w:cs="Arial"/>
          <w:sz w:val="26"/>
          <w:szCs w:val="26"/>
          <w:lang w:val="es-ES" w:eastAsia="en-US"/>
        </w:rPr>
        <w:t>estudiada</w:t>
      </w:r>
      <w:r w:rsidR="0023415B" w:rsidRPr="003417DD">
        <w:rPr>
          <w:rStyle w:val="Refdenotaalpie"/>
          <w:rFonts w:cs="Arial"/>
          <w:sz w:val="26"/>
          <w:szCs w:val="26"/>
          <w:lang w:val="es-ES" w:eastAsia="en-US"/>
        </w:rPr>
        <w:footnoteReference w:id="41"/>
      </w:r>
      <w:r w:rsidRPr="003417DD">
        <w:rPr>
          <w:rFonts w:cs="Arial"/>
          <w:sz w:val="26"/>
          <w:szCs w:val="26"/>
          <w:lang w:val="es-ES" w:eastAsia="en-US"/>
        </w:rPr>
        <w:t>. L</w:t>
      </w:r>
      <w:r w:rsidR="0023415B" w:rsidRPr="003417DD">
        <w:rPr>
          <w:rFonts w:cs="Arial"/>
          <w:sz w:val="26"/>
          <w:szCs w:val="26"/>
          <w:lang w:val="es-ES" w:eastAsia="en-US"/>
        </w:rPr>
        <w:t xml:space="preserve">a misma consecuencia señalada en el artículo reclamado en esta resolución estaba prevista en el artículo 2195 de la normativa histórica. </w:t>
      </w:r>
    </w:p>
    <w:p w14:paraId="52721079" w14:textId="77777777" w:rsidR="00962362" w:rsidRDefault="00962362" w:rsidP="00266DBE">
      <w:pPr>
        <w:pStyle w:val="Prrafodelista"/>
        <w:spacing w:line="360" w:lineRule="auto"/>
        <w:rPr>
          <w:rFonts w:cs="Arial"/>
          <w:sz w:val="26"/>
          <w:szCs w:val="26"/>
          <w:lang w:val="es-ES" w:eastAsia="en-US"/>
        </w:rPr>
      </w:pPr>
    </w:p>
    <w:p w14:paraId="1894031E" w14:textId="2A3A2EF9" w:rsidR="0023415B" w:rsidRPr="003417DD" w:rsidRDefault="0023415B" w:rsidP="00F8729B">
      <w:pPr>
        <w:pStyle w:val="corte4fondo"/>
        <w:numPr>
          <w:ilvl w:val="0"/>
          <w:numId w:val="2"/>
        </w:numPr>
        <w:ind w:left="0" w:hanging="567"/>
        <w:rPr>
          <w:rFonts w:cs="Arial"/>
          <w:sz w:val="26"/>
          <w:szCs w:val="26"/>
          <w:lang w:val="es-ES" w:eastAsia="en-US"/>
        </w:rPr>
      </w:pPr>
      <w:r w:rsidRPr="003417DD">
        <w:rPr>
          <w:rFonts w:cs="Arial"/>
          <w:sz w:val="26"/>
          <w:szCs w:val="26"/>
          <w:lang w:val="es-ES" w:eastAsia="en-US"/>
        </w:rPr>
        <w:t xml:space="preserve">De la exposición de motivos relativa a estos numerales se desprende que el legislador señaló: “El matrimonio anulado producirá sin embargo efectos civiles, si </w:t>
      </w:r>
      <w:r w:rsidRPr="003417DD">
        <w:rPr>
          <w:rFonts w:cs="Arial"/>
          <w:sz w:val="26"/>
          <w:szCs w:val="26"/>
          <w:lang w:val="es-ES" w:eastAsia="en-US"/>
        </w:rPr>
        <w:lastRenderedPageBreak/>
        <w:t xml:space="preserve">se contrajo de buena </w:t>
      </w:r>
      <w:r w:rsidR="00266DBE" w:rsidRPr="003417DD">
        <w:rPr>
          <w:rFonts w:cs="Arial"/>
          <w:sz w:val="26"/>
          <w:szCs w:val="26"/>
          <w:lang w:val="es-ES" w:eastAsia="en-US"/>
        </w:rPr>
        <w:t>fe</w:t>
      </w:r>
      <w:r w:rsidRPr="003417DD">
        <w:rPr>
          <w:rFonts w:cs="Arial"/>
          <w:sz w:val="26"/>
          <w:szCs w:val="26"/>
          <w:lang w:val="es-ES" w:eastAsia="en-US"/>
        </w:rPr>
        <w:t xml:space="preserve">, en favor de los cónyuges, mientras dure y siempre en favor de los hijos; </w:t>
      </w:r>
      <w:r w:rsidRPr="003417DD">
        <w:rPr>
          <w:rFonts w:cs="Arial"/>
          <w:i/>
          <w:iCs/>
          <w:sz w:val="26"/>
          <w:szCs w:val="26"/>
          <w:lang w:val="es-ES" w:eastAsia="en-US"/>
        </w:rPr>
        <w:t xml:space="preserve">porque no es justo que un error tal vez invencible, cause los males que un </w:t>
      </w:r>
      <w:r w:rsidR="00101258" w:rsidRPr="003417DD">
        <w:rPr>
          <w:rFonts w:cs="Arial"/>
          <w:i/>
          <w:iCs/>
          <w:sz w:val="26"/>
          <w:szCs w:val="26"/>
          <w:lang w:val="es-ES" w:eastAsia="en-US"/>
        </w:rPr>
        <w:t>crimen</w:t>
      </w:r>
      <w:r w:rsidR="00101258" w:rsidRPr="003417DD">
        <w:rPr>
          <w:rFonts w:cs="Arial"/>
          <w:sz w:val="26"/>
          <w:szCs w:val="26"/>
          <w:lang w:val="es-ES" w:eastAsia="en-US"/>
        </w:rPr>
        <w:t>” (énfasis añadido).</w:t>
      </w:r>
      <w:r w:rsidRPr="003417DD">
        <w:rPr>
          <w:rStyle w:val="Refdenotaalpie"/>
          <w:rFonts w:cs="Arial"/>
          <w:sz w:val="26"/>
          <w:szCs w:val="26"/>
          <w:lang w:val="es-ES" w:eastAsia="en-US"/>
        </w:rPr>
        <w:footnoteReference w:id="42"/>
      </w:r>
      <w:r w:rsidR="00101258" w:rsidRPr="003417DD">
        <w:rPr>
          <w:rFonts w:cs="Arial"/>
          <w:sz w:val="26"/>
          <w:szCs w:val="26"/>
          <w:lang w:val="es-ES" w:eastAsia="en-US"/>
        </w:rPr>
        <w:t xml:space="preserve"> Esto es, no se estimaba razonable que la sanción de nulidad del matrimonio y sus implicaciones tuviera efectos negativos en las personas que actuaron de buena fe. </w:t>
      </w:r>
    </w:p>
    <w:p w14:paraId="1372CF82" w14:textId="77777777" w:rsidR="00101258" w:rsidRPr="00DC0FDF" w:rsidRDefault="00101258" w:rsidP="00DC0FDF">
      <w:pPr>
        <w:pStyle w:val="corte4fondo"/>
        <w:ind w:firstLine="0"/>
        <w:rPr>
          <w:rFonts w:cs="Arial"/>
          <w:sz w:val="26"/>
          <w:szCs w:val="26"/>
          <w:lang w:val="es-ES" w:eastAsia="en-US"/>
        </w:rPr>
      </w:pPr>
    </w:p>
    <w:p w14:paraId="5BAF0D50" w14:textId="253B28D8" w:rsidR="00101258" w:rsidRPr="00DC0FDF" w:rsidRDefault="00101258" w:rsidP="00DC0FDF">
      <w:pPr>
        <w:pStyle w:val="corte4fondo"/>
        <w:numPr>
          <w:ilvl w:val="0"/>
          <w:numId w:val="2"/>
        </w:numPr>
        <w:ind w:left="0" w:hanging="567"/>
        <w:rPr>
          <w:rFonts w:cs="Arial"/>
          <w:sz w:val="26"/>
          <w:szCs w:val="26"/>
          <w:lang w:val="es-ES" w:eastAsia="en-US"/>
        </w:rPr>
      </w:pPr>
      <w:r w:rsidRPr="00DC0FDF">
        <w:rPr>
          <w:rFonts w:cs="Arial"/>
          <w:sz w:val="26"/>
          <w:szCs w:val="26"/>
          <w:lang w:val="es-ES" w:eastAsia="en-US"/>
        </w:rPr>
        <w:t>A</w:t>
      </w:r>
      <w:r w:rsidR="00E709F0" w:rsidRPr="00DC0FDF">
        <w:rPr>
          <w:rFonts w:cs="Arial"/>
          <w:sz w:val="26"/>
          <w:szCs w:val="26"/>
          <w:lang w:val="es-ES" w:eastAsia="en-US"/>
        </w:rPr>
        <w:t>sí</w:t>
      </w:r>
      <w:r w:rsidR="00355E79" w:rsidRPr="00DC0FDF">
        <w:rPr>
          <w:rFonts w:cs="Arial"/>
          <w:sz w:val="26"/>
          <w:szCs w:val="26"/>
          <w:lang w:val="es-ES" w:eastAsia="en-US"/>
        </w:rPr>
        <w:t xml:space="preserve"> también</w:t>
      </w:r>
      <w:r w:rsidR="00EC30A9" w:rsidRPr="00DC0FDF">
        <w:rPr>
          <w:rFonts w:cs="Arial"/>
          <w:sz w:val="26"/>
          <w:szCs w:val="26"/>
          <w:lang w:val="es-ES" w:eastAsia="en-US"/>
        </w:rPr>
        <w:t>,</w:t>
      </w:r>
      <w:r w:rsidR="00E709F0" w:rsidRPr="00DC0FDF">
        <w:rPr>
          <w:rFonts w:cs="Arial"/>
          <w:sz w:val="26"/>
          <w:szCs w:val="26"/>
          <w:lang w:val="es-ES" w:eastAsia="en-US"/>
        </w:rPr>
        <w:t xml:space="preserve"> y de manera más general,</w:t>
      </w:r>
      <w:r w:rsidRPr="00DC0FDF">
        <w:rPr>
          <w:rFonts w:cs="Arial"/>
          <w:sz w:val="26"/>
          <w:szCs w:val="26"/>
          <w:lang w:val="es-ES" w:eastAsia="en-US"/>
        </w:rPr>
        <w:t xml:space="preserve"> podemos considerar que la norma tiene por objeto evitar que las personas pongan en marcha el aparato estatal y los recursos públicos de llevar a cabo un matrimonio en condiciones en las que no está permitido hacerlo, y que conducen a la declaración de nulidad (la cual exige, de nuevo, actividad y recursos públicos estatales). </w:t>
      </w:r>
      <w:r w:rsidR="00962362" w:rsidRPr="00DC0FDF">
        <w:rPr>
          <w:rFonts w:cs="Arial"/>
          <w:sz w:val="26"/>
          <w:szCs w:val="26"/>
          <w:lang w:val="es-ES" w:eastAsia="en-US"/>
        </w:rPr>
        <w:t>Como</w:t>
      </w:r>
      <w:r w:rsidR="00EC30A9" w:rsidRPr="00DC0FDF">
        <w:rPr>
          <w:rFonts w:cs="Arial"/>
          <w:sz w:val="26"/>
          <w:szCs w:val="26"/>
          <w:lang w:val="es-ES" w:eastAsia="en-US"/>
        </w:rPr>
        <w:t xml:space="preserve"> lo consideró el</w:t>
      </w:r>
      <w:r w:rsidR="00E709F0" w:rsidRPr="00DC0FDF">
        <w:rPr>
          <w:rFonts w:cs="Arial"/>
          <w:sz w:val="26"/>
          <w:szCs w:val="26"/>
          <w:lang w:val="es-ES" w:eastAsia="en-US"/>
        </w:rPr>
        <w:t xml:space="preserve"> tribunal colegiado</w:t>
      </w:r>
      <w:r w:rsidR="00EC30A9" w:rsidRPr="00DC0FDF">
        <w:rPr>
          <w:rFonts w:cs="Arial"/>
          <w:sz w:val="26"/>
          <w:szCs w:val="26"/>
          <w:lang w:val="es-ES" w:eastAsia="en-US"/>
        </w:rPr>
        <w:t>,</w:t>
      </w:r>
      <w:r w:rsidR="00E709F0" w:rsidRPr="00DC0FDF">
        <w:rPr>
          <w:rFonts w:cs="Arial"/>
          <w:sz w:val="26"/>
          <w:szCs w:val="26"/>
          <w:lang w:val="es-ES" w:eastAsia="en-US"/>
        </w:rPr>
        <w:t xml:space="preserve"> se buscaría disuadir </w:t>
      </w:r>
      <w:r w:rsidR="00962362" w:rsidRPr="00DC0FDF">
        <w:rPr>
          <w:rFonts w:cs="Arial"/>
          <w:sz w:val="26"/>
          <w:szCs w:val="26"/>
          <w:lang w:val="es-ES" w:eastAsia="en-US"/>
        </w:rPr>
        <w:t>la celebración de</w:t>
      </w:r>
      <w:r w:rsidR="00E709F0" w:rsidRPr="00DC0FDF">
        <w:rPr>
          <w:rFonts w:cs="Arial"/>
          <w:sz w:val="26"/>
          <w:szCs w:val="26"/>
          <w:lang w:val="es-ES" w:eastAsia="en-US"/>
        </w:rPr>
        <w:t xml:space="preserve"> matrimonios que resultan nulos por los costos públicos que implica.</w:t>
      </w:r>
    </w:p>
    <w:p w14:paraId="0AE68C87" w14:textId="77777777" w:rsidR="00EC30A9" w:rsidRPr="00DC0FDF" w:rsidRDefault="00EC30A9" w:rsidP="00DC0FDF">
      <w:pPr>
        <w:pStyle w:val="Prrafodelista"/>
        <w:spacing w:line="360" w:lineRule="auto"/>
        <w:contextualSpacing w:val="0"/>
        <w:rPr>
          <w:rFonts w:ascii="Arial" w:hAnsi="Arial" w:cs="Arial"/>
          <w:sz w:val="26"/>
          <w:szCs w:val="26"/>
          <w:lang w:val="es-ES" w:eastAsia="en-US"/>
        </w:rPr>
      </w:pPr>
    </w:p>
    <w:p w14:paraId="12F054CD" w14:textId="4C552A18" w:rsidR="00EC30A9" w:rsidRPr="00DC0FDF" w:rsidRDefault="003417DD" w:rsidP="00DC0FDF">
      <w:pPr>
        <w:pStyle w:val="corte4fondo"/>
        <w:numPr>
          <w:ilvl w:val="0"/>
          <w:numId w:val="2"/>
        </w:numPr>
        <w:ind w:left="0" w:hanging="567"/>
        <w:rPr>
          <w:rFonts w:cs="Arial"/>
          <w:sz w:val="26"/>
          <w:szCs w:val="26"/>
          <w:lang w:val="es-ES" w:eastAsia="en-US"/>
        </w:rPr>
      </w:pPr>
      <w:r w:rsidRPr="00DC0FDF">
        <w:rPr>
          <w:rFonts w:cs="Arial"/>
          <w:sz w:val="26"/>
          <w:szCs w:val="26"/>
          <w:lang w:val="es-ES" w:eastAsia="en-US"/>
        </w:rPr>
        <w:t xml:space="preserve">Por otra parte, </w:t>
      </w:r>
      <w:r w:rsidR="00847FDE" w:rsidRPr="00DC0FDF">
        <w:rPr>
          <w:rFonts w:cs="Arial"/>
          <w:sz w:val="26"/>
          <w:szCs w:val="26"/>
          <w:lang w:val="es-ES" w:eastAsia="en-US"/>
        </w:rPr>
        <w:t xml:space="preserve">diferimos con </w:t>
      </w:r>
      <w:r w:rsidRPr="00DC0FDF">
        <w:rPr>
          <w:rFonts w:cs="Arial"/>
          <w:sz w:val="26"/>
          <w:szCs w:val="26"/>
          <w:lang w:val="es-ES" w:eastAsia="en-US"/>
        </w:rPr>
        <w:t xml:space="preserve">el tribunal </w:t>
      </w:r>
      <w:r w:rsidR="00254DE1" w:rsidRPr="00DC0FDF">
        <w:rPr>
          <w:rFonts w:cs="Arial"/>
          <w:sz w:val="26"/>
          <w:szCs w:val="26"/>
          <w:lang w:val="es-ES" w:eastAsia="en-US"/>
        </w:rPr>
        <w:t xml:space="preserve">colegiado </w:t>
      </w:r>
      <w:r w:rsidRPr="00DC0FDF">
        <w:rPr>
          <w:rFonts w:cs="Arial"/>
          <w:sz w:val="26"/>
          <w:szCs w:val="26"/>
          <w:lang w:val="es-ES" w:eastAsia="en-US"/>
        </w:rPr>
        <w:t xml:space="preserve">del conocimiento, </w:t>
      </w:r>
      <w:r w:rsidR="00847FDE" w:rsidRPr="00DC0FDF">
        <w:rPr>
          <w:rFonts w:cs="Arial"/>
          <w:sz w:val="26"/>
          <w:szCs w:val="26"/>
          <w:lang w:val="es-ES" w:eastAsia="en-US"/>
        </w:rPr>
        <w:t xml:space="preserve">pues </w:t>
      </w:r>
      <w:r w:rsidRPr="00DC0FDF">
        <w:rPr>
          <w:rFonts w:cs="Arial"/>
          <w:sz w:val="26"/>
          <w:szCs w:val="26"/>
          <w:lang w:val="es-ES" w:eastAsia="en-US"/>
        </w:rPr>
        <w:t>consideramos que, en principio,</w:t>
      </w:r>
      <w:r w:rsidR="00EC30A9" w:rsidRPr="00DC0FDF">
        <w:rPr>
          <w:rFonts w:cs="Arial"/>
          <w:sz w:val="26"/>
          <w:szCs w:val="26"/>
          <w:lang w:val="es-ES" w:eastAsia="en-US"/>
        </w:rPr>
        <w:t xml:space="preserve"> la norma es</w:t>
      </w:r>
      <w:r w:rsidRPr="00DC0FDF">
        <w:rPr>
          <w:rFonts w:cs="Arial"/>
          <w:sz w:val="26"/>
          <w:szCs w:val="26"/>
          <w:lang w:val="es-ES" w:eastAsia="en-US"/>
        </w:rPr>
        <w:t xml:space="preserve"> idónea o</w:t>
      </w:r>
      <w:r w:rsidR="00EC30A9" w:rsidRPr="00DC0FDF">
        <w:rPr>
          <w:rFonts w:cs="Arial"/>
          <w:sz w:val="26"/>
          <w:szCs w:val="26"/>
          <w:lang w:val="es-ES" w:eastAsia="en-US"/>
        </w:rPr>
        <w:t xml:space="preserve"> instrumentalmente apta </w:t>
      </w:r>
      <w:r w:rsidRPr="00DC0FDF">
        <w:rPr>
          <w:rFonts w:cs="Arial"/>
          <w:sz w:val="26"/>
          <w:szCs w:val="26"/>
          <w:lang w:val="es-ES" w:eastAsia="en-US"/>
        </w:rPr>
        <w:t xml:space="preserve">para alcanzar los fines referidos. Esto es, sí funciona para disuadir a la gente de casarse con conocimiento de que infringen </w:t>
      </w:r>
      <w:r w:rsidR="00847FDE" w:rsidRPr="00DC0FDF">
        <w:rPr>
          <w:rFonts w:cs="Arial"/>
          <w:sz w:val="26"/>
          <w:szCs w:val="26"/>
          <w:lang w:val="es-ES" w:eastAsia="en-US"/>
        </w:rPr>
        <w:t>las reglas</w:t>
      </w:r>
      <w:r w:rsidR="00355E79" w:rsidRPr="00DC0FDF">
        <w:rPr>
          <w:rFonts w:cs="Arial"/>
          <w:sz w:val="26"/>
          <w:szCs w:val="26"/>
          <w:lang w:val="es-ES" w:eastAsia="en-US"/>
        </w:rPr>
        <w:t xml:space="preserve"> legales</w:t>
      </w:r>
      <w:r w:rsidR="00847FDE" w:rsidRPr="00DC0FDF">
        <w:rPr>
          <w:rFonts w:cs="Arial"/>
          <w:sz w:val="26"/>
          <w:szCs w:val="26"/>
          <w:lang w:val="es-ES" w:eastAsia="en-US"/>
        </w:rPr>
        <w:t xml:space="preserve"> previstas para ello</w:t>
      </w:r>
      <w:r w:rsidRPr="00DC0FDF">
        <w:rPr>
          <w:rFonts w:cs="Arial"/>
          <w:sz w:val="26"/>
          <w:szCs w:val="26"/>
          <w:lang w:val="es-ES" w:eastAsia="en-US"/>
        </w:rPr>
        <w:t xml:space="preserve">, a costa </w:t>
      </w:r>
      <w:r w:rsidR="00EC30A9" w:rsidRPr="00DC0FDF">
        <w:rPr>
          <w:rFonts w:cs="Arial"/>
          <w:sz w:val="26"/>
          <w:szCs w:val="26"/>
          <w:lang w:val="es-ES" w:eastAsia="en-US"/>
        </w:rPr>
        <w:t>de otros de buena fe</w:t>
      </w:r>
      <w:r w:rsidRPr="00DC0FDF">
        <w:rPr>
          <w:rFonts w:cs="Arial"/>
          <w:sz w:val="26"/>
          <w:szCs w:val="26"/>
          <w:lang w:val="es-ES" w:eastAsia="en-US"/>
        </w:rPr>
        <w:t>. La</w:t>
      </w:r>
      <w:r w:rsidR="00EC30A9" w:rsidRPr="00DC0FDF">
        <w:rPr>
          <w:rFonts w:cs="Arial"/>
          <w:sz w:val="26"/>
          <w:szCs w:val="26"/>
          <w:lang w:val="es-ES" w:eastAsia="en-US"/>
        </w:rPr>
        <w:t xml:space="preserve"> norma sí guarda una conexión instrumental con el fin, pues establecer </w:t>
      </w:r>
      <w:r w:rsidR="00847FDE" w:rsidRPr="00DC0FDF">
        <w:rPr>
          <w:rFonts w:cs="Arial"/>
          <w:sz w:val="26"/>
          <w:szCs w:val="26"/>
          <w:lang w:val="es-ES" w:eastAsia="en-US"/>
        </w:rPr>
        <w:t xml:space="preserve">como sanción legal </w:t>
      </w:r>
      <w:r w:rsidR="00EC30A9" w:rsidRPr="00DC0FDF">
        <w:rPr>
          <w:rFonts w:cs="Arial"/>
          <w:sz w:val="26"/>
          <w:szCs w:val="26"/>
          <w:lang w:val="es-ES" w:eastAsia="en-US"/>
        </w:rPr>
        <w:t xml:space="preserve">que los </w:t>
      </w:r>
      <w:r w:rsidRPr="00DC0FDF">
        <w:rPr>
          <w:rFonts w:cs="Arial"/>
          <w:sz w:val="26"/>
          <w:szCs w:val="26"/>
          <w:lang w:val="es-ES" w:eastAsia="en-US"/>
        </w:rPr>
        <w:t xml:space="preserve">gananciales </w:t>
      </w:r>
      <w:r w:rsidR="00EC30A9" w:rsidRPr="00DC0FDF">
        <w:rPr>
          <w:rFonts w:cs="Arial"/>
          <w:sz w:val="26"/>
          <w:szCs w:val="26"/>
          <w:lang w:val="es-ES" w:eastAsia="en-US"/>
        </w:rPr>
        <w:t xml:space="preserve">sean íntegramente aplicados al cónyuge de buena fe, excluyendo del reparto al que actuó de mala fe, es una opción efectivamente encaminada a disuadir la comisión de conductas contrarias a los fines estatales buscados.  </w:t>
      </w:r>
    </w:p>
    <w:p w14:paraId="23375F96" w14:textId="77777777" w:rsidR="000C2763" w:rsidRPr="00DC0FDF" w:rsidRDefault="000C2763" w:rsidP="00DC0FDF">
      <w:pPr>
        <w:spacing w:line="360" w:lineRule="auto"/>
        <w:rPr>
          <w:rFonts w:ascii="Arial" w:hAnsi="Arial" w:cs="Arial"/>
          <w:sz w:val="26"/>
          <w:szCs w:val="26"/>
          <w:lang w:val="es-ES" w:eastAsia="en-US"/>
        </w:rPr>
      </w:pPr>
    </w:p>
    <w:p w14:paraId="74FA42E4" w14:textId="77777777" w:rsidR="00962362" w:rsidRPr="00DC0FDF" w:rsidRDefault="00962362" w:rsidP="00DC0FDF">
      <w:pPr>
        <w:pStyle w:val="corte4fondo"/>
        <w:numPr>
          <w:ilvl w:val="0"/>
          <w:numId w:val="2"/>
        </w:numPr>
        <w:ind w:left="0" w:hanging="567"/>
        <w:rPr>
          <w:rFonts w:cs="Arial"/>
          <w:sz w:val="26"/>
          <w:szCs w:val="26"/>
          <w:lang w:val="es-ES" w:eastAsia="en-US"/>
        </w:rPr>
      </w:pPr>
      <w:r w:rsidRPr="00DC0FDF">
        <w:rPr>
          <w:rFonts w:cs="Arial"/>
          <w:sz w:val="26"/>
          <w:szCs w:val="26"/>
          <w:lang w:val="es-ES" w:eastAsia="en-US"/>
        </w:rPr>
        <w:t xml:space="preserve">Sin embargo, la medida no es necesaria ni proporcional para alcanzar el fin deseado y resulta, por tanto, inconstitucional. </w:t>
      </w:r>
      <w:r w:rsidR="009356F2" w:rsidRPr="00DC0FDF">
        <w:rPr>
          <w:rFonts w:cs="Arial"/>
          <w:sz w:val="26"/>
          <w:szCs w:val="26"/>
          <w:lang w:val="es-ES" w:eastAsia="en-US"/>
        </w:rPr>
        <w:t xml:space="preserve">Si la medida debe funcionar como </w:t>
      </w:r>
      <w:r w:rsidR="009356F2" w:rsidRPr="00DC0FDF">
        <w:rPr>
          <w:rFonts w:cs="Arial"/>
          <w:sz w:val="26"/>
          <w:szCs w:val="26"/>
          <w:lang w:val="es-ES" w:eastAsia="en-US"/>
        </w:rPr>
        <w:lastRenderedPageBreak/>
        <w:t>un disuasivo para que las personas no se casen con conocimiento de que incumplen con los requisitos que la ley marca como necesarios —como en el caso sería estar libre de matrimonio—</w:t>
      </w:r>
      <w:r w:rsidR="004C2C29" w:rsidRPr="00DC0FDF">
        <w:rPr>
          <w:rFonts w:cs="Arial"/>
          <w:sz w:val="26"/>
          <w:szCs w:val="26"/>
          <w:lang w:val="es-ES" w:eastAsia="en-US"/>
        </w:rPr>
        <w:t xml:space="preserve"> existen medidas alternativas menos lesivas. </w:t>
      </w:r>
    </w:p>
    <w:p w14:paraId="3FE515AC" w14:textId="77777777" w:rsidR="00962362" w:rsidRPr="00DC0FDF" w:rsidRDefault="00962362" w:rsidP="00DC0FDF">
      <w:pPr>
        <w:pStyle w:val="Prrafodelista"/>
        <w:spacing w:line="360" w:lineRule="auto"/>
        <w:contextualSpacing w:val="0"/>
        <w:rPr>
          <w:rFonts w:ascii="Arial" w:hAnsi="Arial" w:cs="Arial"/>
          <w:sz w:val="26"/>
          <w:szCs w:val="26"/>
          <w:lang w:val="es-ES" w:eastAsia="en-US"/>
        </w:rPr>
      </w:pPr>
    </w:p>
    <w:p w14:paraId="17F38D23" w14:textId="36A87DB1" w:rsidR="009356F2" w:rsidRPr="00962362" w:rsidRDefault="004C2C29" w:rsidP="00962362">
      <w:pPr>
        <w:pStyle w:val="corte4fondo"/>
        <w:numPr>
          <w:ilvl w:val="0"/>
          <w:numId w:val="2"/>
        </w:numPr>
        <w:ind w:left="0" w:hanging="567"/>
        <w:rPr>
          <w:rFonts w:cs="Arial"/>
          <w:sz w:val="26"/>
          <w:szCs w:val="26"/>
          <w:lang w:val="es-ES" w:eastAsia="en-US"/>
        </w:rPr>
      </w:pPr>
      <w:r w:rsidRPr="00962362">
        <w:rPr>
          <w:rFonts w:cs="Arial"/>
          <w:sz w:val="26"/>
          <w:szCs w:val="26"/>
          <w:lang w:val="es-ES" w:eastAsia="en-US"/>
        </w:rPr>
        <w:t>Por ejemplo, tanto en España</w:t>
      </w:r>
      <w:r>
        <w:rPr>
          <w:rStyle w:val="Refdenotaalpie"/>
          <w:rFonts w:cs="Arial"/>
          <w:sz w:val="26"/>
          <w:szCs w:val="26"/>
          <w:lang w:val="es-ES" w:eastAsia="en-US"/>
        </w:rPr>
        <w:footnoteReference w:id="43"/>
      </w:r>
      <w:r w:rsidRPr="00962362">
        <w:rPr>
          <w:rFonts w:cs="Arial"/>
          <w:sz w:val="26"/>
          <w:szCs w:val="26"/>
          <w:lang w:val="es-ES" w:eastAsia="en-US"/>
        </w:rPr>
        <w:t xml:space="preserve"> como en Colombia</w:t>
      </w:r>
      <w:r>
        <w:rPr>
          <w:rStyle w:val="Refdenotaalpie"/>
          <w:rFonts w:cs="Arial"/>
          <w:sz w:val="26"/>
          <w:szCs w:val="26"/>
          <w:lang w:val="es-ES" w:eastAsia="en-US"/>
        </w:rPr>
        <w:footnoteReference w:id="44"/>
      </w:r>
      <w:r w:rsidRPr="00962362">
        <w:rPr>
          <w:rFonts w:cs="Arial"/>
          <w:sz w:val="26"/>
          <w:szCs w:val="26"/>
          <w:lang w:val="es-ES" w:eastAsia="en-US"/>
        </w:rPr>
        <w:t xml:space="preserve"> la legislación prevé que en este tipo de casos</w:t>
      </w:r>
      <w:r w:rsidR="00741BFC">
        <w:rPr>
          <w:rFonts w:cs="Arial"/>
          <w:sz w:val="26"/>
          <w:szCs w:val="26"/>
          <w:lang w:val="es-ES" w:eastAsia="en-US"/>
        </w:rPr>
        <w:t>,</w:t>
      </w:r>
      <w:r w:rsidRPr="00962362">
        <w:rPr>
          <w:rFonts w:cs="Arial"/>
          <w:sz w:val="26"/>
          <w:szCs w:val="26"/>
          <w:lang w:val="es-ES" w:eastAsia="en-US"/>
        </w:rPr>
        <w:t xml:space="preserve"> los cónyuges de buena fe tienen derecho a una indemnización o a daños y </w:t>
      </w:r>
      <w:r w:rsidR="000C2763" w:rsidRPr="00962362">
        <w:rPr>
          <w:rFonts w:cs="Arial"/>
          <w:sz w:val="26"/>
          <w:szCs w:val="26"/>
          <w:lang w:val="es-ES" w:eastAsia="en-US"/>
        </w:rPr>
        <w:t>perjuicios</w:t>
      </w:r>
      <w:r w:rsidRPr="00962362">
        <w:rPr>
          <w:rFonts w:cs="Arial"/>
          <w:sz w:val="26"/>
          <w:szCs w:val="26"/>
          <w:lang w:val="es-ES" w:eastAsia="en-US"/>
        </w:rPr>
        <w:t>. Por su parte, en Argentina</w:t>
      </w:r>
      <w:r w:rsidR="000C2763">
        <w:rPr>
          <w:rStyle w:val="Refdenotaalpie"/>
          <w:rFonts w:cs="Arial"/>
          <w:sz w:val="26"/>
          <w:szCs w:val="26"/>
          <w:lang w:val="es-ES" w:eastAsia="en-US"/>
        </w:rPr>
        <w:footnoteReference w:id="45"/>
      </w:r>
      <w:r w:rsidR="000C2763" w:rsidRPr="00962362">
        <w:rPr>
          <w:rFonts w:cs="Arial"/>
          <w:sz w:val="26"/>
          <w:szCs w:val="26"/>
          <w:lang w:val="es-ES" w:eastAsia="en-US"/>
        </w:rPr>
        <w:t xml:space="preserve"> se establecen varias consecuencias, entre las que se encuentra </w:t>
      </w:r>
      <w:r w:rsidR="003914C0">
        <w:rPr>
          <w:rFonts w:cs="Arial"/>
          <w:sz w:val="26"/>
          <w:szCs w:val="26"/>
          <w:lang w:val="es-ES" w:eastAsia="en-US"/>
        </w:rPr>
        <w:t>que</w:t>
      </w:r>
      <w:r w:rsidR="000C2763" w:rsidRPr="00962362">
        <w:rPr>
          <w:rFonts w:cs="Arial"/>
          <w:sz w:val="26"/>
          <w:szCs w:val="26"/>
          <w:lang w:val="es-ES" w:eastAsia="en-US"/>
        </w:rPr>
        <w:t xml:space="preserve"> el cónyuge de buena fe tenga la posibilidad de </w:t>
      </w:r>
      <w:r w:rsidR="000C2763" w:rsidRPr="00962362">
        <w:rPr>
          <w:rFonts w:cs="Arial"/>
          <w:sz w:val="26"/>
          <w:szCs w:val="26"/>
        </w:rPr>
        <w:t>optar por la conservación, por cada uno de los cónyuges, de los bienes por él adquiridos o producidos antes y después del matrimonio</w:t>
      </w:r>
      <w:r w:rsidR="00355E79" w:rsidRPr="00962362">
        <w:rPr>
          <w:rFonts w:cs="Arial"/>
          <w:sz w:val="26"/>
          <w:szCs w:val="26"/>
        </w:rPr>
        <w:t xml:space="preserve">. También puede </w:t>
      </w:r>
      <w:r w:rsidR="000C2763" w:rsidRPr="00962362">
        <w:rPr>
          <w:rFonts w:cs="Arial"/>
          <w:sz w:val="26"/>
          <w:szCs w:val="26"/>
        </w:rPr>
        <w:t xml:space="preserve">liquidar la comunidad integrada con el de mala fe o exigir la demostración de los aportes de cada cónyuge, a efectos de dividir los bienes en proporción a ellos, como si se tratase de una sociedad de hecho. Todas estas medidas permiten disuadir el comportamiento y resarcir el posible daño del cónyuge que ha actuado de buena fe. </w:t>
      </w:r>
    </w:p>
    <w:p w14:paraId="337D44A0" w14:textId="77777777" w:rsidR="004C2C29" w:rsidRDefault="004C2C29" w:rsidP="00DC0FDF">
      <w:pPr>
        <w:pStyle w:val="Prrafodelista"/>
        <w:spacing w:line="360" w:lineRule="auto"/>
        <w:rPr>
          <w:rFonts w:cs="Arial"/>
          <w:sz w:val="26"/>
          <w:szCs w:val="26"/>
          <w:lang w:val="es-ES" w:eastAsia="en-US"/>
        </w:rPr>
      </w:pPr>
    </w:p>
    <w:p w14:paraId="376B8941" w14:textId="43990B7E" w:rsidR="004C2C29" w:rsidRDefault="004C2C29" w:rsidP="00DC0FDF">
      <w:pPr>
        <w:pStyle w:val="corte4fondo"/>
        <w:numPr>
          <w:ilvl w:val="0"/>
          <w:numId w:val="2"/>
        </w:numPr>
        <w:ind w:left="0" w:hanging="567"/>
        <w:rPr>
          <w:rFonts w:cs="Arial"/>
          <w:sz w:val="26"/>
          <w:szCs w:val="26"/>
          <w:lang w:val="es-ES" w:eastAsia="en-US"/>
        </w:rPr>
      </w:pPr>
      <w:r>
        <w:rPr>
          <w:rFonts w:cs="Arial"/>
          <w:sz w:val="26"/>
          <w:szCs w:val="26"/>
          <w:lang w:val="es-ES" w:eastAsia="en-US"/>
        </w:rPr>
        <w:lastRenderedPageBreak/>
        <w:t>Además, aun cuando se considerara que esas alternativas no serían tan efectivas precisamente por ser menos gravosas, la medida</w:t>
      </w:r>
      <w:r w:rsidR="000C2763">
        <w:rPr>
          <w:rFonts w:cs="Arial"/>
          <w:sz w:val="26"/>
          <w:szCs w:val="26"/>
          <w:lang w:val="es-ES" w:eastAsia="en-US"/>
        </w:rPr>
        <w:t xml:space="preserve"> prevista en el artículo 336</w:t>
      </w:r>
      <w:r>
        <w:rPr>
          <w:rFonts w:cs="Arial"/>
          <w:sz w:val="26"/>
          <w:szCs w:val="26"/>
          <w:lang w:val="es-ES" w:eastAsia="en-US"/>
        </w:rPr>
        <w:t xml:space="preserve"> </w:t>
      </w:r>
      <w:r w:rsidR="00F0270B" w:rsidRPr="003417DD">
        <w:rPr>
          <w:rFonts w:cs="Arial"/>
          <w:sz w:val="26"/>
          <w:szCs w:val="26"/>
          <w:lang w:val="es-ES"/>
        </w:rPr>
        <w:t xml:space="preserve">del Código Civil </w:t>
      </w:r>
      <w:r w:rsidR="00F0270B">
        <w:rPr>
          <w:rFonts w:cs="Arial"/>
          <w:sz w:val="26"/>
          <w:szCs w:val="26"/>
          <w:lang w:val="es-ES"/>
        </w:rPr>
        <w:t>del</w:t>
      </w:r>
      <w:r w:rsidR="00F0270B" w:rsidRPr="003417DD">
        <w:rPr>
          <w:rFonts w:cs="Arial"/>
          <w:sz w:val="26"/>
          <w:szCs w:val="26"/>
          <w:lang w:val="es-ES"/>
        </w:rPr>
        <w:t xml:space="preserve"> Estado de Jalisco</w:t>
      </w:r>
      <w:r w:rsidR="005D1110">
        <w:rPr>
          <w:rFonts w:cs="Arial"/>
          <w:sz w:val="26"/>
          <w:szCs w:val="26"/>
          <w:lang w:val="es-ES"/>
        </w:rPr>
        <w:t>,</w:t>
      </w:r>
      <w:r w:rsidR="00F0270B">
        <w:rPr>
          <w:rFonts w:cs="Arial"/>
          <w:sz w:val="26"/>
          <w:szCs w:val="26"/>
          <w:lang w:val="es-ES" w:eastAsia="en-US"/>
        </w:rPr>
        <w:t xml:space="preserve"> </w:t>
      </w:r>
      <w:r>
        <w:rPr>
          <w:rFonts w:cs="Arial"/>
          <w:sz w:val="26"/>
          <w:szCs w:val="26"/>
          <w:lang w:val="es-ES" w:eastAsia="en-US"/>
        </w:rPr>
        <w:t>sí es desproporcional</w:t>
      </w:r>
      <w:r w:rsidR="000C2763">
        <w:rPr>
          <w:rFonts w:cs="Arial"/>
          <w:sz w:val="26"/>
          <w:szCs w:val="26"/>
          <w:lang w:val="es-ES" w:eastAsia="en-US"/>
        </w:rPr>
        <w:t>.</w:t>
      </w:r>
    </w:p>
    <w:p w14:paraId="1C8A76AD" w14:textId="77777777" w:rsidR="002E4A01" w:rsidRDefault="002E4A01" w:rsidP="00DC0FDF">
      <w:pPr>
        <w:pStyle w:val="Prrafodelista"/>
        <w:spacing w:line="360" w:lineRule="auto"/>
        <w:rPr>
          <w:rFonts w:cs="Arial"/>
          <w:sz w:val="26"/>
          <w:szCs w:val="26"/>
          <w:lang w:val="es-ES" w:eastAsia="en-US"/>
        </w:rPr>
      </w:pPr>
    </w:p>
    <w:p w14:paraId="29B17A50" w14:textId="77777777" w:rsidR="002E4A01" w:rsidRDefault="002E4A01" w:rsidP="00DC0FDF">
      <w:pPr>
        <w:pStyle w:val="corte4fondo"/>
        <w:numPr>
          <w:ilvl w:val="0"/>
          <w:numId w:val="2"/>
        </w:numPr>
        <w:ind w:left="0" w:hanging="567"/>
        <w:rPr>
          <w:sz w:val="26"/>
          <w:szCs w:val="26"/>
        </w:rPr>
      </w:pPr>
      <w:r>
        <w:rPr>
          <w:sz w:val="26"/>
          <w:szCs w:val="26"/>
        </w:rPr>
        <w:t>Al respecto, vale recordar que la sociedad de bienes (en este caso, sociedad legal) implica la existencia de</w:t>
      </w:r>
      <w:r w:rsidRPr="00706966">
        <w:rPr>
          <w:sz w:val="26"/>
          <w:szCs w:val="26"/>
        </w:rPr>
        <w:t xml:space="preserve"> un patrimonio afecto a la realización de los fines del matrimonio,</w:t>
      </w:r>
      <w:r>
        <w:rPr>
          <w:sz w:val="26"/>
          <w:szCs w:val="26"/>
        </w:rPr>
        <w:t xml:space="preserve"> </w:t>
      </w:r>
      <w:r w:rsidRPr="00265B3E">
        <w:rPr>
          <w:sz w:val="26"/>
          <w:szCs w:val="26"/>
        </w:rPr>
        <w:t>es decir</w:t>
      </w:r>
      <w:r>
        <w:rPr>
          <w:sz w:val="26"/>
          <w:szCs w:val="26"/>
        </w:rPr>
        <w:t>,</w:t>
      </w:r>
      <w:r w:rsidRPr="00265B3E">
        <w:rPr>
          <w:sz w:val="26"/>
          <w:szCs w:val="26"/>
        </w:rPr>
        <w:t xml:space="preserve"> </w:t>
      </w:r>
      <w:r>
        <w:rPr>
          <w:sz w:val="26"/>
          <w:szCs w:val="26"/>
        </w:rPr>
        <w:t>da origen a</w:t>
      </w:r>
      <w:r w:rsidRPr="00265B3E">
        <w:rPr>
          <w:sz w:val="26"/>
          <w:szCs w:val="26"/>
        </w:rPr>
        <w:t xml:space="preserve"> una comunidad de bienes para una comunidad de vida y de intereses. </w:t>
      </w:r>
      <w:r>
        <w:rPr>
          <w:sz w:val="26"/>
          <w:szCs w:val="26"/>
        </w:rPr>
        <w:t xml:space="preserve">Este esfuerzo conjunto está orientado a fines </w:t>
      </w:r>
      <w:r w:rsidRPr="00265B3E">
        <w:rPr>
          <w:sz w:val="26"/>
          <w:szCs w:val="26"/>
        </w:rPr>
        <w:t>del matrimoni</w:t>
      </w:r>
      <w:r>
        <w:rPr>
          <w:sz w:val="26"/>
          <w:szCs w:val="26"/>
        </w:rPr>
        <w:t>o, como</w:t>
      </w:r>
      <w:r w:rsidRPr="00265B3E">
        <w:rPr>
          <w:sz w:val="26"/>
          <w:szCs w:val="26"/>
        </w:rPr>
        <w:t xml:space="preserve"> la colaboración, asistencia y ayuda mutuas, la convivencia y la formación de la familia.</w:t>
      </w:r>
      <w:r>
        <w:t xml:space="preserve"> </w:t>
      </w:r>
      <w:r>
        <w:rPr>
          <w:sz w:val="26"/>
          <w:szCs w:val="26"/>
        </w:rPr>
        <w:t>L</w:t>
      </w:r>
      <w:r w:rsidRPr="002D4E3F">
        <w:rPr>
          <w:sz w:val="26"/>
          <w:szCs w:val="26"/>
        </w:rPr>
        <w:t>a finalidad de la sociedad conyugal es</w:t>
      </w:r>
      <w:r>
        <w:rPr>
          <w:sz w:val="26"/>
          <w:szCs w:val="26"/>
        </w:rPr>
        <w:t xml:space="preserve">, entonces, </w:t>
      </w:r>
      <w:r w:rsidRPr="002D4E3F">
        <w:rPr>
          <w:sz w:val="26"/>
          <w:szCs w:val="26"/>
        </w:rPr>
        <w:t xml:space="preserve">lograr el sostenimiento del hogar y cubrir los gastos de la familia, </w:t>
      </w:r>
      <w:r>
        <w:rPr>
          <w:sz w:val="26"/>
          <w:szCs w:val="26"/>
        </w:rPr>
        <w:t xml:space="preserve">por ello, </w:t>
      </w:r>
      <w:r w:rsidRPr="002D4E3F">
        <w:rPr>
          <w:sz w:val="26"/>
          <w:szCs w:val="26"/>
        </w:rPr>
        <w:t>las aportaciones que los cónyuges hagan están destinados a esos fines comunes y bajo un dominio común de ambos cónyuges, sin posibilidad de apropiación o disposición individual por ninguno de ellos.</w:t>
      </w:r>
      <w:r>
        <w:rPr>
          <w:rStyle w:val="Refdenotaalpie"/>
          <w:sz w:val="26"/>
          <w:szCs w:val="26"/>
        </w:rPr>
        <w:footnoteReference w:id="46"/>
      </w:r>
    </w:p>
    <w:p w14:paraId="18AE1E1D" w14:textId="77777777" w:rsidR="002E4A01" w:rsidRDefault="002E4A01" w:rsidP="00CC72DF">
      <w:pPr>
        <w:pStyle w:val="Prrafodelista"/>
        <w:spacing w:line="360" w:lineRule="auto"/>
        <w:rPr>
          <w:sz w:val="26"/>
          <w:szCs w:val="26"/>
        </w:rPr>
      </w:pPr>
    </w:p>
    <w:p w14:paraId="5F439217" w14:textId="77777777" w:rsidR="000C2431" w:rsidRDefault="002E4A01" w:rsidP="000C2431">
      <w:pPr>
        <w:pStyle w:val="corte4fondo"/>
        <w:numPr>
          <w:ilvl w:val="0"/>
          <w:numId w:val="2"/>
        </w:numPr>
        <w:ind w:left="0" w:hanging="567"/>
        <w:rPr>
          <w:sz w:val="26"/>
          <w:szCs w:val="26"/>
        </w:rPr>
      </w:pPr>
      <w:r w:rsidRPr="002E4A01">
        <w:rPr>
          <w:sz w:val="26"/>
          <w:szCs w:val="26"/>
        </w:rPr>
        <w:t xml:space="preserve">Como es posible observar, el régimen de sociedad legal en el matrimonio no regula simplemente la propiedad sobre lo que dos personas acumulan, sino que establece reglas para los bienes que dos personas, con su esfuerzo conjunto y objetivos comunes, han obtenido. En esa medida, está íntimamente ligado con el derecho a la protección familiar, pues puede ser un presupuesto fundamental para garantizar el derecho de acceso a una vida digna de los miembros del grupo familiar, que han depositado su esfuerzo y trabajo, remunerado o no, en la constitución de la sociedad. </w:t>
      </w:r>
      <w:r>
        <w:rPr>
          <w:sz w:val="26"/>
          <w:szCs w:val="26"/>
        </w:rPr>
        <w:t>Hemos sostenido que “l</w:t>
      </w:r>
      <w:r w:rsidRPr="002E4A01">
        <w:rPr>
          <w:sz w:val="26"/>
          <w:szCs w:val="26"/>
        </w:rPr>
        <w:t xml:space="preserve">o importante y la razón de ser para que los frutos, mejoras e incrementos patrimoniales referidos se consideren </w:t>
      </w:r>
      <w:r w:rsidRPr="002E4A01">
        <w:rPr>
          <w:sz w:val="26"/>
          <w:szCs w:val="26"/>
        </w:rPr>
        <w:lastRenderedPageBreak/>
        <w:t>gananciales del matrimonio, es que se hayan obtenido con la administración, esfuerzo, trabajo y colaboración común de los cónyuges.”</w:t>
      </w:r>
      <w:r>
        <w:rPr>
          <w:rStyle w:val="Refdenotaalpie"/>
          <w:sz w:val="26"/>
          <w:szCs w:val="26"/>
        </w:rPr>
        <w:footnoteReference w:id="47"/>
      </w:r>
    </w:p>
    <w:p w14:paraId="3E48718B" w14:textId="77777777" w:rsidR="000C2431" w:rsidRDefault="000C2431" w:rsidP="00CC72DF">
      <w:pPr>
        <w:pStyle w:val="Prrafodelista"/>
        <w:spacing w:line="360" w:lineRule="auto"/>
        <w:rPr>
          <w:rFonts w:cs="Arial"/>
          <w:sz w:val="26"/>
          <w:szCs w:val="26"/>
          <w:lang w:val="es-ES" w:eastAsia="en-US"/>
        </w:rPr>
      </w:pPr>
    </w:p>
    <w:p w14:paraId="507850DE" w14:textId="4ED810AE" w:rsidR="000C2431" w:rsidRPr="000C2431" w:rsidRDefault="002E4A01" w:rsidP="00CC72DF">
      <w:pPr>
        <w:pStyle w:val="corte4fondo"/>
        <w:numPr>
          <w:ilvl w:val="0"/>
          <w:numId w:val="2"/>
        </w:numPr>
        <w:ind w:left="0" w:hanging="567"/>
        <w:rPr>
          <w:rFonts w:cs="Arial"/>
          <w:sz w:val="26"/>
          <w:szCs w:val="26"/>
          <w:lang w:val="es-ES" w:eastAsia="en-US"/>
        </w:rPr>
      </w:pPr>
      <w:r w:rsidRPr="000C2431">
        <w:rPr>
          <w:rFonts w:cs="Arial"/>
          <w:sz w:val="26"/>
          <w:szCs w:val="26"/>
          <w:lang w:val="es-ES" w:eastAsia="en-US"/>
        </w:rPr>
        <w:t>Entonces, privar a una persona d</w:t>
      </w:r>
      <w:r w:rsidR="000C2431" w:rsidRPr="000C2431">
        <w:rPr>
          <w:rFonts w:cs="Arial"/>
          <w:sz w:val="26"/>
          <w:szCs w:val="26"/>
          <w:lang w:val="es-ES" w:eastAsia="en-US"/>
        </w:rPr>
        <w:t>e todos los frutos que hubieran derivado de la vida en común no solo afecta su derecho a la propiedad, sino incluso, como lo sostuvo el tribunal</w:t>
      </w:r>
      <w:r w:rsidR="001D283D">
        <w:rPr>
          <w:rFonts w:cs="Arial"/>
          <w:sz w:val="26"/>
          <w:szCs w:val="26"/>
          <w:lang w:val="es-ES" w:eastAsia="en-US"/>
        </w:rPr>
        <w:t xml:space="preserve"> colegiado</w:t>
      </w:r>
      <w:r w:rsidR="000C2431">
        <w:rPr>
          <w:rFonts w:cs="Arial"/>
          <w:sz w:val="26"/>
          <w:szCs w:val="26"/>
          <w:lang w:val="es-ES" w:eastAsia="en-US"/>
        </w:rPr>
        <w:t xml:space="preserve">, podría repercutir en la posibilidad de la persona de llevar </w:t>
      </w:r>
      <w:r w:rsidR="000C2431" w:rsidRPr="000C2431">
        <w:rPr>
          <w:rFonts w:cs="Arial"/>
          <w:sz w:val="26"/>
          <w:szCs w:val="26"/>
          <w:lang w:eastAsia="en-US"/>
        </w:rPr>
        <w:t xml:space="preserve">una subsistencia digna y autónoma </w:t>
      </w:r>
      <w:r w:rsidR="000C2431">
        <w:rPr>
          <w:rFonts w:cs="Arial"/>
          <w:sz w:val="26"/>
          <w:szCs w:val="26"/>
          <w:lang w:eastAsia="en-US"/>
        </w:rPr>
        <w:t xml:space="preserve">con motivo de la declaración de nulidad del matrimonio. Como se sostuvo, bajo el </w:t>
      </w:r>
      <w:r w:rsidR="000C2431" w:rsidRPr="000C2431">
        <w:rPr>
          <w:rFonts w:cs="Arial"/>
          <w:sz w:val="26"/>
          <w:szCs w:val="26"/>
          <w:lang w:val="es-ES" w:eastAsia="en-US"/>
        </w:rPr>
        <w:t>artículo 17 de la Convención Americana sobre Derechos Humanos</w:t>
      </w:r>
      <w:r w:rsidR="000C2431" w:rsidRPr="000C2431">
        <w:rPr>
          <w:rFonts w:cs="Arial"/>
          <w:sz w:val="26"/>
          <w:szCs w:val="26"/>
          <w:vertAlign w:val="superscript"/>
          <w:lang w:val="es-ES" w:eastAsia="en-US"/>
        </w:rPr>
        <w:footnoteReference w:id="48"/>
      </w:r>
      <w:r w:rsidR="000C2431" w:rsidRPr="000C2431">
        <w:rPr>
          <w:rFonts w:cs="Arial"/>
          <w:sz w:val="26"/>
          <w:szCs w:val="26"/>
          <w:lang w:val="es-ES" w:eastAsia="en-US"/>
        </w:rPr>
        <w:t xml:space="preserve">, como el </w:t>
      </w:r>
      <w:r w:rsidR="00E54210">
        <w:rPr>
          <w:rFonts w:cs="Arial"/>
          <w:sz w:val="26"/>
          <w:szCs w:val="26"/>
          <w:lang w:val="es-ES" w:eastAsia="en-US"/>
        </w:rPr>
        <w:t>artí</w:t>
      </w:r>
      <w:r w:rsidR="006008C9">
        <w:rPr>
          <w:rFonts w:cs="Arial"/>
          <w:sz w:val="26"/>
          <w:szCs w:val="26"/>
          <w:lang w:val="es-ES" w:eastAsia="en-US"/>
        </w:rPr>
        <w:t xml:space="preserve">culo </w:t>
      </w:r>
      <w:r w:rsidR="000C2431" w:rsidRPr="000C2431">
        <w:rPr>
          <w:rFonts w:cs="Arial"/>
          <w:sz w:val="26"/>
          <w:szCs w:val="26"/>
          <w:lang w:val="es-ES" w:eastAsia="en-US"/>
        </w:rPr>
        <w:t>23 del Pacto Internacional de Derechos Civiles y Políticos</w:t>
      </w:r>
      <w:r w:rsidR="000C2431" w:rsidRPr="000C2431">
        <w:rPr>
          <w:rFonts w:cs="Arial"/>
          <w:sz w:val="26"/>
          <w:szCs w:val="26"/>
          <w:vertAlign w:val="superscript"/>
          <w:lang w:val="es-ES" w:eastAsia="en-US"/>
        </w:rPr>
        <w:footnoteReference w:id="49"/>
      </w:r>
      <w:r w:rsidR="000C2431" w:rsidRPr="000C2431">
        <w:rPr>
          <w:rFonts w:cs="Arial"/>
          <w:sz w:val="26"/>
          <w:szCs w:val="26"/>
          <w:lang w:val="es-ES" w:eastAsia="en-US"/>
        </w:rPr>
        <w:t xml:space="preserve">, </w:t>
      </w:r>
      <w:r w:rsidR="000C2431">
        <w:rPr>
          <w:rFonts w:cs="Arial"/>
          <w:sz w:val="26"/>
          <w:szCs w:val="26"/>
          <w:lang w:val="es-ES" w:eastAsia="en-US"/>
        </w:rPr>
        <w:t xml:space="preserve">debe tratar de evitarse que </w:t>
      </w:r>
      <w:r w:rsidR="000C2431" w:rsidRPr="000C2431">
        <w:rPr>
          <w:rFonts w:cs="Arial"/>
          <w:sz w:val="26"/>
          <w:szCs w:val="26"/>
          <w:lang w:val="es-ES" w:eastAsia="en-US"/>
        </w:rPr>
        <w:t>el matrimonio constituya una causa de empobrecimiento</w:t>
      </w:r>
      <w:r w:rsidR="000C2431">
        <w:rPr>
          <w:rFonts w:cs="Arial"/>
          <w:sz w:val="26"/>
          <w:szCs w:val="26"/>
          <w:lang w:val="es-ES" w:eastAsia="en-US"/>
        </w:rPr>
        <w:t xml:space="preserve"> de las personas que la integran</w:t>
      </w:r>
      <w:r w:rsidR="000C2431" w:rsidRPr="000C2431">
        <w:rPr>
          <w:rFonts w:cs="Arial"/>
          <w:sz w:val="26"/>
          <w:szCs w:val="26"/>
          <w:lang w:val="es-ES" w:eastAsia="en-US"/>
        </w:rPr>
        <w:t>.</w:t>
      </w:r>
      <w:r w:rsidR="000C2431" w:rsidRPr="000C2431">
        <w:rPr>
          <w:rFonts w:cs="Arial"/>
          <w:sz w:val="26"/>
          <w:szCs w:val="26"/>
          <w:vertAlign w:val="superscript"/>
          <w:lang w:val="es-ES" w:eastAsia="en-US"/>
        </w:rPr>
        <w:footnoteReference w:id="50"/>
      </w:r>
    </w:p>
    <w:p w14:paraId="278A689B" w14:textId="32C33276" w:rsidR="000C2431" w:rsidRPr="000C2431" w:rsidRDefault="000C2431" w:rsidP="000C2431">
      <w:pPr>
        <w:pStyle w:val="corte4fondo"/>
        <w:ind w:firstLine="0"/>
        <w:rPr>
          <w:sz w:val="26"/>
          <w:szCs w:val="26"/>
        </w:rPr>
      </w:pPr>
    </w:p>
    <w:p w14:paraId="31346F28" w14:textId="635DE15E" w:rsidR="004C2C29" w:rsidRDefault="000C2763" w:rsidP="000C2431">
      <w:pPr>
        <w:pStyle w:val="corte4fondo"/>
        <w:numPr>
          <w:ilvl w:val="0"/>
          <w:numId w:val="2"/>
        </w:numPr>
        <w:ind w:left="0" w:hanging="567"/>
        <w:rPr>
          <w:rFonts w:cs="Arial"/>
          <w:sz w:val="26"/>
          <w:szCs w:val="26"/>
          <w:lang w:val="es-ES" w:eastAsia="en-US"/>
        </w:rPr>
      </w:pPr>
      <w:r w:rsidRPr="000C2431">
        <w:rPr>
          <w:rFonts w:cs="Arial"/>
          <w:sz w:val="26"/>
          <w:szCs w:val="26"/>
          <w:lang w:val="es-ES" w:eastAsia="en-US"/>
        </w:rPr>
        <w:t xml:space="preserve">Es verdad que la sanción </w:t>
      </w:r>
      <w:r w:rsidR="00874380">
        <w:rPr>
          <w:rFonts w:cs="Arial"/>
          <w:sz w:val="26"/>
          <w:szCs w:val="26"/>
          <w:lang w:val="es-ES" w:eastAsia="en-US"/>
        </w:rPr>
        <w:t xml:space="preserve">legal </w:t>
      </w:r>
      <w:r w:rsidRPr="000C2431">
        <w:rPr>
          <w:rFonts w:cs="Arial"/>
          <w:sz w:val="26"/>
          <w:szCs w:val="26"/>
          <w:lang w:val="es-ES" w:eastAsia="en-US"/>
        </w:rPr>
        <w:t xml:space="preserve">impuesta por el artículo no constituye una sanción penal </w:t>
      </w:r>
      <w:r w:rsidR="000C2431" w:rsidRPr="000C2431">
        <w:rPr>
          <w:rFonts w:cs="Arial"/>
          <w:sz w:val="26"/>
          <w:szCs w:val="26"/>
          <w:lang w:val="es-ES" w:eastAsia="en-US"/>
        </w:rPr>
        <w:t>y tampoco</w:t>
      </w:r>
      <w:r w:rsidR="000C2431">
        <w:rPr>
          <w:rFonts w:cs="Arial"/>
          <w:sz w:val="26"/>
          <w:szCs w:val="26"/>
          <w:lang w:val="es-ES" w:eastAsia="en-US"/>
        </w:rPr>
        <w:t xml:space="preserve"> implica </w:t>
      </w:r>
      <w:r w:rsidR="000C2431" w:rsidRPr="00991452">
        <w:rPr>
          <w:rFonts w:cs="Arial"/>
          <w:i/>
          <w:iCs/>
          <w:sz w:val="26"/>
          <w:szCs w:val="26"/>
          <w:lang w:val="es-ES" w:eastAsia="en-US"/>
        </w:rPr>
        <w:t>necesariamente</w:t>
      </w:r>
      <w:r w:rsidR="000C2431">
        <w:rPr>
          <w:rFonts w:cs="Arial"/>
          <w:sz w:val="26"/>
          <w:szCs w:val="26"/>
          <w:lang w:val="es-ES" w:eastAsia="en-US"/>
        </w:rPr>
        <w:t xml:space="preserve"> privar a la persona de todos sus bienes. Pero como bien recalca el tribunal del conocimiento</w:t>
      </w:r>
      <w:r w:rsidR="00991452">
        <w:rPr>
          <w:rFonts w:cs="Arial"/>
          <w:sz w:val="26"/>
          <w:szCs w:val="26"/>
          <w:lang w:val="es-ES" w:eastAsia="en-US"/>
        </w:rPr>
        <w:t xml:space="preserve">, en tanto la medida no considera ningún otro factor para ordenar la pérdida de los gananciales, como </w:t>
      </w:r>
      <w:r w:rsidR="00991452">
        <w:rPr>
          <w:rFonts w:cs="Arial"/>
          <w:sz w:val="26"/>
          <w:szCs w:val="26"/>
          <w:lang w:val="es-ES" w:eastAsia="en-US"/>
        </w:rPr>
        <w:lastRenderedPageBreak/>
        <w:t xml:space="preserve">sería la duración del matrimonio, el impacto </w:t>
      </w:r>
      <w:r w:rsidR="005C2EEA">
        <w:rPr>
          <w:rFonts w:cs="Arial"/>
          <w:sz w:val="26"/>
          <w:szCs w:val="26"/>
          <w:lang w:val="es-ES" w:eastAsia="en-US"/>
        </w:rPr>
        <w:t xml:space="preserve">patrimonial para la persona sí puede resultar ruinoso. </w:t>
      </w:r>
    </w:p>
    <w:p w14:paraId="2ECC7CAF" w14:textId="77777777" w:rsidR="00991452" w:rsidRDefault="00991452" w:rsidP="001D283D">
      <w:pPr>
        <w:pStyle w:val="Prrafodelista"/>
        <w:spacing w:line="360" w:lineRule="auto"/>
        <w:rPr>
          <w:rFonts w:cs="Arial"/>
          <w:sz w:val="26"/>
          <w:szCs w:val="26"/>
          <w:lang w:val="es-ES" w:eastAsia="en-US"/>
        </w:rPr>
      </w:pPr>
    </w:p>
    <w:p w14:paraId="54F2FC40" w14:textId="597C2C49" w:rsidR="005C2EEA" w:rsidRPr="00CC3001" w:rsidRDefault="00991452" w:rsidP="00CC3001">
      <w:pPr>
        <w:pStyle w:val="corte4fondo"/>
        <w:numPr>
          <w:ilvl w:val="0"/>
          <w:numId w:val="2"/>
        </w:numPr>
        <w:ind w:left="0" w:hanging="567"/>
        <w:rPr>
          <w:rFonts w:cs="Arial"/>
          <w:sz w:val="26"/>
          <w:szCs w:val="26"/>
          <w:lang w:val="es-ES" w:eastAsia="en-US"/>
        </w:rPr>
      </w:pPr>
      <w:r>
        <w:rPr>
          <w:rFonts w:cs="Arial"/>
          <w:sz w:val="26"/>
          <w:szCs w:val="26"/>
          <w:lang w:val="es-ES" w:eastAsia="en-US"/>
        </w:rPr>
        <w:t xml:space="preserve">Así, por ejemplo, una persona que hubiera contraído matrimonio </w:t>
      </w:r>
      <w:r w:rsidR="005C2EEA">
        <w:rPr>
          <w:rFonts w:cs="Arial"/>
          <w:sz w:val="26"/>
          <w:szCs w:val="26"/>
          <w:lang w:val="es-ES" w:eastAsia="en-US"/>
        </w:rPr>
        <w:t>de manera ilícita cuando ya contaba con bienes propios y por un corto tiempo (antes de la declaración de nulidad), tal vez no se vería muy afectada por la sanción de pérdida de gananciales. Esto es, lo</w:t>
      </w:r>
      <w:r w:rsidR="00EF5F52">
        <w:rPr>
          <w:rFonts w:cs="Arial"/>
          <w:sz w:val="26"/>
          <w:szCs w:val="26"/>
          <w:lang w:val="es-ES" w:eastAsia="en-US"/>
        </w:rPr>
        <w:t>s</w:t>
      </w:r>
      <w:r w:rsidR="005C2EEA">
        <w:rPr>
          <w:rFonts w:cs="Arial"/>
          <w:sz w:val="26"/>
          <w:szCs w:val="26"/>
          <w:lang w:val="es-ES" w:eastAsia="en-US"/>
        </w:rPr>
        <w:t xml:space="preserve"> bienes adquiridos con anterioridad al matrimonio no se verían </w:t>
      </w:r>
      <w:r w:rsidR="00CC3001">
        <w:rPr>
          <w:rFonts w:cs="Arial"/>
          <w:sz w:val="26"/>
          <w:szCs w:val="26"/>
          <w:lang w:val="es-ES" w:eastAsia="en-US"/>
        </w:rPr>
        <w:t>implicados</w:t>
      </w:r>
      <w:r w:rsidR="005C2EEA">
        <w:rPr>
          <w:rFonts w:cs="Arial"/>
          <w:sz w:val="26"/>
          <w:szCs w:val="26"/>
          <w:lang w:val="es-ES" w:eastAsia="en-US"/>
        </w:rPr>
        <w:t xml:space="preserve"> en tanto no formarían parte de los gananciales, y posiblemente no habría tantos bienes o activos por repartir. No obstante, y como parece ser el caso, </w:t>
      </w:r>
      <w:r w:rsidR="00CC3001">
        <w:rPr>
          <w:rFonts w:cs="Arial"/>
          <w:sz w:val="26"/>
          <w:szCs w:val="26"/>
          <w:lang w:val="es-ES" w:eastAsia="en-US"/>
        </w:rPr>
        <w:t>en matrimonios de larga duración, en l</w:t>
      </w:r>
      <w:r w:rsidR="00485D10">
        <w:rPr>
          <w:rFonts w:cs="Arial"/>
          <w:sz w:val="26"/>
          <w:szCs w:val="26"/>
          <w:lang w:val="es-ES" w:eastAsia="en-US"/>
        </w:rPr>
        <w:t>os</w:t>
      </w:r>
      <w:r w:rsidR="00CC3001">
        <w:rPr>
          <w:rFonts w:cs="Arial"/>
          <w:sz w:val="26"/>
          <w:szCs w:val="26"/>
          <w:lang w:val="es-ES" w:eastAsia="en-US"/>
        </w:rPr>
        <w:t xml:space="preserve"> que el patrimonio de las personas se constituyera de manera exclusiva en ese tiempo, el efecto de la norma sí sería privar a una persona de </w:t>
      </w:r>
      <w:r w:rsidR="009D4E2C">
        <w:rPr>
          <w:rFonts w:cs="Arial"/>
          <w:sz w:val="26"/>
          <w:szCs w:val="26"/>
          <w:lang w:val="es-ES" w:eastAsia="en-US"/>
        </w:rPr>
        <w:t>todo su patrimonio</w:t>
      </w:r>
      <w:r w:rsidR="00CC3001">
        <w:rPr>
          <w:rFonts w:cs="Arial"/>
          <w:sz w:val="26"/>
          <w:szCs w:val="26"/>
          <w:lang w:val="es-ES" w:eastAsia="en-US"/>
        </w:rPr>
        <w:t xml:space="preserve">, de acuerdo con </w:t>
      </w:r>
      <w:r w:rsidR="009D4E2C">
        <w:rPr>
          <w:rFonts w:cs="Arial"/>
          <w:sz w:val="26"/>
          <w:szCs w:val="26"/>
          <w:lang w:val="es-ES" w:eastAsia="en-US"/>
        </w:rPr>
        <w:t>los artículos 288 y</w:t>
      </w:r>
      <w:r w:rsidR="00CC3001">
        <w:rPr>
          <w:rFonts w:cs="Arial"/>
          <w:sz w:val="26"/>
          <w:szCs w:val="26"/>
          <w:lang w:val="es-ES" w:eastAsia="en-US"/>
        </w:rPr>
        <w:t xml:space="preserve"> 314 referido</w:t>
      </w:r>
      <w:r w:rsidR="009D4E2C">
        <w:rPr>
          <w:rFonts w:cs="Arial"/>
          <w:sz w:val="26"/>
          <w:szCs w:val="26"/>
          <w:lang w:val="es-ES" w:eastAsia="en-US"/>
        </w:rPr>
        <w:t>s</w:t>
      </w:r>
      <w:r w:rsidR="00CC3001">
        <w:rPr>
          <w:rFonts w:cs="Arial"/>
          <w:sz w:val="26"/>
          <w:szCs w:val="26"/>
          <w:lang w:val="es-ES" w:eastAsia="en-US"/>
        </w:rPr>
        <w:t xml:space="preserve"> al inicio. Esto </w:t>
      </w:r>
      <w:r w:rsidR="00B223A1">
        <w:rPr>
          <w:rFonts w:cs="Arial"/>
          <w:sz w:val="26"/>
          <w:szCs w:val="26"/>
          <w:lang w:val="es-ES" w:eastAsia="en-US"/>
        </w:rPr>
        <w:t>es en</w:t>
      </w:r>
      <w:r w:rsidR="00CC3001">
        <w:rPr>
          <w:rFonts w:cs="Arial"/>
          <w:sz w:val="26"/>
          <w:szCs w:val="26"/>
          <w:lang w:val="es-ES" w:eastAsia="en-US"/>
        </w:rPr>
        <w:t xml:space="preserve"> exceso gravoso, </w:t>
      </w:r>
      <w:r w:rsidR="005C2EEA" w:rsidRPr="00CC3001">
        <w:rPr>
          <w:rFonts w:cs="Arial"/>
          <w:sz w:val="26"/>
          <w:szCs w:val="26"/>
          <w:lang w:val="es-ES" w:eastAsia="en-US"/>
        </w:rPr>
        <w:t xml:space="preserve">incluso sin considerar los efectos </w:t>
      </w:r>
      <w:r w:rsidR="00874380">
        <w:rPr>
          <w:rFonts w:cs="Arial"/>
          <w:sz w:val="26"/>
          <w:szCs w:val="26"/>
          <w:lang w:val="es-ES" w:eastAsia="en-US"/>
        </w:rPr>
        <w:t xml:space="preserve">colaterales </w:t>
      </w:r>
      <w:r w:rsidR="005C2EEA" w:rsidRPr="00CC3001">
        <w:rPr>
          <w:rFonts w:cs="Arial"/>
          <w:sz w:val="26"/>
          <w:szCs w:val="26"/>
          <w:lang w:val="es-ES" w:eastAsia="en-US"/>
        </w:rPr>
        <w:t>que la medida podría tener</w:t>
      </w:r>
      <w:r w:rsidR="00CC3001" w:rsidRPr="00CC3001">
        <w:rPr>
          <w:rFonts w:cs="Arial"/>
          <w:sz w:val="26"/>
          <w:szCs w:val="26"/>
          <w:lang w:val="es-ES" w:eastAsia="en-US"/>
        </w:rPr>
        <w:t>,</w:t>
      </w:r>
      <w:r w:rsidR="005C2EEA" w:rsidRPr="00CC3001">
        <w:rPr>
          <w:rFonts w:cs="Arial"/>
          <w:sz w:val="26"/>
          <w:szCs w:val="26"/>
          <w:lang w:val="es-ES" w:eastAsia="en-US"/>
        </w:rPr>
        <w:t xml:space="preserve"> </w:t>
      </w:r>
      <w:r w:rsidR="00CC3001" w:rsidRPr="00CC3001">
        <w:rPr>
          <w:rFonts w:cs="Arial"/>
          <w:sz w:val="26"/>
          <w:szCs w:val="26"/>
          <w:lang w:val="es-ES" w:eastAsia="en-US"/>
        </w:rPr>
        <w:t xml:space="preserve">en casos como el presente, </w:t>
      </w:r>
      <w:r w:rsidR="005C2EEA" w:rsidRPr="00CC3001">
        <w:rPr>
          <w:rFonts w:cs="Arial"/>
          <w:sz w:val="26"/>
          <w:szCs w:val="26"/>
          <w:lang w:val="es-ES" w:eastAsia="en-US"/>
        </w:rPr>
        <w:t>para l</w:t>
      </w:r>
      <w:r w:rsidR="00CC3001" w:rsidRPr="00CC3001">
        <w:rPr>
          <w:rFonts w:cs="Arial"/>
          <w:sz w:val="26"/>
          <w:szCs w:val="26"/>
          <w:lang w:val="es-ES" w:eastAsia="en-US"/>
        </w:rPr>
        <w:t xml:space="preserve">a </w:t>
      </w:r>
      <w:r w:rsidR="009D4E2C">
        <w:rPr>
          <w:rFonts w:cs="Arial"/>
          <w:sz w:val="26"/>
          <w:szCs w:val="26"/>
          <w:lang w:val="es-ES" w:eastAsia="en-US"/>
        </w:rPr>
        <w:t xml:space="preserve">o el </w:t>
      </w:r>
      <w:r w:rsidR="00CC3001" w:rsidRPr="00CC3001">
        <w:rPr>
          <w:rFonts w:cs="Arial"/>
          <w:sz w:val="26"/>
          <w:szCs w:val="26"/>
          <w:lang w:val="es-ES" w:eastAsia="en-US"/>
        </w:rPr>
        <w:t>cónyuge del primer matrimonio.</w:t>
      </w:r>
    </w:p>
    <w:p w14:paraId="43990EE6" w14:textId="77777777" w:rsidR="004C2C29" w:rsidRPr="00CC3001" w:rsidRDefault="004C2C29" w:rsidP="008D3F62">
      <w:pPr>
        <w:spacing w:line="360" w:lineRule="auto"/>
        <w:rPr>
          <w:rFonts w:cs="Arial"/>
          <w:sz w:val="26"/>
          <w:szCs w:val="26"/>
          <w:lang w:val="es-ES" w:eastAsia="en-US"/>
        </w:rPr>
      </w:pPr>
    </w:p>
    <w:p w14:paraId="55680758" w14:textId="7A5B7F3E" w:rsidR="006B01FE" w:rsidRPr="001D283D" w:rsidRDefault="009D4E2C" w:rsidP="001D283D">
      <w:pPr>
        <w:pStyle w:val="corte4fondo"/>
        <w:numPr>
          <w:ilvl w:val="0"/>
          <w:numId w:val="2"/>
        </w:numPr>
        <w:ind w:left="0" w:hanging="567"/>
        <w:rPr>
          <w:rFonts w:cs="Arial"/>
          <w:sz w:val="26"/>
          <w:szCs w:val="26"/>
          <w:lang w:val="es-ES" w:eastAsia="en-US"/>
        </w:rPr>
      </w:pPr>
      <w:r w:rsidRPr="001D283D">
        <w:rPr>
          <w:rFonts w:cs="Arial"/>
          <w:sz w:val="26"/>
          <w:szCs w:val="26"/>
          <w:lang w:val="es-ES" w:eastAsia="en-US"/>
        </w:rPr>
        <w:t>Por tanto, c</w:t>
      </w:r>
      <w:r w:rsidR="00991452" w:rsidRPr="001D283D">
        <w:rPr>
          <w:rFonts w:cs="Arial"/>
          <w:sz w:val="26"/>
          <w:szCs w:val="26"/>
          <w:lang w:val="es-ES" w:eastAsia="en-US"/>
        </w:rPr>
        <w:t>ontrario a lo alegado por la recurrente, la medida sí es desproporcionada en tanto que el beneficio de disuasión</w:t>
      </w:r>
      <w:r w:rsidRPr="001D283D">
        <w:rPr>
          <w:rFonts w:cs="Arial"/>
          <w:sz w:val="26"/>
          <w:szCs w:val="26"/>
          <w:lang w:val="es-ES" w:eastAsia="en-US"/>
        </w:rPr>
        <w:t xml:space="preserve"> y reparación del daño de la o el cónyuge</w:t>
      </w:r>
      <w:r w:rsidR="00421919">
        <w:rPr>
          <w:rFonts w:cs="Arial"/>
          <w:sz w:val="26"/>
          <w:szCs w:val="26"/>
          <w:lang w:val="es-ES" w:eastAsia="en-US"/>
        </w:rPr>
        <w:t xml:space="preserve"> de</w:t>
      </w:r>
      <w:r w:rsidRPr="001D283D">
        <w:rPr>
          <w:rFonts w:cs="Arial"/>
          <w:sz w:val="26"/>
          <w:szCs w:val="26"/>
          <w:lang w:val="es-ES" w:eastAsia="en-US"/>
        </w:rPr>
        <w:t xml:space="preserve"> buena fe</w:t>
      </w:r>
      <w:r w:rsidR="00991452" w:rsidRPr="001D283D">
        <w:rPr>
          <w:rFonts w:cs="Arial"/>
          <w:sz w:val="26"/>
          <w:szCs w:val="26"/>
          <w:lang w:val="es-ES" w:eastAsia="en-US"/>
        </w:rPr>
        <w:t xml:space="preserve"> no puede justificar este nivel de afectación en los derechos del cónyuge de mala fe. </w:t>
      </w:r>
      <w:r w:rsidRPr="001D283D">
        <w:rPr>
          <w:rFonts w:cs="Arial"/>
          <w:sz w:val="26"/>
          <w:szCs w:val="26"/>
          <w:lang w:val="es-ES" w:eastAsia="en-US"/>
        </w:rPr>
        <w:t>En estos términos, esta Primera Sala comparte la conclusión de inconstitucionalidad del artículo 336 del Código Civil del Estado de Jalisco por violación a los derechos de propiedad y protección de la familia.</w:t>
      </w:r>
    </w:p>
    <w:p w14:paraId="226DAD1D" w14:textId="77777777" w:rsidR="009D4E2C" w:rsidRPr="001D283D" w:rsidRDefault="009D4E2C" w:rsidP="001D283D">
      <w:pPr>
        <w:spacing w:line="360" w:lineRule="auto"/>
        <w:rPr>
          <w:rFonts w:ascii="Arial" w:hAnsi="Arial" w:cs="Arial"/>
          <w:sz w:val="26"/>
          <w:szCs w:val="26"/>
          <w:lang w:val="es-ES" w:eastAsia="en-US"/>
        </w:rPr>
      </w:pPr>
    </w:p>
    <w:p w14:paraId="260B8157" w14:textId="073CD320" w:rsidR="009D4E2C" w:rsidRPr="00B223A1" w:rsidRDefault="00B223A1" w:rsidP="00B223A1">
      <w:pPr>
        <w:pStyle w:val="corte4fondo"/>
        <w:ind w:firstLine="0"/>
        <w:jc w:val="center"/>
        <w:rPr>
          <w:rFonts w:cs="Arial"/>
          <w:i/>
          <w:iCs/>
          <w:sz w:val="26"/>
          <w:szCs w:val="26"/>
          <w:lang w:val="es-ES" w:eastAsia="en-US"/>
        </w:rPr>
      </w:pPr>
      <w:r w:rsidRPr="00B223A1">
        <w:rPr>
          <w:rFonts w:cs="Arial"/>
          <w:i/>
          <w:iCs/>
          <w:sz w:val="26"/>
          <w:szCs w:val="26"/>
          <w:lang w:val="es-ES" w:eastAsia="en-US"/>
        </w:rPr>
        <w:t>Sobre la posible modulación del artículo impugnado</w:t>
      </w:r>
    </w:p>
    <w:p w14:paraId="7E1E424C" w14:textId="77777777" w:rsidR="006B01FE" w:rsidRPr="00CC3001" w:rsidRDefault="006B01FE" w:rsidP="00CC3001">
      <w:pPr>
        <w:pStyle w:val="corte4fondo"/>
        <w:ind w:firstLine="0"/>
        <w:rPr>
          <w:rFonts w:cs="Arial"/>
          <w:sz w:val="26"/>
          <w:szCs w:val="26"/>
          <w:lang w:val="es-ES" w:eastAsia="en-US"/>
        </w:rPr>
      </w:pPr>
    </w:p>
    <w:p w14:paraId="128DEF33" w14:textId="27CB9A58" w:rsidR="00B223A1" w:rsidRPr="003417DD" w:rsidRDefault="00B223A1" w:rsidP="00B223A1">
      <w:pPr>
        <w:pStyle w:val="corte4fondo"/>
        <w:numPr>
          <w:ilvl w:val="0"/>
          <w:numId w:val="2"/>
        </w:numPr>
        <w:ind w:left="0" w:hanging="567"/>
        <w:rPr>
          <w:rFonts w:cs="Arial"/>
          <w:sz w:val="26"/>
          <w:szCs w:val="26"/>
          <w:lang w:val="es-ES" w:eastAsia="en-US"/>
        </w:rPr>
      </w:pPr>
      <w:r>
        <w:rPr>
          <w:rFonts w:cs="Arial"/>
          <w:sz w:val="26"/>
          <w:szCs w:val="26"/>
          <w:lang w:val="es-ES" w:eastAsia="en-US"/>
        </w:rPr>
        <w:t xml:space="preserve">Como </w:t>
      </w:r>
      <w:r w:rsidR="003914C0">
        <w:rPr>
          <w:rFonts w:cs="Arial"/>
          <w:sz w:val="26"/>
          <w:szCs w:val="26"/>
          <w:lang w:val="es-ES" w:eastAsia="en-US"/>
        </w:rPr>
        <w:t>precisamos anteriormente</w:t>
      </w:r>
      <w:r>
        <w:rPr>
          <w:rFonts w:cs="Arial"/>
          <w:sz w:val="26"/>
          <w:szCs w:val="26"/>
          <w:lang w:val="es-ES" w:eastAsia="en-US"/>
        </w:rPr>
        <w:t xml:space="preserve">, la señora </w:t>
      </w:r>
      <w:r w:rsidRPr="00AF0CE8">
        <w:rPr>
          <w:color w:val="FF0000"/>
          <w:sz w:val="26"/>
          <w:szCs w:val="26"/>
        </w:rPr>
        <w:t>GI</w:t>
      </w:r>
      <w:r w:rsidRPr="003417DD">
        <w:rPr>
          <w:rFonts w:cs="Arial"/>
          <w:sz w:val="26"/>
          <w:szCs w:val="26"/>
          <w:lang w:val="es-ES" w:eastAsia="en-US"/>
        </w:rPr>
        <w:t xml:space="preserve"> </w:t>
      </w:r>
      <w:r w:rsidR="0004290E">
        <w:rPr>
          <w:rFonts w:cs="Arial"/>
          <w:sz w:val="26"/>
          <w:szCs w:val="26"/>
          <w:lang w:val="es-ES" w:eastAsia="en-US"/>
        </w:rPr>
        <w:t xml:space="preserve">también </w:t>
      </w:r>
      <w:r w:rsidRPr="003417DD">
        <w:rPr>
          <w:rFonts w:cs="Arial"/>
          <w:sz w:val="26"/>
          <w:szCs w:val="26"/>
          <w:lang w:val="es-ES" w:eastAsia="en-US"/>
        </w:rPr>
        <w:t xml:space="preserve">reclama que </w:t>
      </w:r>
      <w:r w:rsidR="0004290E">
        <w:rPr>
          <w:rFonts w:cs="Arial"/>
          <w:sz w:val="26"/>
          <w:szCs w:val="26"/>
          <w:lang w:val="es-ES" w:eastAsia="en-US"/>
        </w:rPr>
        <w:t>no puede dejarse</w:t>
      </w:r>
      <w:r w:rsidRPr="003417DD">
        <w:rPr>
          <w:rFonts w:cs="Arial"/>
          <w:sz w:val="26"/>
          <w:szCs w:val="26"/>
          <w:lang w:val="es-ES" w:eastAsia="en-US"/>
        </w:rPr>
        <w:t xml:space="preserve"> sin sanción el supuesto</w:t>
      </w:r>
      <w:r w:rsidR="003914C0">
        <w:rPr>
          <w:rFonts w:cs="Arial"/>
          <w:sz w:val="26"/>
          <w:szCs w:val="26"/>
          <w:lang w:val="es-ES" w:eastAsia="en-US"/>
        </w:rPr>
        <w:t xml:space="preserve"> en el que una persona contrae matrimonio sin haber disuelto uno previo, es decir, de mala fe</w:t>
      </w:r>
      <w:r w:rsidRPr="003417DD">
        <w:rPr>
          <w:rFonts w:cs="Arial"/>
          <w:sz w:val="26"/>
          <w:szCs w:val="26"/>
          <w:lang w:val="es-ES" w:eastAsia="en-US"/>
        </w:rPr>
        <w:t xml:space="preserve">. </w:t>
      </w:r>
      <w:r w:rsidR="0004290E">
        <w:rPr>
          <w:rFonts w:cs="Arial"/>
          <w:sz w:val="26"/>
          <w:szCs w:val="26"/>
          <w:lang w:val="es-ES" w:eastAsia="en-US"/>
        </w:rPr>
        <w:t>C</w:t>
      </w:r>
      <w:r w:rsidRPr="003417DD">
        <w:rPr>
          <w:rFonts w:cs="Arial"/>
          <w:sz w:val="26"/>
          <w:szCs w:val="26"/>
          <w:lang w:val="es-ES" w:eastAsia="en-US"/>
        </w:rPr>
        <w:t>onsidera que al tribunal</w:t>
      </w:r>
      <w:r w:rsidR="00BC6B17">
        <w:rPr>
          <w:rFonts w:cs="Arial"/>
          <w:sz w:val="26"/>
          <w:szCs w:val="26"/>
          <w:lang w:val="es-ES" w:eastAsia="en-US"/>
        </w:rPr>
        <w:t xml:space="preserve"> colegiado</w:t>
      </w:r>
      <w:r w:rsidRPr="003417DD">
        <w:rPr>
          <w:rFonts w:cs="Arial"/>
          <w:sz w:val="26"/>
          <w:szCs w:val="26"/>
          <w:lang w:val="es-ES" w:eastAsia="en-US"/>
        </w:rPr>
        <w:t xml:space="preserve"> le correspondía ordenar que el artículo se aplicara en forma parcial y no absoluta, pero que no podía estimarse que el cónyuge que actuó de mala fe quedar</w:t>
      </w:r>
      <w:r w:rsidR="00600E09">
        <w:rPr>
          <w:rFonts w:cs="Arial"/>
          <w:sz w:val="26"/>
          <w:szCs w:val="26"/>
          <w:lang w:val="es-ES" w:eastAsia="en-US"/>
        </w:rPr>
        <w:t>a</w:t>
      </w:r>
      <w:r w:rsidRPr="003417DD">
        <w:rPr>
          <w:rFonts w:cs="Arial"/>
          <w:sz w:val="26"/>
          <w:szCs w:val="26"/>
          <w:lang w:val="es-ES" w:eastAsia="en-US"/>
        </w:rPr>
        <w:t xml:space="preserve"> sin </w:t>
      </w:r>
      <w:r w:rsidRPr="003417DD">
        <w:rPr>
          <w:rFonts w:cs="Arial"/>
          <w:sz w:val="26"/>
          <w:szCs w:val="26"/>
          <w:lang w:val="es-ES" w:eastAsia="en-US"/>
        </w:rPr>
        <w:lastRenderedPageBreak/>
        <w:t>sanción. En su opinión, el tribunal</w:t>
      </w:r>
      <w:r w:rsidR="00BC6B17">
        <w:rPr>
          <w:rFonts w:cs="Arial"/>
          <w:sz w:val="26"/>
          <w:szCs w:val="26"/>
          <w:lang w:val="es-ES" w:eastAsia="en-US"/>
        </w:rPr>
        <w:t xml:space="preserve"> colegiado</w:t>
      </w:r>
      <w:r w:rsidRPr="003417DD">
        <w:rPr>
          <w:rFonts w:cs="Arial"/>
          <w:sz w:val="26"/>
          <w:szCs w:val="26"/>
          <w:lang w:val="es-ES" w:eastAsia="en-US"/>
        </w:rPr>
        <w:t xml:space="preserve"> debió instruir a la sala responsable sobre cómo aplicar la sanción con base en los criterios que precisó el tribunal y con motivo del daño que ella y la sociedad resintieron con la conducta del quejoso. </w:t>
      </w:r>
      <w:r w:rsidR="00F446BD">
        <w:rPr>
          <w:rFonts w:cs="Arial"/>
          <w:sz w:val="26"/>
          <w:szCs w:val="26"/>
          <w:lang w:val="es-ES" w:eastAsia="en-US"/>
        </w:rPr>
        <w:t>Estimamos</w:t>
      </w:r>
      <w:r w:rsidR="0004290E">
        <w:rPr>
          <w:rFonts w:cs="Arial"/>
          <w:sz w:val="26"/>
          <w:szCs w:val="26"/>
          <w:lang w:val="es-ES" w:eastAsia="en-US"/>
        </w:rPr>
        <w:t xml:space="preserve"> también que este argumento es infundado. </w:t>
      </w:r>
    </w:p>
    <w:p w14:paraId="50276657" w14:textId="77777777" w:rsidR="00B223A1" w:rsidRDefault="00B223A1" w:rsidP="0004290E">
      <w:pPr>
        <w:pStyle w:val="corte4fondo"/>
        <w:ind w:firstLine="0"/>
        <w:rPr>
          <w:rFonts w:cs="Arial"/>
          <w:sz w:val="26"/>
          <w:szCs w:val="26"/>
          <w:lang w:val="es-ES" w:eastAsia="en-US"/>
        </w:rPr>
      </w:pPr>
    </w:p>
    <w:p w14:paraId="0740C9C5" w14:textId="40FCDE33" w:rsidR="00F446BD" w:rsidRDefault="0004290E" w:rsidP="00F446BD">
      <w:pPr>
        <w:pStyle w:val="corte4fondo"/>
        <w:numPr>
          <w:ilvl w:val="0"/>
          <w:numId w:val="2"/>
        </w:numPr>
        <w:ind w:left="0" w:hanging="567"/>
        <w:rPr>
          <w:rFonts w:cs="Arial"/>
          <w:bCs/>
          <w:sz w:val="26"/>
          <w:szCs w:val="26"/>
          <w:lang w:eastAsia="en-US"/>
        </w:rPr>
      </w:pPr>
      <w:r w:rsidRPr="00F53C1C">
        <w:rPr>
          <w:rFonts w:cs="Arial"/>
          <w:sz w:val="26"/>
          <w:szCs w:val="26"/>
          <w:lang w:val="es-ES" w:eastAsia="en-US"/>
        </w:rPr>
        <w:t xml:space="preserve">En </w:t>
      </w:r>
      <w:r w:rsidR="00F446BD" w:rsidRPr="00F53C1C">
        <w:rPr>
          <w:rFonts w:cs="Arial"/>
          <w:sz w:val="26"/>
          <w:szCs w:val="26"/>
          <w:lang w:val="es-ES" w:eastAsia="en-US"/>
        </w:rPr>
        <w:t>co</w:t>
      </w:r>
      <w:r w:rsidRPr="00F53C1C">
        <w:rPr>
          <w:rFonts w:cs="Arial"/>
          <w:sz w:val="26"/>
          <w:szCs w:val="26"/>
          <w:lang w:val="es-ES" w:eastAsia="en-US"/>
        </w:rPr>
        <w:t>herencia</w:t>
      </w:r>
      <w:r>
        <w:rPr>
          <w:rFonts w:cs="Arial"/>
          <w:sz w:val="26"/>
          <w:szCs w:val="26"/>
          <w:lang w:val="es-ES" w:eastAsia="en-US"/>
        </w:rPr>
        <w:t xml:space="preserve"> con estimar inconstitucional el artículo impugnado, el tribunal colegiado ordenó a la sala responsable que </w:t>
      </w:r>
      <w:r w:rsidR="00F446BD">
        <w:rPr>
          <w:rFonts w:cs="Arial"/>
          <w:sz w:val="26"/>
          <w:szCs w:val="26"/>
          <w:lang w:val="es-ES" w:eastAsia="en-US"/>
        </w:rPr>
        <w:t>no aplicara al quejoso la norma</w:t>
      </w:r>
      <w:r w:rsidR="00F446BD" w:rsidRPr="00F446BD">
        <w:rPr>
          <w:rFonts w:cs="Arial"/>
          <w:sz w:val="26"/>
          <w:szCs w:val="26"/>
          <w:lang w:val="es-ES" w:eastAsia="en-US"/>
        </w:rPr>
        <w:t xml:space="preserve"> </w:t>
      </w:r>
      <w:r w:rsidR="00F446BD">
        <w:rPr>
          <w:rFonts w:cs="Arial"/>
          <w:sz w:val="26"/>
          <w:szCs w:val="26"/>
          <w:lang w:val="es-ES" w:eastAsia="en-US"/>
        </w:rPr>
        <w:t>al dictar una nueva resolución. En efecto, en amparo directo al resolverse sobre la inconstitucionalidad de un precepto la consecuencia</w:t>
      </w:r>
      <w:r w:rsidR="004C2C29">
        <w:rPr>
          <w:rFonts w:cs="Arial"/>
          <w:sz w:val="26"/>
          <w:szCs w:val="26"/>
          <w:lang w:val="es-ES" w:eastAsia="en-US"/>
        </w:rPr>
        <w:t xml:space="preserve"> es la desaplicación del artículo en el caso concreto</w:t>
      </w:r>
      <w:r w:rsidR="00F446BD">
        <w:rPr>
          <w:rFonts w:cs="Arial"/>
          <w:sz w:val="26"/>
          <w:szCs w:val="26"/>
          <w:lang w:val="es-ES" w:eastAsia="en-US"/>
        </w:rPr>
        <w:t xml:space="preserve">. La recurrente parece argumentar que en todo caso la norma admitiría una interpretación o aplicación parcial que no fuera excesiva y que tomara en cuenta los factores que mencionó el tribunal colegiado en su resolución. Esto es, </w:t>
      </w:r>
      <w:r w:rsidR="003914C0">
        <w:rPr>
          <w:rFonts w:cs="Arial"/>
          <w:sz w:val="26"/>
          <w:szCs w:val="26"/>
          <w:lang w:val="es-ES" w:eastAsia="en-US"/>
        </w:rPr>
        <w:t xml:space="preserve">una resolución en la que se atendiera a </w:t>
      </w:r>
      <w:r w:rsidR="00F446BD" w:rsidRPr="00F446BD">
        <w:rPr>
          <w:rFonts w:cs="Arial"/>
          <w:bCs/>
          <w:sz w:val="26"/>
          <w:szCs w:val="26"/>
          <w:lang w:eastAsia="en-US"/>
        </w:rPr>
        <w:t xml:space="preserve">la duración del matrimonio, la cantidad de bienes adquiridos, quién aportó los recursos para adquirir dichos bienes, cómo se desarrolló la dinámica del matrimonio, e incluso la edad de los consortes al momento de la declaratoria de nulidad del matrimonio. </w:t>
      </w:r>
    </w:p>
    <w:p w14:paraId="153C4CF9" w14:textId="77777777" w:rsidR="00F446BD" w:rsidRPr="00F446BD" w:rsidRDefault="00F446BD" w:rsidP="00F446BD">
      <w:pPr>
        <w:pStyle w:val="corte4fondo"/>
        <w:ind w:firstLine="0"/>
        <w:rPr>
          <w:rFonts w:cs="Arial"/>
          <w:bCs/>
          <w:sz w:val="26"/>
          <w:szCs w:val="26"/>
          <w:lang w:eastAsia="en-US"/>
        </w:rPr>
      </w:pPr>
    </w:p>
    <w:p w14:paraId="2951B766" w14:textId="0C56B0F9" w:rsidR="003358B3" w:rsidRDefault="00F446BD" w:rsidP="002E025E">
      <w:pPr>
        <w:pStyle w:val="corte4fondo"/>
        <w:numPr>
          <w:ilvl w:val="0"/>
          <w:numId w:val="2"/>
        </w:numPr>
        <w:ind w:left="0" w:hanging="567"/>
        <w:rPr>
          <w:rFonts w:cs="Arial"/>
          <w:sz w:val="26"/>
          <w:szCs w:val="26"/>
          <w:lang w:val="es-ES" w:eastAsia="en-US"/>
        </w:rPr>
      </w:pPr>
      <w:r>
        <w:rPr>
          <w:rFonts w:cs="Arial"/>
          <w:sz w:val="26"/>
          <w:szCs w:val="26"/>
          <w:lang w:val="es-ES" w:eastAsia="en-US"/>
        </w:rPr>
        <w:t xml:space="preserve">De la lectura del precepto, </w:t>
      </w:r>
      <w:r w:rsidRPr="002E025E">
        <w:rPr>
          <w:rFonts w:cs="Arial"/>
          <w:sz w:val="26"/>
          <w:szCs w:val="26"/>
          <w:lang w:val="es-ES" w:eastAsia="en-US"/>
        </w:rPr>
        <w:t xml:space="preserve">esta Primera Sala </w:t>
      </w:r>
      <w:r w:rsidR="002E025E" w:rsidRPr="002E025E">
        <w:rPr>
          <w:rFonts w:cs="Arial"/>
          <w:sz w:val="26"/>
          <w:szCs w:val="26"/>
          <w:lang w:val="es-ES" w:eastAsia="en-US"/>
        </w:rPr>
        <w:t xml:space="preserve">no advierte la posibilidad de reinterpretar la norma en ese sentido. Vale recordar que el artículo textualmente prevé que </w:t>
      </w:r>
      <w:r w:rsidR="002E025E" w:rsidRPr="002E025E">
        <w:rPr>
          <w:rFonts w:cs="Arial"/>
          <w:sz w:val="26"/>
          <w:szCs w:val="26"/>
          <w:lang w:val="es-ES"/>
        </w:rPr>
        <w:t>“s</w:t>
      </w:r>
      <w:r w:rsidRPr="002E025E">
        <w:rPr>
          <w:rFonts w:cs="Arial"/>
          <w:sz w:val="26"/>
          <w:szCs w:val="26"/>
          <w:lang w:val="es-ES"/>
        </w:rPr>
        <w:t xml:space="preserve">i la disolución de la sociedad procede de ilegitimidad del matrimonio, el consorte que hubiere obrado con mala fe </w:t>
      </w:r>
      <w:r w:rsidRPr="002E025E">
        <w:rPr>
          <w:rFonts w:cs="Arial"/>
          <w:i/>
          <w:iCs/>
          <w:sz w:val="26"/>
          <w:szCs w:val="26"/>
          <w:lang w:val="es-ES"/>
        </w:rPr>
        <w:t>no tendrá parte</w:t>
      </w:r>
      <w:r w:rsidRPr="002E025E">
        <w:rPr>
          <w:rFonts w:cs="Arial"/>
          <w:sz w:val="26"/>
          <w:szCs w:val="26"/>
          <w:lang w:val="es-ES"/>
        </w:rPr>
        <w:t xml:space="preserve"> en los gananciales</w:t>
      </w:r>
      <w:r w:rsidR="002E025E">
        <w:rPr>
          <w:rFonts w:cs="Arial"/>
          <w:sz w:val="26"/>
          <w:szCs w:val="26"/>
          <w:lang w:val="es-ES"/>
        </w:rPr>
        <w:t>”</w:t>
      </w:r>
      <w:r w:rsidRPr="002E025E">
        <w:rPr>
          <w:rFonts w:cs="Arial"/>
          <w:sz w:val="26"/>
          <w:szCs w:val="26"/>
          <w:lang w:val="es-ES"/>
        </w:rPr>
        <w:t>.</w:t>
      </w:r>
      <w:r w:rsidR="002E025E">
        <w:rPr>
          <w:rFonts w:cs="Arial"/>
          <w:sz w:val="26"/>
          <w:szCs w:val="26"/>
          <w:lang w:val="es-ES"/>
        </w:rPr>
        <w:t xml:space="preserve"> Vista en el contexto normativo antes desarrollado, la norma no permite interpretaciones alternas a la completa exclusión del cónyuge de mala fe de los gananciales. Por tanto, no habría fundamento para que al aplicar el artículo la responsable tomara en cuenta los factores referidos. </w:t>
      </w:r>
    </w:p>
    <w:p w14:paraId="67E9994C" w14:textId="77777777" w:rsidR="002E025E" w:rsidRDefault="002E025E" w:rsidP="00C65045">
      <w:pPr>
        <w:pStyle w:val="Prrafodelista"/>
        <w:spacing w:line="360" w:lineRule="auto"/>
        <w:rPr>
          <w:rFonts w:cs="Arial"/>
          <w:sz w:val="26"/>
          <w:szCs w:val="26"/>
          <w:lang w:val="es-ES" w:eastAsia="en-US"/>
        </w:rPr>
      </w:pPr>
    </w:p>
    <w:p w14:paraId="6888EC99" w14:textId="63BFB895" w:rsidR="002E025E" w:rsidRPr="002E025E" w:rsidRDefault="002E025E" w:rsidP="002E025E">
      <w:pPr>
        <w:pStyle w:val="corte4fondo"/>
        <w:numPr>
          <w:ilvl w:val="0"/>
          <w:numId w:val="2"/>
        </w:numPr>
        <w:ind w:left="0" w:hanging="567"/>
        <w:rPr>
          <w:rFonts w:cs="Arial"/>
          <w:sz w:val="26"/>
          <w:szCs w:val="26"/>
          <w:lang w:val="es-ES" w:eastAsia="en-US"/>
        </w:rPr>
      </w:pPr>
      <w:r>
        <w:rPr>
          <w:rFonts w:cs="Arial"/>
          <w:sz w:val="26"/>
          <w:szCs w:val="26"/>
          <w:lang w:val="es-ES" w:eastAsia="en-US"/>
        </w:rPr>
        <w:t>Además, de una revisión integral del sistema previsto en el código</w:t>
      </w:r>
      <w:r w:rsidR="00FA011B">
        <w:rPr>
          <w:rFonts w:cs="Arial"/>
          <w:sz w:val="26"/>
          <w:szCs w:val="26"/>
          <w:lang w:val="es-ES" w:eastAsia="en-US"/>
        </w:rPr>
        <w:t xml:space="preserve"> </w:t>
      </w:r>
      <w:r w:rsidR="00E0590B">
        <w:rPr>
          <w:rFonts w:cs="Arial"/>
          <w:sz w:val="26"/>
          <w:szCs w:val="26"/>
          <w:lang w:val="es-ES" w:eastAsia="en-US"/>
        </w:rPr>
        <w:t>señalado</w:t>
      </w:r>
      <w:r>
        <w:rPr>
          <w:rFonts w:cs="Arial"/>
          <w:sz w:val="26"/>
          <w:szCs w:val="26"/>
          <w:lang w:val="es-ES" w:eastAsia="en-US"/>
        </w:rPr>
        <w:t xml:space="preserve">, consideramos que la actuación del cónyuge de mala fe </w:t>
      </w:r>
      <w:r w:rsidR="006219F2">
        <w:rPr>
          <w:rFonts w:cs="Arial"/>
          <w:sz w:val="26"/>
          <w:szCs w:val="26"/>
          <w:lang w:val="es-ES" w:eastAsia="en-US"/>
        </w:rPr>
        <w:t xml:space="preserve">no </w:t>
      </w:r>
      <w:r>
        <w:rPr>
          <w:rFonts w:cs="Arial"/>
          <w:sz w:val="26"/>
          <w:szCs w:val="26"/>
          <w:lang w:val="es-ES" w:eastAsia="en-US"/>
        </w:rPr>
        <w:t xml:space="preserve">se encuentre fuera del régimen de reparación del daño previsto en esa legislación. Como se desprende de las normas reseñadas, la conducta del cónyuge que actúa de mala fe al </w:t>
      </w:r>
      <w:r>
        <w:rPr>
          <w:rFonts w:cs="Arial"/>
          <w:sz w:val="26"/>
          <w:szCs w:val="26"/>
          <w:lang w:val="es-ES" w:eastAsia="en-US"/>
        </w:rPr>
        <w:lastRenderedPageBreak/>
        <w:t>contraer matrimonio en casos como en el presente sí constituye un ilícito civil</w:t>
      </w:r>
      <w:r w:rsidR="003914C0">
        <w:rPr>
          <w:rFonts w:cs="Arial"/>
          <w:sz w:val="26"/>
          <w:szCs w:val="26"/>
          <w:lang w:val="es-ES" w:eastAsia="en-US"/>
        </w:rPr>
        <w:t>,</w:t>
      </w:r>
      <w:r>
        <w:rPr>
          <w:rFonts w:cs="Arial"/>
          <w:sz w:val="26"/>
          <w:szCs w:val="26"/>
          <w:lang w:val="es-ES" w:eastAsia="en-US"/>
        </w:rPr>
        <w:t xml:space="preserve"> que podría ameritar una acción de daños por parte de las personas afectadas.</w:t>
      </w:r>
    </w:p>
    <w:p w14:paraId="42FDCBFF" w14:textId="77777777" w:rsidR="00F446BD" w:rsidRDefault="00F446BD" w:rsidP="00E709F0">
      <w:pPr>
        <w:pStyle w:val="corte4fondo"/>
        <w:ind w:firstLine="0"/>
        <w:rPr>
          <w:rFonts w:cs="Arial"/>
          <w:sz w:val="26"/>
          <w:szCs w:val="26"/>
          <w:lang w:val="es-ES" w:eastAsia="en-US"/>
        </w:rPr>
      </w:pPr>
    </w:p>
    <w:p w14:paraId="0524BD74" w14:textId="2E2748E4" w:rsidR="006B01FE" w:rsidRDefault="003914C0" w:rsidP="006B01FE">
      <w:pPr>
        <w:pStyle w:val="corte4fondo"/>
        <w:numPr>
          <w:ilvl w:val="0"/>
          <w:numId w:val="2"/>
        </w:numPr>
        <w:ind w:left="0" w:hanging="567"/>
        <w:rPr>
          <w:rFonts w:cs="Arial"/>
          <w:sz w:val="26"/>
          <w:szCs w:val="26"/>
          <w:lang w:eastAsia="en-US"/>
        </w:rPr>
      </w:pPr>
      <w:r>
        <w:rPr>
          <w:rFonts w:cs="Arial"/>
          <w:sz w:val="26"/>
          <w:szCs w:val="26"/>
          <w:lang w:val="es-ES" w:eastAsia="en-US"/>
        </w:rPr>
        <w:t>Existe</w:t>
      </w:r>
      <w:r w:rsidR="006B01FE">
        <w:rPr>
          <w:rFonts w:cs="Arial"/>
          <w:sz w:val="26"/>
          <w:szCs w:val="26"/>
          <w:lang w:eastAsia="en-US"/>
        </w:rPr>
        <w:t xml:space="preserve"> un derecho de la parte cuyo consentimiento estuvo inducido por el error a ser reparada por la actuación de su contraparte en la medida en que su conducta le ha generado </w:t>
      </w:r>
      <w:r w:rsidR="00874380">
        <w:rPr>
          <w:rFonts w:cs="Arial"/>
          <w:sz w:val="26"/>
          <w:szCs w:val="26"/>
          <w:lang w:eastAsia="en-US"/>
        </w:rPr>
        <w:t>un daño</w:t>
      </w:r>
      <w:r w:rsidR="006B01FE">
        <w:rPr>
          <w:rFonts w:cs="Arial"/>
          <w:sz w:val="26"/>
          <w:szCs w:val="26"/>
          <w:lang w:eastAsia="en-US"/>
        </w:rPr>
        <w:t>, en atención a su derecho de acceso a la justicia y a la reparación. No cabe duda para esta Primera Sala de que la actuación ilícita de la parte que actúa de mala fe coloca en una situación de incertidumbre jurídica a quien contrajo matrimonio sin conocimiento de la relación subsistente de su cónyuge</w:t>
      </w:r>
      <w:r w:rsidR="00874380">
        <w:rPr>
          <w:rFonts w:cs="Arial"/>
          <w:sz w:val="26"/>
          <w:szCs w:val="26"/>
          <w:lang w:eastAsia="en-US"/>
        </w:rPr>
        <w:t>.</w:t>
      </w:r>
      <w:r w:rsidR="006B01FE">
        <w:rPr>
          <w:rFonts w:cs="Arial"/>
          <w:sz w:val="26"/>
          <w:szCs w:val="26"/>
          <w:lang w:eastAsia="en-US"/>
        </w:rPr>
        <w:t xml:space="preserve"> </w:t>
      </w:r>
      <w:r w:rsidR="00874380">
        <w:rPr>
          <w:rFonts w:cs="Arial"/>
          <w:sz w:val="26"/>
          <w:szCs w:val="26"/>
          <w:lang w:eastAsia="en-US"/>
        </w:rPr>
        <w:t>E</w:t>
      </w:r>
      <w:r w:rsidR="006B01FE">
        <w:rPr>
          <w:rFonts w:cs="Arial"/>
          <w:sz w:val="26"/>
          <w:szCs w:val="26"/>
          <w:lang w:eastAsia="en-US"/>
        </w:rPr>
        <w:t>sta situación pone en riesgo su patrimonio, dado que la acción de ilegitimidad puede ejercerse en todo tiempo y por distintas personas, incluida la persona contrayente del primer matrimonio.</w:t>
      </w:r>
      <w:r w:rsidR="006B01FE">
        <w:rPr>
          <w:rStyle w:val="Refdenotaalpie"/>
          <w:rFonts w:cs="Arial"/>
          <w:sz w:val="26"/>
          <w:szCs w:val="26"/>
          <w:lang w:eastAsia="en-US"/>
        </w:rPr>
        <w:footnoteReference w:id="51"/>
      </w:r>
    </w:p>
    <w:p w14:paraId="5C721E60" w14:textId="77777777" w:rsidR="006B01FE" w:rsidRPr="006B01FE" w:rsidRDefault="006B01FE" w:rsidP="00E709F0">
      <w:pPr>
        <w:pStyle w:val="corte4fondo"/>
        <w:ind w:firstLine="0"/>
        <w:rPr>
          <w:rFonts w:cs="Arial"/>
          <w:sz w:val="26"/>
          <w:szCs w:val="26"/>
          <w:lang w:eastAsia="en-US"/>
        </w:rPr>
      </w:pPr>
    </w:p>
    <w:p w14:paraId="389B15CE" w14:textId="77777777" w:rsidR="006B01FE" w:rsidRDefault="006B01FE" w:rsidP="006B01FE">
      <w:pPr>
        <w:pStyle w:val="corte4fondo"/>
        <w:numPr>
          <w:ilvl w:val="0"/>
          <w:numId w:val="2"/>
        </w:numPr>
        <w:ind w:left="0" w:hanging="567"/>
        <w:rPr>
          <w:rFonts w:cs="Arial"/>
          <w:sz w:val="26"/>
          <w:szCs w:val="26"/>
          <w:lang w:eastAsia="en-US"/>
        </w:rPr>
      </w:pPr>
      <w:r w:rsidRPr="0055303F">
        <w:rPr>
          <w:rFonts w:cs="Arial"/>
          <w:sz w:val="26"/>
          <w:szCs w:val="26"/>
          <w:lang w:eastAsia="en-US"/>
        </w:rPr>
        <w:t>Sin embargo,</w:t>
      </w:r>
      <w:r>
        <w:rPr>
          <w:rFonts w:cs="Arial"/>
          <w:sz w:val="26"/>
          <w:szCs w:val="26"/>
          <w:lang w:eastAsia="en-US"/>
        </w:rPr>
        <w:t xml:space="preserve"> este derecho no puede significar privar a la parte que obró de mala fe del producto de su trabajo y los frutos que este aportó a la sociedad conyugal. Es decir, esa acumulación conjunta, aunque tuvo origen en el matrimonio declarado nulo, depende y aporta a la relación familiar. </w:t>
      </w:r>
    </w:p>
    <w:p w14:paraId="30A05C3A" w14:textId="77777777" w:rsidR="006B01FE" w:rsidRDefault="006B01FE" w:rsidP="00946974">
      <w:pPr>
        <w:pStyle w:val="Prrafodelista"/>
        <w:spacing w:line="360" w:lineRule="auto"/>
        <w:rPr>
          <w:rFonts w:cs="Arial"/>
          <w:sz w:val="26"/>
          <w:szCs w:val="26"/>
          <w:lang w:eastAsia="en-US"/>
        </w:rPr>
      </w:pPr>
    </w:p>
    <w:p w14:paraId="177451E1" w14:textId="77777777" w:rsidR="004B4F3C" w:rsidRDefault="006B01FE" w:rsidP="009D4E2C">
      <w:pPr>
        <w:pStyle w:val="corte4fondo"/>
        <w:numPr>
          <w:ilvl w:val="0"/>
          <w:numId w:val="2"/>
        </w:numPr>
        <w:ind w:left="0" w:hanging="567"/>
        <w:rPr>
          <w:rFonts w:cs="Arial"/>
          <w:sz w:val="26"/>
          <w:szCs w:val="26"/>
          <w:lang w:eastAsia="en-US"/>
        </w:rPr>
      </w:pPr>
      <w:r>
        <w:rPr>
          <w:rFonts w:cs="Arial"/>
          <w:sz w:val="26"/>
          <w:szCs w:val="26"/>
          <w:lang w:eastAsia="en-US"/>
        </w:rPr>
        <w:t xml:space="preserve">La sanción aplicable a la persona que actuó de forma ilícita al contraer matrimonio debe responder a esa conducta concreta, pero no puede constituirse como una consecuencia aplicable a toda una situación de hecho que merece las garantías de la protección familiar. Tal acepción llevaría a equiparar el matrimonio con la familia y a desconocer la relación familiar efectivamente formada a partir del matrimonio declarado nulo, cuya protección abarca a todos sus miembros. </w:t>
      </w:r>
    </w:p>
    <w:p w14:paraId="6475E46D" w14:textId="77777777" w:rsidR="004B4F3C" w:rsidRDefault="004B4F3C" w:rsidP="00946974">
      <w:pPr>
        <w:pStyle w:val="Prrafodelista"/>
        <w:spacing w:line="360" w:lineRule="auto"/>
        <w:rPr>
          <w:rFonts w:cs="Arial"/>
          <w:sz w:val="26"/>
          <w:szCs w:val="26"/>
          <w:lang w:eastAsia="en-US"/>
        </w:rPr>
      </w:pPr>
    </w:p>
    <w:p w14:paraId="20354ABA" w14:textId="77777777" w:rsidR="004B4F3C" w:rsidRDefault="006B01FE" w:rsidP="004B4F3C">
      <w:pPr>
        <w:pStyle w:val="corte4fondo"/>
        <w:numPr>
          <w:ilvl w:val="0"/>
          <w:numId w:val="2"/>
        </w:numPr>
        <w:ind w:left="0" w:hanging="567"/>
        <w:rPr>
          <w:rFonts w:cs="Arial"/>
          <w:sz w:val="26"/>
          <w:szCs w:val="26"/>
          <w:lang w:eastAsia="en-US"/>
        </w:rPr>
      </w:pPr>
      <w:r>
        <w:rPr>
          <w:rFonts w:cs="Arial"/>
          <w:sz w:val="26"/>
          <w:szCs w:val="26"/>
          <w:lang w:eastAsia="en-US"/>
        </w:rPr>
        <w:lastRenderedPageBreak/>
        <w:t>En todo caso, como planteamos en el amparo directo en revisión 2480/2019,</w:t>
      </w:r>
      <w:r>
        <w:rPr>
          <w:rStyle w:val="Refdenotaalpie"/>
          <w:rFonts w:cs="Arial"/>
          <w:sz w:val="26"/>
          <w:szCs w:val="26"/>
          <w:lang w:eastAsia="en-US"/>
        </w:rPr>
        <w:footnoteReference w:id="52"/>
      </w:r>
      <w:r>
        <w:rPr>
          <w:rFonts w:cs="Arial"/>
          <w:sz w:val="26"/>
          <w:szCs w:val="26"/>
          <w:lang w:eastAsia="en-US"/>
        </w:rPr>
        <w:t xml:space="preserve"> la parte que actuó de buena fe </w:t>
      </w:r>
      <w:r w:rsidRPr="00934B72">
        <w:rPr>
          <w:rFonts w:cs="Arial"/>
          <w:sz w:val="26"/>
          <w:szCs w:val="26"/>
          <w:lang w:eastAsia="en-US"/>
        </w:rPr>
        <w:t xml:space="preserve">tiene expedito su derecho para demandar de </w:t>
      </w:r>
      <w:r>
        <w:rPr>
          <w:rFonts w:cs="Arial"/>
          <w:sz w:val="26"/>
          <w:szCs w:val="26"/>
          <w:lang w:eastAsia="en-US"/>
        </w:rPr>
        <w:t>quien actuó de forma contraria</w:t>
      </w:r>
      <w:r w:rsidRPr="00934B72">
        <w:rPr>
          <w:rFonts w:cs="Arial"/>
          <w:sz w:val="26"/>
          <w:szCs w:val="26"/>
          <w:lang w:eastAsia="en-US"/>
        </w:rPr>
        <w:t xml:space="preserve"> los daños y perjuicios que haya resentido a consecuencia de su actuar</w:t>
      </w:r>
      <w:r>
        <w:rPr>
          <w:rFonts w:cs="Arial"/>
          <w:sz w:val="26"/>
          <w:szCs w:val="26"/>
          <w:lang w:eastAsia="en-US"/>
        </w:rPr>
        <w:t xml:space="preserve">. </w:t>
      </w:r>
      <w:r w:rsidR="003F571F" w:rsidRPr="00874380">
        <w:rPr>
          <w:rFonts w:cs="Arial"/>
          <w:sz w:val="26"/>
          <w:szCs w:val="26"/>
          <w:lang w:eastAsia="en-US"/>
        </w:rPr>
        <w:t xml:space="preserve">Tal posibilidad se encuentra prevista en el Código Civil del Estado de Jalisco, en las disposiciones que regulan las obligaciones que nacen </w:t>
      </w:r>
      <w:r w:rsidR="004B4F3C" w:rsidRPr="00874380">
        <w:rPr>
          <w:rFonts w:cs="Arial"/>
          <w:sz w:val="26"/>
          <w:szCs w:val="26"/>
          <w:lang w:eastAsia="en-US"/>
        </w:rPr>
        <w:t>de hechos ilícitos.</w:t>
      </w:r>
      <w:r w:rsidR="004B4F3C" w:rsidRPr="00874380">
        <w:rPr>
          <w:rStyle w:val="Refdenotaalpie"/>
          <w:rFonts w:cs="Arial"/>
          <w:sz w:val="26"/>
          <w:szCs w:val="26"/>
          <w:lang w:eastAsia="en-US"/>
        </w:rPr>
        <w:footnoteReference w:id="53"/>
      </w:r>
      <w:r w:rsidR="004B4F3C">
        <w:rPr>
          <w:rFonts w:cs="Arial"/>
          <w:sz w:val="26"/>
          <w:szCs w:val="26"/>
          <w:lang w:eastAsia="en-US"/>
        </w:rPr>
        <w:t xml:space="preserve"> </w:t>
      </w:r>
    </w:p>
    <w:p w14:paraId="37808887" w14:textId="77777777" w:rsidR="004B4F3C" w:rsidRPr="002B0ACC" w:rsidRDefault="004B4F3C" w:rsidP="00A36831">
      <w:pPr>
        <w:spacing w:line="360" w:lineRule="auto"/>
        <w:rPr>
          <w:rFonts w:ascii="Arial" w:hAnsi="Arial" w:cs="Arial"/>
          <w:sz w:val="26"/>
          <w:szCs w:val="26"/>
          <w:lang w:val="es-ES" w:eastAsia="en-US"/>
        </w:rPr>
      </w:pPr>
    </w:p>
    <w:p w14:paraId="2986598E" w14:textId="14DC8135" w:rsidR="004B4F3C" w:rsidRPr="002B0ACC" w:rsidRDefault="00005BB4" w:rsidP="00A36831">
      <w:pPr>
        <w:pStyle w:val="corte4fondo"/>
        <w:numPr>
          <w:ilvl w:val="0"/>
          <w:numId w:val="2"/>
        </w:numPr>
        <w:ind w:left="0" w:hanging="567"/>
        <w:rPr>
          <w:rFonts w:cs="Arial"/>
          <w:sz w:val="26"/>
          <w:szCs w:val="26"/>
          <w:lang w:eastAsia="en-US"/>
        </w:rPr>
      </w:pPr>
      <w:r w:rsidRPr="002B0ACC">
        <w:rPr>
          <w:rFonts w:cs="Arial"/>
          <w:sz w:val="26"/>
          <w:szCs w:val="26"/>
          <w:lang w:val="es-ES" w:eastAsia="en-US"/>
        </w:rPr>
        <w:t>Por último, n</w:t>
      </w:r>
      <w:r w:rsidR="004B4F3C" w:rsidRPr="002B0ACC">
        <w:rPr>
          <w:rFonts w:cs="Arial"/>
          <w:sz w:val="26"/>
          <w:szCs w:val="26"/>
          <w:lang w:val="es-ES" w:eastAsia="en-US"/>
        </w:rPr>
        <w:t>o pasa desapercibido que un problema similar se planteó en el amparo directo en revisión 2900/2010</w:t>
      </w:r>
      <w:r w:rsidR="004B4F3C" w:rsidRPr="002B0ACC">
        <w:rPr>
          <w:rStyle w:val="Refdenotaalpie"/>
          <w:rFonts w:cs="Arial"/>
          <w:sz w:val="26"/>
          <w:szCs w:val="26"/>
          <w:lang w:val="es-ES"/>
        </w:rPr>
        <w:footnoteReference w:id="54"/>
      </w:r>
      <w:r w:rsidR="004B4F3C" w:rsidRPr="002B0ACC">
        <w:rPr>
          <w:rFonts w:cs="Arial"/>
          <w:sz w:val="26"/>
          <w:szCs w:val="26"/>
          <w:lang w:val="es-ES" w:eastAsia="en-US"/>
        </w:rPr>
        <w:t xml:space="preserve"> (criterio no vinculante), en el que esta Primera Sala estudió la constitucionalidad del artículo 261 del Código Civil para el Estado de Nuevo León</w:t>
      </w:r>
      <w:r w:rsidR="00A57816" w:rsidRPr="002B0ACC">
        <w:rPr>
          <w:rFonts w:cs="Arial"/>
          <w:sz w:val="26"/>
          <w:szCs w:val="26"/>
          <w:lang w:val="es-ES" w:eastAsia="en-US"/>
        </w:rPr>
        <w:t xml:space="preserve">. </w:t>
      </w:r>
      <w:r w:rsidR="004B4F3C" w:rsidRPr="002B0ACC">
        <w:rPr>
          <w:rFonts w:cs="Arial"/>
          <w:sz w:val="26"/>
          <w:szCs w:val="26"/>
          <w:lang w:val="es-ES" w:eastAsia="en-US"/>
        </w:rPr>
        <w:t xml:space="preserve">El artículo en cuestión señalaba que, ante el matrimonio declarado nulo, se aplicarían íntegramente los productos comunes derivados de la sociedad conyugal al cónyuge que hubiere actuado de buena fe, cuando el otro hubiere actuado de mala fe. </w:t>
      </w:r>
    </w:p>
    <w:p w14:paraId="22266D70" w14:textId="77777777" w:rsidR="004B4F3C" w:rsidRPr="002B0ACC" w:rsidRDefault="004B4F3C" w:rsidP="00A36831">
      <w:pPr>
        <w:pStyle w:val="Prrafodelista"/>
        <w:spacing w:line="360" w:lineRule="auto"/>
        <w:rPr>
          <w:rFonts w:ascii="Arial" w:hAnsi="Arial" w:cs="Arial"/>
          <w:sz w:val="26"/>
          <w:szCs w:val="26"/>
          <w:lang w:val="es-ES" w:eastAsia="en-US"/>
        </w:rPr>
      </w:pPr>
    </w:p>
    <w:p w14:paraId="56C75E93" w14:textId="07C72154" w:rsidR="004B4F3C" w:rsidRPr="00005BB4" w:rsidRDefault="004B4F3C" w:rsidP="004B4F3C">
      <w:pPr>
        <w:pStyle w:val="corte4fondo"/>
        <w:numPr>
          <w:ilvl w:val="0"/>
          <w:numId w:val="2"/>
        </w:numPr>
        <w:ind w:left="0" w:hanging="567"/>
        <w:rPr>
          <w:rFonts w:cs="Arial"/>
          <w:sz w:val="26"/>
          <w:szCs w:val="26"/>
          <w:lang w:eastAsia="en-US"/>
        </w:rPr>
      </w:pPr>
      <w:r w:rsidRPr="002B0ACC">
        <w:rPr>
          <w:rFonts w:cs="Arial"/>
          <w:sz w:val="26"/>
          <w:szCs w:val="26"/>
          <w:lang w:val="es-ES" w:eastAsia="en-US"/>
        </w:rPr>
        <w:t xml:space="preserve">Sin embargo, las normas analizadas en ese precedente y en el presente asunto, aunque se refieren a las consecuencias de la actuación de mala fe de uno de los cónyuges, </w:t>
      </w:r>
      <w:r w:rsidR="00664FAE" w:rsidRPr="002B0ACC">
        <w:rPr>
          <w:rFonts w:cs="Arial"/>
          <w:sz w:val="26"/>
          <w:szCs w:val="26"/>
          <w:lang w:val="es-ES" w:eastAsia="en-US"/>
        </w:rPr>
        <w:t>tienen diferentes implicaciones</w:t>
      </w:r>
      <w:r w:rsidR="00664FAE" w:rsidRPr="002B0ACC">
        <w:rPr>
          <w:rStyle w:val="Refdenotaalpie"/>
          <w:rFonts w:cs="Arial"/>
          <w:sz w:val="26"/>
          <w:szCs w:val="26"/>
          <w:lang w:val="es-ES" w:eastAsia="en-US"/>
        </w:rPr>
        <w:footnoteReference w:id="55"/>
      </w:r>
      <w:r w:rsidRPr="002B0ACC">
        <w:rPr>
          <w:rFonts w:cs="Arial"/>
          <w:sz w:val="26"/>
          <w:szCs w:val="26"/>
          <w:lang w:val="es-ES" w:eastAsia="en-US"/>
        </w:rPr>
        <w:t xml:space="preserve">. Mientras el Código Civil </w:t>
      </w:r>
      <w:r w:rsidR="006F6F5B">
        <w:rPr>
          <w:rFonts w:cs="Arial"/>
          <w:sz w:val="26"/>
          <w:szCs w:val="26"/>
          <w:lang w:val="es-ES" w:eastAsia="en-US"/>
        </w:rPr>
        <w:t xml:space="preserve">para el Estado </w:t>
      </w:r>
      <w:r w:rsidRPr="002B0ACC">
        <w:rPr>
          <w:rFonts w:cs="Arial"/>
          <w:sz w:val="26"/>
          <w:szCs w:val="26"/>
          <w:lang w:val="es-ES" w:eastAsia="en-US"/>
        </w:rPr>
        <w:t xml:space="preserve">de Nuevo León analizado en aquella resolución establecía que </w:t>
      </w:r>
      <w:r w:rsidR="00BB7008" w:rsidRPr="002B0ACC">
        <w:rPr>
          <w:rFonts w:cs="Arial"/>
          <w:sz w:val="26"/>
          <w:szCs w:val="26"/>
          <w:lang w:val="es-ES" w:eastAsia="en-US"/>
        </w:rPr>
        <w:t xml:space="preserve">el cónyuge </w:t>
      </w:r>
      <w:r w:rsidR="00BB7008" w:rsidRPr="002B0ACC">
        <w:rPr>
          <w:rFonts w:cs="Arial"/>
          <w:sz w:val="26"/>
          <w:szCs w:val="26"/>
          <w:lang w:val="es-ES" w:eastAsia="en-US"/>
        </w:rPr>
        <w:lastRenderedPageBreak/>
        <w:t>de mala fe no tendría derecho a participar en los productos repartibles de la sociedad,</w:t>
      </w:r>
      <w:r w:rsidRPr="002B0ACC">
        <w:rPr>
          <w:rStyle w:val="Refdenotaalpie"/>
          <w:rFonts w:cs="Arial"/>
          <w:sz w:val="26"/>
          <w:szCs w:val="26"/>
          <w:lang w:val="es-ES" w:eastAsia="en-US"/>
        </w:rPr>
        <w:footnoteReference w:id="56"/>
      </w:r>
      <w:r w:rsidR="00BB7008" w:rsidRPr="002B0ACC">
        <w:rPr>
          <w:rFonts w:cs="Arial"/>
          <w:sz w:val="26"/>
          <w:szCs w:val="26"/>
          <w:lang w:val="es-ES" w:eastAsia="en-US"/>
        </w:rPr>
        <w:t xml:space="preserve"> el Código Civil </w:t>
      </w:r>
      <w:r w:rsidR="00AF3C80">
        <w:rPr>
          <w:rFonts w:cs="Arial"/>
          <w:sz w:val="26"/>
          <w:szCs w:val="26"/>
          <w:lang w:val="es-ES" w:eastAsia="en-US"/>
        </w:rPr>
        <w:t xml:space="preserve">del </w:t>
      </w:r>
      <w:r w:rsidR="00BB7008" w:rsidRPr="002B0ACC">
        <w:rPr>
          <w:rFonts w:cs="Arial"/>
          <w:sz w:val="26"/>
          <w:szCs w:val="26"/>
          <w:lang w:val="es-ES" w:eastAsia="en-US"/>
        </w:rPr>
        <w:t xml:space="preserve">Estado de Jalisco niega el derecho al cónyuge de </w:t>
      </w:r>
      <w:r w:rsidR="00A57816">
        <w:rPr>
          <w:rFonts w:cs="Arial"/>
          <w:sz w:val="26"/>
          <w:szCs w:val="26"/>
          <w:lang w:val="es-ES" w:eastAsia="en-US"/>
        </w:rPr>
        <w:t>mala</w:t>
      </w:r>
      <w:r w:rsidR="00BB7008" w:rsidRPr="00005BB4">
        <w:rPr>
          <w:rFonts w:cs="Arial"/>
          <w:sz w:val="26"/>
          <w:szCs w:val="26"/>
          <w:lang w:val="es-ES" w:eastAsia="en-US"/>
        </w:rPr>
        <w:t xml:space="preserve"> fe a la totalidad de los gananciales de la sociedad</w:t>
      </w:r>
      <w:r w:rsidR="00932E10" w:rsidRPr="00005BB4">
        <w:rPr>
          <w:rFonts w:cs="Arial"/>
          <w:sz w:val="26"/>
          <w:szCs w:val="26"/>
          <w:lang w:val="es-ES" w:eastAsia="en-US"/>
        </w:rPr>
        <w:t>, lo que implica un perjuicio en su matrimonio más amplio.</w:t>
      </w:r>
    </w:p>
    <w:p w14:paraId="77D6893F" w14:textId="77777777" w:rsidR="00932E10" w:rsidRPr="002B0ACC" w:rsidRDefault="00932E10" w:rsidP="008B247D">
      <w:pPr>
        <w:pStyle w:val="Prrafodelista"/>
        <w:spacing w:line="360" w:lineRule="auto"/>
        <w:rPr>
          <w:rFonts w:ascii="Arial" w:hAnsi="Arial" w:cs="Arial"/>
          <w:sz w:val="26"/>
          <w:szCs w:val="26"/>
          <w:lang w:eastAsia="en-US"/>
        </w:rPr>
      </w:pPr>
    </w:p>
    <w:p w14:paraId="190677E3" w14:textId="021A1233" w:rsidR="004B4F3C" w:rsidRPr="002B0ACC" w:rsidRDefault="00932E10" w:rsidP="008B247D">
      <w:pPr>
        <w:pStyle w:val="corte4fondo"/>
        <w:numPr>
          <w:ilvl w:val="0"/>
          <w:numId w:val="2"/>
        </w:numPr>
        <w:ind w:left="0" w:hanging="567"/>
        <w:rPr>
          <w:rFonts w:cs="Arial"/>
          <w:sz w:val="26"/>
          <w:szCs w:val="26"/>
          <w:lang w:eastAsia="en-US"/>
        </w:rPr>
      </w:pPr>
      <w:r w:rsidRPr="002B0ACC">
        <w:rPr>
          <w:rFonts w:cs="Arial"/>
          <w:sz w:val="26"/>
          <w:szCs w:val="26"/>
          <w:lang w:eastAsia="en-US"/>
        </w:rPr>
        <w:t xml:space="preserve">Por otra parte, aun sin esta distinción, esta Primera Sala considera, como ya se expuso, que </w:t>
      </w:r>
      <w:r w:rsidRPr="002B0ACC">
        <w:rPr>
          <w:rFonts w:cs="Arial"/>
          <w:sz w:val="26"/>
          <w:szCs w:val="26"/>
          <w:lang w:val="es-ES" w:eastAsia="en-US"/>
        </w:rPr>
        <w:t xml:space="preserve">la medida no es necesaria ni proporcional para alcanzar el fin deseado y resulta, por tanto, inconstitucional. </w:t>
      </w:r>
      <w:r w:rsidR="00664FAE" w:rsidRPr="002B0ACC">
        <w:rPr>
          <w:rFonts w:cs="Arial"/>
          <w:sz w:val="26"/>
          <w:szCs w:val="26"/>
          <w:lang w:val="es-ES" w:eastAsia="en-US"/>
        </w:rPr>
        <w:t xml:space="preserve">Esto es así, a partir del </w:t>
      </w:r>
      <w:r w:rsidRPr="002B0ACC">
        <w:rPr>
          <w:rFonts w:cs="Arial"/>
          <w:sz w:val="26"/>
          <w:szCs w:val="26"/>
          <w:lang w:val="es-ES" w:eastAsia="en-US"/>
        </w:rPr>
        <w:t xml:space="preserve">desarrollo jurisprudencial </w:t>
      </w:r>
      <w:r w:rsidR="00664FAE" w:rsidRPr="002B0ACC">
        <w:rPr>
          <w:rFonts w:cs="Arial"/>
          <w:sz w:val="26"/>
          <w:szCs w:val="26"/>
          <w:lang w:val="es-ES" w:eastAsia="en-US"/>
        </w:rPr>
        <w:t>posterior</w:t>
      </w:r>
      <w:r w:rsidRPr="002B0ACC">
        <w:rPr>
          <w:rFonts w:cs="Arial"/>
          <w:sz w:val="26"/>
          <w:szCs w:val="26"/>
          <w:lang w:val="es-ES" w:eastAsia="en-US"/>
        </w:rPr>
        <w:t xml:space="preserve"> al amparo directo en revisión 2900/2010. </w:t>
      </w:r>
    </w:p>
    <w:p w14:paraId="371D5252" w14:textId="77777777" w:rsidR="00932E10" w:rsidRPr="002B0ACC" w:rsidRDefault="00932E10" w:rsidP="008B247D">
      <w:pPr>
        <w:spacing w:line="360" w:lineRule="auto"/>
        <w:rPr>
          <w:rFonts w:ascii="Arial" w:hAnsi="Arial" w:cs="Arial"/>
          <w:sz w:val="26"/>
          <w:szCs w:val="26"/>
          <w:lang w:val="es-ES" w:eastAsia="en-US"/>
        </w:rPr>
      </w:pPr>
    </w:p>
    <w:p w14:paraId="686BDB8E" w14:textId="1FA65682" w:rsidR="000A1BEE" w:rsidRPr="002B0ACC" w:rsidRDefault="00932E10" w:rsidP="008B247D">
      <w:pPr>
        <w:pStyle w:val="corte4fondo"/>
        <w:numPr>
          <w:ilvl w:val="0"/>
          <w:numId w:val="2"/>
        </w:numPr>
        <w:ind w:left="0" w:hanging="567"/>
        <w:rPr>
          <w:rFonts w:cs="Arial"/>
          <w:sz w:val="26"/>
          <w:szCs w:val="26"/>
        </w:rPr>
      </w:pPr>
      <w:r w:rsidRPr="002B0ACC">
        <w:rPr>
          <w:rFonts w:cs="Arial"/>
          <w:sz w:val="26"/>
          <w:szCs w:val="26"/>
          <w:lang w:val="es-ES" w:eastAsia="en-US"/>
        </w:rPr>
        <w:t>Por todo lo anterior, esta Primera Sala determina que el artículo 336 del Código Civil del Estado de Jalisco resulta inconstitucional, al privar de tod</w:t>
      </w:r>
      <w:r w:rsidR="009B6A2F">
        <w:rPr>
          <w:rFonts w:cs="Arial"/>
          <w:sz w:val="26"/>
          <w:szCs w:val="26"/>
          <w:lang w:val="es-ES" w:eastAsia="en-US"/>
        </w:rPr>
        <w:t>o</w:t>
      </w:r>
      <w:r w:rsidRPr="002B0ACC">
        <w:rPr>
          <w:rFonts w:cs="Arial"/>
          <w:sz w:val="26"/>
          <w:szCs w:val="26"/>
          <w:lang w:val="es-ES" w:eastAsia="en-US"/>
        </w:rPr>
        <w:t>s l</w:t>
      </w:r>
      <w:r w:rsidR="00345D5C">
        <w:rPr>
          <w:rFonts w:cs="Arial"/>
          <w:sz w:val="26"/>
          <w:szCs w:val="26"/>
          <w:lang w:val="es-ES" w:eastAsia="en-US"/>
        </w:rPr>
        <w:t>o</w:t>
      </w:r>
      <w:r w:rsidRPr="002B0ACC">
        <w:rPr>
          <w:rFonts w:cs="Arial"/>
          <w:sz w:val="26"/>
          <w:szCs w:val="26"/>
          <w:lang w:val="es-ES" w:eastAsia="en-US"/>
        </w:rPr>
        <w:t xml:space="preserve">s gananciales de la sociedad conyugal al cónyuge que actuó de mala fe. Se trata de una sanción desproporcionada, </w:t>
      </w:r>
      <w:r w:rsidR="000A1BEE" w:rsidRPr="002B0ACC">
        <w:rPr>
          <w:rFonts w:cs="Arial"/>
          <w:sz w:val="26"/>
          <w:szCs w:val="26"/>
          <w:lang w:val="es-ES" w:eastAsia="en-US"/>
        </w:rPr>
        <w:t xml:space="preserve">que permite que la disolución del matrimonio constituya una causa de empobrecimiento para quienes lo integran y priva a una persona no solo de su derecho a la propiedad, sino que podría repercutir en su posibilidad de llevar una subsistencia digna y autónoma con motivo de la declaración de nulidad del matrimonio. </w:t>
      </w:r>
    </w:p>
    <w:p w14:paraId="0A608D20" w14:textId="77777777" w:rsidR="005D1F39" w:rsidRPr="002B0ACC" w:rsidRDefault="005D1F39" w:rsidP="008B247D">
      <w:pPr>
        <w:spacing w:line="360" w:lineRule="auto"/>
        <w:rPr>
          <w:rFonts w:ascii="Arial" w:hAnsi="Arial" w:cs="Arial"/>
          <w:sz w:val="26"/>
          <w:szCs w:val="26"/>
          <w:lang w:val="es-ES" w:eastAsia="en-US"/>
        </w:rPr>
      </w:pPr>
    </w:p>
    <w:p w14:paraId="28590433" w14:textId="7AC50BC7" w:rsidR="007F0E39" w:rsidRPr="003417DD" w:rsidRDefault="005D1F39" w:rsidP="00F406EE">
      <w:pPr>
        <w:pStyle w:val="corte4fondo"/>
        <w:numPr>
          <w:ilvl w:val="0"/>
          <w:numId w:val="17"/>
        </w:numPr>
        <w:tabs>
          <w:tab w:val="left" w:pos="567"/>
        </w:tabs>
        <w:ind w:left="0" w:firstLine="0"/>
        <w:jc w:val="center"/>
        <w:rPr>
          <w:rFonts w:cs="Arial"/>
          <w:b/>
          <w:bCs/>
          <w:sz w:val="26"/>
          <w:szCs w:val="26"/>
          <w:lang w:val="es-ES" w:eastAsia="en-US"/>
        </w:rPr>
      </w:pPr>
      <w:r w:rsidRPr="003417DD">
        <w:rPr>
          <w:rFonts w:cs="Arial"/>
          <w:b/>
          <w:bCs/>
          <w:sz w:val="26"/>
          <w:szCs w:val="26"/>
          <w:lang w:val="es-ES" w:eastAsia="en-US"/>
        </w:rPr>
        <w:t>DECISIÓN</w:t>
      </w:r>
    </w:p>
    <w:p w14:paraId="5B36130E" w14:textId="77777777" w:rsidR="000F1CB6" w:rsidRPr="003417DD" w:rsidRDefault="000F1CB6" w:rsidP="000F1CB6">
      <w:pPr>
        <w:pStyle w:val="corte4fondo"/>
        <w:ind w:firstLine="0"/>
        <w:rPr>
          <w:rFonts w:cs="Arial"/>
          <w:sz w:val="26"/>
          <w:szCs w:val="26"/>
          <w:lang w:val="es-ES" w:eastAsia="en-US"/>
        </w:rPr>
      </w:pPr>
    </w:p>
    <w:p w14:paraId="4485F0DA" w14:textId="77777777" w:rsidR="00113E33" w:rsidRPr="003417DD" w:rsidRDefault="00113E33" w:rsidP="00113E33">
      <w:pPr>
        <w:spacing w:line="360" w:lineRule="auto"/>
        <w:ind w:right="-93"/>
        <w:jc w:val="both"/>
        <w:rPr>
          <w:rFonts w:ascii="Arial" w:hAnsi="Arial" w:cs="Arial"/>
          <w:sz w:val="26"/>
          <w:szCs w:val="26"/>
          <w:lang w:val="es-ES" w:eastAsia="en-US"/>
        </w:rPr>
      </w:pPr>
      <w:r w:rsidRPr="003417DD">
        <w:rPr>
          <w:rFonts w:ascii="Arial" w:hAnsi="Arial" w:cs="Arial"/>
          <w:sz w:val="26"/>
          <w:szCs w:val="26"/>
          <w:lang w:val="es-ES" w:eastAsia="en-US"/>
        </w:rPr>
        <w:t>Por todo lo expuesto y fundado, se resuelve:</w:t>
      </w:r>
    </w:p>
    <w:p w14:paraId="6175C332" w14:textId="77777777" w:rsidR="00357A4A" w:rsidRPr="003417DD" w:rsidRDefault="00357A4A" w:rsidP="00357A4A">
      <w:pPr>
        <w:spacing w:line="360" w:lineRule="auto"/>
        <w:ind w:right="-93"/>
        <w:jc w:val="both"/>
        <w:rPr>
          <w:rFonts w:ascii="Arial" w:hAnsi="Arial" w:cs="Arial"/>
          <w:sz w:val="26"/>
          <w:szCs w:val="26"/>
          <w:lang w:val="es-ES" w:eastAsia="en-US"/>
        </w:rPr>
      </w:pPr>
    </w:p>
    <w:p w14:paraId="7DCE337F" w14:textId="4F324002" w:rsidR="00113E33" w:rsidRPr="003417DD" w:rsidRDefault="00113E33" w:rsidP="00081E8F">
      <w:pPr>
        <w:spacing w:line="360" w:lineRule="auto"/>
        <w:ind w:right="-93"/>
        <w:jc w:val="both"/>
        <w:rPr>
          <w:rFonts w:ascii="Arial" w:hAnsi="Arial" w:cs="Arial"/>
          <w:sz w:val="26"/>
          <w:szCs w:val="26"/>
          <w:lang w:val="es-ES" w:eastAsia="en-US"/>
        </w:rPr>
      </w:pPr>
      <w:r w:rsidRPr="003417DD">
        <w:rPr>
          <w:rFonts w:ascii="Arial" w:hAnsi="Arial" w:cs="Arial"/>
          <w:b/>
          <w:sz w:val="26"/>
          <w:szCs w:val="26"/>
          <w:lang w:val="es-ES" w:eastAsia="en-US"/>
        </w:rPr>
        <w:t xml:space="preserve">PRIMERO. </w:t>
      </w:r>
      <w:r w:rsidR="00874650" w:rsidRPr="003417DD">
        <w:rPr>
          <w:rFonts w:ascii="Arial" w:hAnsi="Arial" w:cs="Arial"/>
          <w:sz w:val="26"/>
          <w:szCs w:val="26"/>
          <w:lang w:val="es-ES"/>
        </w:rPr>
        <w:t>En la materia de la revisión</w:t>
      </w:r>
      <w:r w:rsidR="0019085C">
        <w:rPr>
          <w:rFonts w:ascii="Arial" w:hAnsi="Arial" w:cs="Arial"/>
          <w:sz w:val="26"/>
          <w:szCs w:val="26"/>
          <w:lang w:val="es-ES"/>
        </w:rPr>
        <w:t>,</w:t>
      </w:r>
      <w:r w:rsidR="00A313B2">
        <w:rPr>
          <w:rFonts w:ascii="Arial" w:hAnsi="Arial" w:cs="Arial"/>
          <w:sz w:val="26"/>
          <w:szCs w:val="26"/>
          <w:lang w:val="es-ES"/>
        </w:rPr>
        <w:t xml:space="preserve"> competencia de esta Primera Sala de la Suprema Corte de Justicia de la Nación</w:t>
      </w:r>
      <w:r w:rsidR="00193103" w:rsidRPr="003417DD">
        <w:rPr>
          <w:rFonts w:ascii="Arial" w:hAnsi="Arial" w:cs="Arial"/>
          <w:sz w:val="26"/>
          <w:szCs w:val="26"/>
          <w:lang w:val="es-ES"/>
        </w:rPr>
        <w:t>,</w:t>
      </w:r>
      <w:r w:rsidR="00874650" w:rsidRPr="003417DD">
        <w:rPr>
          <w:rFonts w:ascii="Arial" w:hAnsi="Arial" w:cs="Arial"/>
          <w:sz w:val="26"/>
          <w:szCs w:val="26"/>
          <w:lang w:val="es-ES"/>
        </w:rPr>
        <w:t xml:space="preserve"> se confirma la sentencia recurrida. </w:t>
      </w:r>
    </w:p>
    <w:p w14:paraId="6A9A8346" w14:textId="77777777" w:rsidR="00A3423B" w:rsidRPr="003417DD" w:rsidRDefault="00A3423B" w:rsidP="00081E8F">
      <w:pPr>
        <w:spacing w:line="360" w:lineRule="auto"/>
        <w:ind w:right="-93"/>
        <w:jc w:val="both"/>
        <w:rPr>
          <w:rFonts w:ascii="Arial" w:hAnsi="Arial" w:cs="Arial"/>
          <w:sz w:val="26"/>
          <w:szCs w:val="26"/>
          <w:lang w:val="es-ES" w:eastAsia="en-US"/>
        </w:rPr>
      </w:pPr>
    </w:p>
    <w:p w14:paraId="742F5035" w14:textId="51778EA3" w:rsidR="00193103" w:rsidRPr="003417DD" w:rsidRDefault="00A3423B" w:rsidP="00081E8F">
      <w:pPr>
        <w:pStyle w:val="TEXTONORMAL"/>
        <w:ind w:firstLine="0"/>
        <w:rPr>
          <w:sz w:val="26"/>
          <w:szCs w:val="26"/>
          <w:lang w:val="es-ES"/>
        </w:rPr>
      </w:pPr>
      <w:r w:rsidRPr="003F571F">
        <w:rPr>
          <w:b/>
          <w:sz w:val="26"/>
          <w:szCs w:val="26"/>
          <w:lang w:val="es-ES" w:eastAsia="en-US"/>
        </w:rPr>
        <w:t xml:space="preserve">SEGUNDO. </w:t>
      </w:r>
      <w:r w:rsidR="00193103" w:rsidRPr="003F571F">
        <w:rPr>
          <w:sz w:val="26"/>
          <w:szCs w:val="26"/>
          <w:lang w:val="es-ES"/>
        </w:rPr>
        <w:t>La Justicia de la Unión</w:t>
      </w:r>
      <w:r w:rsidR="003914C0" w:rsidRPr="003F571F">
        <w:rPr>
          <w:sz w:val="26"/>
          <w:szCs w:val="26"/>
          <w:lang w:val="es-ES"/>
        </w:rPr>
        <w:t xml:space="preserve"> </w:t>
      </w:r>
      <w:r w:rsidR="00193103" w:rsidRPr="003F571F">
        <w:rPr>
          <w:sz w:val="26"/>
          <w:szCs w:val="26"/>
          <w:lang w:val="es-ES"/>
        </w:rPr>
        <w:t>ampara y protege a</w:t>
      </w:r>
      <w:r w:rsidR="00193103" w:rsidRPr="003F571F">
        <w:rPr>
          <w:color w:val="C00000"/>
          <w:sz w:val="26"/>
          <w:szCs w:val="26"/>
          <w:lang w:val="es-ES"/>
        </w:rPr>
        <w:t xml:space="preserve"> </w:t>
      </w:r>
      <w:r w:rsidR="00C57647">
        <w:rPr>
          <w:color w:val="C00000"/>
          <w:sz w:val="26"/>
          <w:szCs w:val="26"/>
          <w:lang w:val="es-ES"/>
        </w:rPr>
        <w:t xml:space="preserve">SLA </w:t>
      </w:r>
      <w:r w:rsidR="00193103" w:rsidRPr="003F571F">
        <w:rPr>
          <w:sz w:val="26"/>
          <w:szCs w:val="26"/>
          <w:lang w:val="es-ES"/>
        </w:rPr>
        <w:t>para los efectos precisados en la sentencia de amparo directo</w:t>
      </w:r>
      <w:r w:rsidR="00C57647">
        <w:rPr>
          <w:sz w:val="26"/>
          <w:szCs w:val="26"/>
          <w:lang w:val="es-ES"/>
        </w:rPr>
        <w:t xml:space="preserve"> 77/2022</w:t>
      </w:r>
      <w:r w:rsidR="00193103" w:rsidRPr="003F571F">
        <w:rPr>
          <w:sz w:val="26"/>
          <w:szCs w:val="26"/>
          <w:lang w:val="es-ES"/>
        </w:rPr>
        <w:t xml:space="preserve">, dictada </w:t>
      </w:r>
      <w:r w:rsidR="0035585A">
        <w:rPr>
          <w:sz w:val="26"/>
          <w:szCs w:val="26"/>
          <w:lang w:val="es-ES"/>
        </w:rPr>
        <w:t xml:space="preserve">el 7 de julio de 2022, </w:t>
      </w:r>
      <w:r w:rsidR="00193103" w:rsidRPr="003F571F">
        <w:rPr>
          <w:sz w:val="26"/>
          <w:szCs w:val="26"/>
          <w:lang w:val="es-ES"/>
        </w:rPr>
        <w:t xml:space="preserve">por el </w:t>
      </w:r>
      <w:r w:rsidR="003F571F" w:rsidRPr="003F571F">
        <w:rPr>
          <w:sz w:val="26"/>
          <w:szCs w:val="26"/>
          <w:lang w:val="es-ES"/>
        </w:rPr>
        <w:t>Tercer Tribunal Colegiado en Materia Civil del Tercer Circu</w:t>
      </w:r>
      <w:r w:rsidR="00C57647">
        <w:rPr>
          <w:sz w:val="26"/>
          <w:szCs w:val="26"/>
          <w:lang w:val="es-ES"/>
        </w:rPr>
        <w:t>ito.</w:t>
      </w:r>
    </w:p>
    <w:p w14:paraId="6FA87A86" w14:textId="77777777" w:rsidR="00113E33" w:rsidRPr="003417DD" w:rsidRDefault="00113E33" w:rsidP="00081E8F">
      <w:pPr>
        <w:spacing w:line="360" w:lineRule="auto"/>
        <w:ind w:right="-93"/>
        <w:jc w:val="both"/>
        <w:rPr>
          <w:rFonts w:ascii="Arial" w:hAnsi="Arial" w:cs="Arial"/>
          <w:sz w:val="26"/>
          <w:szCs w:val="26"/>
          <w:lang w:val="es-ES" w:eastAsia="en-US"/>
        </w:rPr>
      </w:pPr>
    </w:p>
    <w:p w14:paraId="2D716370" w14:textId="52427963" w:rsidR="005E23AB" w:rsidRPr="003417DD" w:rsidRDefault="00FA5EDE" w:rsidP="001E6E3D">
      <w:pPr>
        <w:spacing w:line="360" w:lineRule="auto"/>
        <w:ind w:right="49"/>
        <w:jc w:val="both"/>
        <w:rPr>
          <w:rFonts w:ascii="Arial" w:hAnsi="Arial" w:cs="Arial"/>
          <w:sz w:val="26"/>
          <w:szCs w:val="26"/>
          <w:lang w:val="es-ES"/>
        </w:rPr>
      </w:pPr>
      <w:r w:rsidRPr="003417DD">
        <w:rPr>
          <w:rFonts w:ascii="Arial" w:hAnsi="Arial" w:cs="Arial"/>
          <w:b/>
          <w:sz w:val="26"/>
          <w:szCs w:val="26"/>
          <w:lang w:val="es-ES"/>
        </w:rPr>
        <w:t>Notifíquese</w:t>
      </w:r>
      <w:r w:rsidR="000F1CB6" w:rsidRPr="003417DD">
        <w:rPr>
          <w:rFonts w:ascii="Arial" w:hAnsi="Arial" w:cs="Arial"/>
          <w:sz w:val="26"/>
          <w:szCs w:val="26"/>
          <w:lang w:val="es-ES"/>
        </w:rPr>
        <w:t>. E</w:t>
      </w:r>
      <w:r w:rsidRPr="003417DD">
        <w:rPr>
          <w:rFonts w:ascii="Arial" w:hAnsi="Arial" w:cs="Arial"/>
          <w:sz w:val="26"/>
          <w:szCs w:val="26"/>
          <w:lang w:val="es-ES"/>
        </w:rPr>
        <w:t>n su oportunidad, archívese el</w:t>
      </w:r>
      <w:r w:rsidR="00C26F75" w:rsidRPr="003417DD">
        <w:rPr>
          <w:rFonts w:ascii="Arial" w:hAnsi="Arial" w:cs="Arial"/>
          <w:sz w:val="26"/>
          <w:szCs w:val="26"/>
          <w:lang w:val="es-ES"/>
        </w:rPr>
        <w:t xml:space="preserve"> </w:t>
      </w:r>
      <w:r w:rsidRPr="003417DD">
        <w:rPr>
          <w:rFonts w:ascii="Arial" w:hAnsi="Arial" w:cs="Arial"/>
          <w:sz w:val="26"/>
          <w:szCs w:val="26"/>
          <w:lang w:val="es-ES"/>
        </w:rPr>
        <w:t>toca como asunto concluido.</w:t>
      </w:r>
    </w:p>
    <w:p w14:paraId="7E8A1161" w14:textId="70080D9D" w:rsidR="002B0ACC" w:rsidRPr="002B0ACC" w:rsidRDefault="002B0ACC" w:rsidP="002B0ACC">
      <w:pPr>
        <w:spacing w:before="240" w:after="240" w:line="360" w:lineRule="auto"/>
        <w:ind w:right="51"/>
        <w:jc w:val="both"/>
        <w:rPr>
          <w:rFonts w:ascii="Arial" w:hAnsi="Arial" w:cs="Arial"/>
          <w:sz w:val="26"/>
          <w:szCs w:val="26"/>
        </w:rPr>
      </w:pPr>
      <w:r w:rsidRPr="002B0ACC">
        <w:rPr>
          <w:rFonts w:ascii="Arial" w:hAnsi="Arial" w:cs="Arial"/>
          <w:sz w:val="26"/>
          <w:szCs w:val="26"/>
        </w:rPr>
        <w:t xml:space="preserve">Así lo resolvió la Primera Sala de la Suprema Corte de Justicia de la Nación, por unanimidad de cinco votos de la señora Ministra y los señores Ministros: Arturo Zaldívar Lelo de Larrea, Juan Luis González Alcántara Carrancá, </w:t>
      </w:r>
      <w:bookmarkStart w:id="1" w:name="_Hlk62481745"/>
      <w:r w:rsidRPr="002B0ACC">
        <w:rPr>
          <w:rFonts w:ascii="Arial" w:hAnsi="Arial" w:cs="Arial"/>
          <w:sz w:val="26"/>
          <w:szCs w:val="26"/>
        </w:rPr>
        <w:t>Ana Margarita Ríos Farjat</w:t>
      </w:r>
      <w:bookmarkEnd w:id="1"/>
      <w:r w:rsidRPr="002B0ACC">
        <w:rPr>
          <w:rFonts w:ascii="Arial" w:hAnsi="Arial" w:cs="Arial"/>
          <w:sz w:val="26"/>
          <w:szCs w:val="26"/>
        </w:rPr>
        <w:t>, Alfredo Gutiérrez Ortiz Mena (Ponente) y Presidente Jorge Mario Pardo Rebolledo.</w:t>
      </w:r>
    </w:p>
    <w:p w14:paraId="11C9ACDA" w14:textId="77777777" w:rsidR="002B0ACC" w:rsidRPr="002B0ACC" w:rsidRDefault="002B0ACC" w:rsidP="002B0ACC">
      <w:pPr>
        <w:spacing w:before="240" w:after="240" w:line="360" w:lineRule="auto"/>
        <w:ind w:right="51"/>
        <w:jc w:val="both"/>
        <w:rPr>
          <w:rFonts w:ascii="Arial" w:hAnsi="Arial" w:cs="Arial"/>
          <w:sz w:val="26"/>
          <w:szCs w:val="26"/>
        </w:rPr>
      </w:pPr>
      <w:r w:rsidRPr="002B0ACC">
        <w:rPr>
          <w:rFonts w:ascii="Arial" w:hAnsi="Arial" w:cs="Arial"/>
          <w:sz w:val="26"/>
          <w:szCs w:val="26"/>
        </w:rPr>
        <w:t>Firman el Ministro Presidente de la Primera Sala y el Ministro Ponente, con el Secretario de Acuerdos, que autoriza y da fe.</w:t>
      </w:r>
    </w:p>
    <w:p w14:paraId="69032676" w14:textId="77777777" w:rsidR="002B0ACC" w:rsidRPr="002B0ACC" w:rsidRDefault="002B0ACC" w:rsidP="002B0ACC">
      <w:pPr>
        <w:spacing w:before="120" w:after="120" w:line="360" w:lineRule="auto"/>
        <w:ind w:right="51"/>
        <w:jc w:val="center"/>
        <w:rPr>
          <w:rFonts w:ascii="Arial" w:hAnsi="Arial" w:cs="Arial"/>
          <w:b/>
          <w:bCs/>
          <w:sz w:val="26"/>
          <w:szCs w:val="26"/>
          <w:lang w:val="pt-BR"/>
        </w:rPr>
      </w:pPr>
      <w:r w:rsidRPr="002B0ACC">
        <w:rPr>
          <w:rFonts w:ascii="Arial" w:hAnsi="Arial" w:cs="Arial"/>
          <w:b/>
          <w:bCs/>
          <w:sz w:val="26"/>
          <w:szCs w:val="26"/>
          <w:lang w:val="pt-BR"/>
        </w:rPr>
        <w:t>PRESIDENTE DE LA PRIMERA SALA</w:t>
      </w:r>
    </w:p>
    <w:p w14:paraId="7E1A072C" w14:textId="77777777" w:rsidR="002B0ACC" w:rsidRDefault="002B0ACC" w:rsidP="002B0ACC">
      <w:pPr>
        <w:spacing w:before="120" w:after="120" w:line="360" w:lineRule="auto"/>
        <w:ind w:right="51"/>
        <w:jc w:val="center"/>
        <w:rPr>
          <w:rFonts w:ascii="Arial" w:hAnsi="Arial" w:cs="Arial"/>
          <w:b/>
          <w:bCs/>
          <w:sz w:val="26"/>
          <w:szCs w:val="26"/>
          <w:lang w:val="pt-BR"/>
        </w:rPr>
      </w:pPr>
    </w:p>
    <w:p w14:paraId="196838B7" w14:textId="77777777" w:rsidR="00525DD3" w:rsidRPr="002B0ACC" w:rsidRDefault="00525DD3" w:rsidP="002B0ACC">
      <w:pPr>
        <w:spacing w:before="120" w:after="120" w:line="360" w:lineRule="auto"/>
        <w:ind w:right="51"/>
        <w:jc w:val="center"/>
        <w:rPr>
          <w:rFonts w:ascii="Arial" w:hAnsi="Arial" w:cs="Arial"/>
          <w:b/>
          <w:bCs/>
          <w:sz w:val="26"/>
          <w:szCs w:val="26"/>
          <w:lang w:val="pt-BR"/>
        </w:rPr>
      </w:pPr>
    </w:p>
    <w:p w14:paraId="479221B0" w14:textId="77777777" w:rsidR="002B0ACC" w:rsidRPr="002B0ACC" w:rsidRDefault="002B0ACC" w:rsidP="002B0ACC">
      <w:pPr>
        <w:spacing w:before="120" w:after="120" w:line="360" w:lineRule="auto"/>
        <w:ind w:right="51"/>
        <w:jc w:val="center"/>
        <w:rPr>
          <w:rFonts w:ascii="Arial" w:hAnsi="Arial" w:cs="Arial"/>
          <w:b/>
          <w:bCs/>
          <w:sz w:val="26"/>
          <w:szCs w:val="26"/>
          <w:lang w:val="pt-BR"/>
        </w:rPr>
      </w:pPr>
    </w:p>
    <w:p w14:paraId="4C233CC5" w14:textId="77777777" w:rsidR="002B0ACC" w:rsidRPr="002B0ACC" w:rsidRDefault="002B0ACC" w:rsidP="002B0ACC">
      <w:pPr>
        <w:spacing w:before="120" w:after="120" w:line="360" w:lineRule="auto"/>
        <w:jc w:val="center"/>
        <w:rPr>
          <w:rFonts w:ascii="Arial" w:hAnsi="Arial" w:cs="Arial"/>
          <w:b/>
          <w:bCs/>
          <w:sz w:val="26"/>
          <w:szCs w:val="26"/>
          <w:lang w:val="pt-BR"/>
        </w:rPr>
      </w:pPr>
      <w:r w:rsidRPr="002B0ACC">
        <w:rPr>
          <w:rFonts w:ascii="Arial" w:hAnsi="Arial" w:cs="Arial"/>
          <w:b/>
          <w:bCs/>
          <w:sz w:val="26"/>
          <w:szCs w:val="26"/>
          <w:lang w:val="pt-BR"/>
        </w:rPr>
        <w:t xml:space="preserve">MINISTRO JORGE MARIO PARDO REBOLLEDO </w:t>
      </w:r>
    </w:p>
    <w:p w14:paraId="5465915F" w14:textId="77777777" w:rsidR="002B0ACC" w:rsidRDefault="002B0ACC" w:rsidP="002B0ACC">
      <w:pPr>
        <w:spacing w:before="120" w:after="120" w:line="360" w:lineRule="auto"/>
        <w:jc w:val="center"/>
        <w:rPr>
          <w:rFonts w:ascii="Arial" w:hAnsi="Arial" w:cs="Arial"/>
          <w:b/>
          <w:bCs/>
          <w:sz w:val="26"/>
          <w:szCs w:val="26"/>
          <w:lang w:val="pt-BR"/>
        </w:rPr>
      </w:pPr>
    </w:p>
    <w:p w14:paraId="6A5529BD" w14:textId="77777777" w:rsidR="00B7771C" w:rsidRDefault="00B7771C" w:rsidP="002B0ACC">
      <w:pPr>
        <w:spacing w:before="120" w:after="120" w:line="360" w:lineRule="auto"/>
        <w:jc w:val="center"/>
        <w:rPr>
          <w:rFonts w:ascii="Arial" w:hAnsi="Arial" w:cs="Arial"/>
          <w:b/>
          <w:bCs/>
          <w:sz w:val="26"/>
          <w:szCs w:val="26"/>
          <w:lang w:val="pt-BR"/>
        </w:rPr>
      </w:pPr>
    </w:p>
    <w:p w14:paraId="5786D5C8" w14:textId="169B994F" w:rsidR="002B0ACC" w:rsidRPr="002B0ACC" w:rsidRDefault="002B0ACC" w:rsidP="002B0ACC">
      <w:pPr>
        <w:spacing w:before="120" w:after="120" w:line="360" w:lineRule="auto"/>
        <w:jc w:val="center"/>
        <w:rPr>
          <w:rFonts w:ascii="Arial" w:hAnsi="Arial" w:cs="Arial"/>
          <w:b/>
          <w:bCs/>
          <w:sz w:val="26"/>
          <w:szCs w:val="26"/>
          <w:lang w:val="pt-BR"/>
        </w:rPr>
      </w:pPr>
      <w:r w:rsidRPr="002B0ACC">
        <w:rPr>
          <w:rFonts w:ascii="Arial" w:hAnsi="Arial" w:cs="Arial"/>
          <w:b/>
          <w:bCs/>
          <w:sz w:val="26"/>
          <w:szCs w:val="26"/>
          <w:lang w:val="pt-BR"/>
        </w:rPr>
        <w:t>PONENTE</w:t>
      </w:r>
    </w:p>
    <w:p w14:paraId="3AF06E50" w14:textId="77777777" w:rsidR="002B0ACC" w:rsidRDefault="002B0ACC" w:rsidP="002B0ACC">
      <w:pPr>
        <w:spacing w:before="120" w:after="120" w:line="360" w:lineRule="auto"/>
        <w:jc w:val="center"/>
        <w:rPr>
          <w:rFonts w:ascii="Arial" w:hAnsi="Arial" w:cs="Arial"/>
          <w:b/>
          <w:bCs/>
          <w:sz w:val="26"/>
          <w:szCs w:val="26"/>
          <w:lang w:val="pt-BR"/>
        </w:rPr>
      </w:pPr>
    </w:p>
    <w:p w14:paraId="0A147C78" w14:textId="77777777" w:rsidR="00B7771C" w:rsidRPr="002B0ACC" w:rsidRDefault="00B7771C" w:rsidP="002B0ACC">
      <w:pPr>
        <w:spacing w:before="120" w:after="120" w:line="360" w:lineRule="auto"/>
        <w:jc w:val="center"/>
        <w:rPr>
          <w:rFonts w:ascii="Arial" w:hAnsi="Arial" w:cs="Arial"/>
          <w:b/>
          <w:bCs/>
          <w:sz w:val="26"/>
          <w:szCs w:val="26"/>
          <w:lang w:val="pt-BR"/>
        </w:rPr>
      </w:pPr>
    </w:p>
    <w:p w14:paraId="34C4D5D2" w14:textId="77777777" w:rsidR="002B0ACC" w:rsidRPr="002B0ACC" w:rsidRDefault="002B0ACC" w:rsidP="002B0ACC">
      <w:pPr>
        <w:spacing w:before="120" w:after="120" w:line="360" w:lineRule="auto"/>
        <w:jc w:val="center"/>
        <w:rPr>
          <w:rFonts w:ascii="Arial" w:hAnsi="Arial" w:cs="Arial"/>
          <w:b/>
          <w:bCs/>
          <w:sz w:val="26"/>
          <w:szCs w:val="26"/>
          <w:lang w:val="pt-BR"/>
        </w:rPr>
      </w:pPr>
    </w:p>
    <w:p w14:paraId="7E4B9C32" w14:textId="77777777" w:rsidR="002B0ACC" w:rsidRPr="002B0ACC" w:rsidRDefault="002B0ACC" w:rsidP="002B0ACC">
      <w:pPr>
        <w:spacing w:before="120" w:after="120" w:line="360" w:lineRule="auto"/>
        <w:jc w:val="center"/>
        <w:rPr>
          <w:rFonts w:ascii="Arial" w:hAnsi="Arial" w:cs="Arial"/>
          <w:b/>
          <w:bCs/>
          <w:sz w:val="26"/>
          <w:szCs w:val="26"/>
          <w:lang w:val="pt-BR"/>
        </w:rPr>
      </w:pPr>
      <w:r w:rsidRPr="002B0ACC">
        <w:rPr>
          <w:rFonts w:ascii="Arial" w:hAnsi="Arial" w:cs="Arial"/>
          <w:b/>
          <w:bCs/>
          <w:sz w:val="26"/>
          <w:szCs w:val="26"/>
          <w:lang w:val="pt-BR"/>
        </w:rPr>
        <w:t>MINISTRO ALFREDO GUTIÉRREZ ORTIZ MENA</w:t>
      </w:r>
    </w:p>
    <w:p w14:paraId="3094A533" w14:textId="77777777" w:rsidR="002B0ACC" w:rsidRPr="002B0ACC" w:rsidRDefault="002B0ACC" w:rsidP="002B0ACC">
      <w:pPr>
        <w:spacing w:before="120" w:after="120" w:line="360" w:lineRule="auto"/>
        <w:jc w:val="center"/>
        <w:rPr>
          <w:rFonts w:ascii="Arial" w:hAnsi="Arial" w:cs="Arial"/>
          <w:b/>
          <w:bCs/>
          <w:sz w:val="26"/>
          <w:szCs w:val="26"/>
        </w:rPr>
      </w:pPr>
    </w:p>
    <w:p w14:paraId="519264BA" w14:textId="77777777" w:rsidR="002B0ACC" w:rsidRPr="002B0ACC" w:rsidRDefault="002B0ACC" w:rsidP="002B0ACC">
      <w:pPr>
        <w:spacing w:before="120" w:after="120" w:line="360" w:lineRule="auto"/>
        <w:jc w:val="center"/>
        <w:rPr>
          <w:rFonts w:ascii="Arial" w:hAnsi="Arial" w:cs="Arial"/>
          <w:b/>
          <w:bCs/>
          <w:sz w:val="26"/>
          <w:szCs w:val="26"/>
        </w:rPr>
      </w:pPr>
      <w:r w:rsidRPr="002B0ACC">
        <w:rPr>
          <w:rFonts w:ascii="Arial" w:hAnsi="Arial" w:cs="Arial"/>
          <w:b/>
          <w:bCs/>
          <w:sz w:val="26"/>
          <w:szCs w:val="26"/>
        </w:rPr>
        <w:t>SECRETARIO DE ACUERDOS DE LA PRIMERA SALA</w:t>
      </w:r>
      <w:bookmarkStart w:id="2" w:name="_Hlk66360737"/>
    </w:p>
    <w:p w14:paraId="782F0D2E" w14:textId="77777777" w:rsidR="002B0ACC" w:rsidRPr="002B0ACC" w:rsidRDefault="002B0ACC" w:rsidP="002B0ACC">
      <w:pPr>
        <w:spacing w:before="120" w:after="120" w:line="360" w:lineRule="auto"/>
        <w:jc w:val="center"/>
        <w:rPr>
          <w:rFonts w:ascii="Arial" w:hAnsi="Arial" w:cs="Arial"/>
          <w:b/>
          <w:bCs/>
          <w:sz w:val="26"/>
          <w:szCs w:val="26"/>
        </w:rPr>
      </w:pPr>
    </w:p>
    <w:p w14:paraId="0B0992CB" w14:textId="77777777" w:rsidR="00B7771C" w:rsidRPr="002B0ACC" w:rsidRDefault="00B7771C" w:rsidP="002B0ACC">
      <w:pPr>
        <w:spacing w:before="120" w:after="120" w:line="360" w:lineRule="auto"/>
        <w:jc w:val="center"/>
        <w:rPr>
          <w:rFonts w:ascii="Arial" w:hAnsi="Arial" w:cs="Arial"/>
          <w:b/>
          <w:bCs/>
          <w:sz w:val="26"/>
          <w:szCs w:val="26"/>
        </w:rPr>
      </w:pPr>
    </w:p>
    <w:p w14:paraId="613B75E9" w14:textId="77777777" w:rsidR="002B0ACC" w:rsidRPr="002B0ACC" w:rsidRDefault="002B0ACC" w:rsidP="002B0ACC">
      <w:pPr>
        <w:spacing w:before="120" w:after="120" w:line="360" w:lineRule="auto"/>
        <w:jc w:val="center"/>
        <w:rPr>
          <w:rFonts w:ascii="Arial" w:hAnsi="Arial" w:cs="Arial"/>
          <w:b/>
          <w:bCs/>
          <w:sz w:val="26"/>
          <w:szCs w:val="26"/>
        </w:rPr>
      </w:pPr>
    </w:p>
    <w:p w14:paraId="65402DD7" w14:textId="41276434" w:rsidR="00D00BE5" w:rsidRDefault="002B0ACC" w:rsidP="002B0ACC">
      <w:pPr>
        <w:spacing w:line="360" w:lineRule="auto"/>
        <w:ind w:right="49"/>
        <w:jc w:val="center"/>
        <w:rPr>
          <w:rFonts w:ascii="Arial" w:hAnsi="Arial" w:cs="Arial"/>
          <w:b/>
          <w:sz w:val="26"/>
          <w:szCs w:val="26"/>
        </w:rPr>
      </w:pPr>
      <w:r w:rsidRPr="002B0ACC">
        <w:rPr>
          <w:rFonts w:ascii="Arial" w:hAnsi="Arial" w:cs="Arial"/>
          <w:b/>
          <w:sz w:val="26"/>
          <w:szCs w:val="26"/>
        </w:rPr>
        <w:t>MAESTRO RAÚL MENDIOLA PIZAÑA</w:t>
      </w:r>
      <w:bookmarkEnd w:id="2"/>
    </w:p>
    <w:p w14:paraId="1AA5CAB1" w14:textId="77777777" w:rsidR="006B5A8E" w:rsidRDefault="006B5A8E" w:rsidP="002B0ACC">
      <w:pPr>
        <w:spacing w:line="360" w:lineRule="auto"/>
        <w:ind w:right="49"/>
        <w:jc w:val="center"/>
        <w:rPr>
          <w:rFonts w:ascii="Arial" w:hAnsi="Arial" w:cs="Arial"/>
          <w:b/>
          <w:sz w:val="26"/>
          <w:szCs w:val="26"/>
        </w:rPr>
      </w:pPr>
    </w:p>
    <w:p w14:paraId="62173E38" w14:textId="77777777" w:rsidR="006B5A8E" w:rsidRDefault="006B5A8E" w:rsidP="002B0ACC">
      <w:pPr>
        <w:spacing w:line="360" w:lineRule="auto"/>
        <w:ind w:right="49"/>
        <w:jc w:val="center"/>
        <w:rPr>
          <w:rFonts w:ascii="Arial" w:hAnsi="Arial" w:cs="Arial"/>
          <w:b/>
          <w:sz w:val="26"/>
          <w:szCs w:val="26"/>
        </w:rPr>
      </w:pPr>
    </w:p>
    <w:p w14:paraId="56BD29F8" w14:textId="31FFE676" w:rsidR="006B5A8E" w:rsidRPr="002B0ACC" w:rsidRDefault="006B5A8E" w:rsidP="006B5A8E">
      <w:pPr>
        <w:ind w:right="51"/>
        <w:jc w:val="both"/>
        <w:rPr>
          <w:rFonts w:ascii="Arial" w:hAnsi="Arial" w:cs="Arial"/>
          <w:sz w:val="26"/>
          <w:szCs w:val="26"/>
          <w:lang w:val="es-ES" w:eastAsia="en-US"/>
        </w:rPr>
      </w:pPr>
      <w:r w:rsidRPr="00A35E1C">
        <w:rPr>
          <w:rFonts w:ascii="Arial" w:hAnsi="Arial" w:cs="Arial"/>
          <w:sz w:val="24"/>
          <w:szCs w:val="24"/>
        </w:rPr>
        <w:t>En términos de lo previsto en los artículos 113 y 116 de la Ley General de Transparencia y Acceso a la Información Pública,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sectPr w:rsidR="006B5A8E" w:rsidRPr="002B0ACC" w:rsidSect="005F52B8">
      <w:footerReference w:type="first" r:id="rId19"/>
      <w:pgSz w:w="12240" w:h="20160" w:code="5"/>
      <w:pgMar w:top="3828" w:right="1134" w:bottom="1701" w:left="1701" w:header="156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3213" w14:textId="77777777" w:rsidR="00DD021B" w:rsidRDefault="00DD021B" w:rsidP="00FA5EDE">
      <w:r>
        <w:separator/>
      </w:r>
    </w:p>
  </w:endnote>
  <w:endnote w:type="continuationSeparator" w:id="0">
    <w:p w14:paraId="36F001D1" w14:textId="77777777" w:rsidR="00DD021B" w:rsidRDefault="00DD021B" w:rsidP="00FA5EDE">
      <w:r>
        <w:continuationSeparator/>
      </w:r>
    </w:p>
  </w:endnote>
  <w:endnote w:type="continuationNotice" w:id="1">
    <w:p w14:paraId="1C1309E0" w14:textId="77777777" w:rsidR="00DD021B" w:rsidRDefault="00DD0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668247220"/>
      <w:docPartObj>
        <w:docPartGallery w:val="Page Numbers (Bottom of Page)"/>
        <w:docPartUnique/>
      </w:docPartObj>
    </w:sdtPr>
    <w:sdtEndPr/>
    <w:sdtContent>
      <w:p w14:paraId="5057E911" w14:textId="77777777" w:rsidR="004B6F1C" w:rsidRPr="005503B9" w:rsidRDefault="004B6F1C">
        <w:pPr>
          <w:pStyle w:val="Piedepgina"/>
          <w:jc w:val="center"/>
          <w:rPr>
            <w:rFonts w:ascii="Arial" w:hAnsi="Arial" w:cs="Arial"/>
            <w:b/>
            <w:bCs/>
            <w:sz w:val="24"/>
            <w:szCs w:val="24"/>
          </w:rPr>
        </w:pPr>
      </w:p>
      <w:p w14:paraId="5795089E" w14:textId="77777777" w:rsidR="004B6F1C" w:rsidRPr="005503B9" w:rsidRDefault="004B6F1C">
        <w:pPr>
          <w:pStyle w:val="Piedepgina"/>
          <w:jc w:val="center"/>
          <w:rPr>
            <w:rFonts w:ascii="Arial" w:hAnsi="Arial" w:cs="Arial"/>
            <w:b/>
            <w:bCs/>
            <w:sz w:val="24"/>
            <w:szCs w:val="24"/>
          </w:rPr>
        </w:pPr>
      </w:p>
      <w:p w14:paraId="0B786E44" w14:textId="77777777" w:rsidR="004B6F1C" w:rsidRPr="005503B9" w:rsidRDefault="004B6F1C">
        <w:pPr>
          <w:pStyle w:val="Piedepgina"/>
          <w:jc w:val="center"/>
          <w:rPr>
            <w:rFonts w:ascii="Arial" w:hAnsi="Arial" w:cs="Arial"/>
            <w:b/>
            <w:bCs/>
            <w:sz w:val="24"/>
            <w:szCs w:val="24"/>
          </w:rPr>
        </w:pPr>
      </w:p>
      <w:p w14:paraId="262AEA84" w14:textId="77777777" w:rsidR="004B6F1C" w:rsidRPr="005503B9" w:rsidRDefault="004B6F1C">
        <w:pPr>
          <w:pStyle w:val="Piedepgina"/>
          <w:jc w:val="center"/>
          <w:rPr>
            <w:rFonts w:ascii="Arial" w:hAnsi="Arial" w:cs="Arial"/>
            <w:b/>
            <w:bCs/>
            <w:sz w:val="24"/>
            <w:szCs w:val="24"/>
          </w:rPr>
        </w:pPr>
        <w:r w:rsidRPr="005503B9">
          <w:rPr>
            <w:rFonts w:ascii="Arial" w:hAnsi="Arial" w:cs="Arial"/>
            <w:b/>
            <w:bCs/>
            <w:sz w:val="24"/>
            <w:szCs w:val="24"/>
          </w:rPr>
          <w:fldChar w:fldCharType="begin"/>
        </w:r>
        <w:r w:rsidRPr="005503B9">
          <w:rPr>
            <w:rFonts w:ascii="Arial" w:hAnsi="Arial" w:cs="Arial"/>
            <w:b/>
            <w:bCs/>
            <w:sz w:val="24"/>
            <w:szCs w:val="24"/>
          </w:rPr>
          <w:instrText>PAGE   \* MERGEFORMAT</w:instrText>
        </w:r>
        <w:r w:rsidRPr="005503B9">
          <w:rPr>
            <w:rFonts w:ascii="Arial" w:hAnsi="Arial" w:cs="Arial"/>
            <w:b/>
            <w:bCs/>
            <w:sz w:val="24"/>
            <w:szCs w:val="24"/>
          </w:rPr>
          <w:fldChar w:fldCharType="separate"/>
        </w:r>
        <w:r w:rsidRPr="005503B9">
          <w:rPr>
            <w:rFonts w:ascii="Arial" w:hAnsi="Arial" w:cs="Arial"/>
            <w:b/>
            <w:bCs/>
            <w:noProof/>
            <w:sz w:val="24"/>
            <w:szCs w:val="24"/>
            <w:lang w:val="es-ES"/>
          </w:rPr>
          <w:t>20</w:t>
        </w:r>
        <w:r w:rsidRPr="005503B9">
          <w:rPr>
            <w:rFonts w:ascii="Arial" w:hAnsi="Arial" w:cs="Arial"/>
            <w:b/>
            <w:bCs/>
            <w:sz w:val="24"/>
            <w:szCs w:val="24"/>
          </w:rPr>
          <w:fldChar w:fldCharType="end"/>
        </w:r>
      </w:p>
      <w:p w14:paraId="57738C30" w14:textId="77777777" w:rsidR="004B6F1C" w:rsidRPr="005503B9" w:rsidRDefault="004B6F1C">
        <w:pPr>
          <w:pStyle w:val="Piedepgina"/>
          <w:jc w:val="center"/>
          <w:rPr>
            <w:rFonts w:ascii="Arial" w:hAnsi="Arial" w:cs="Arial"/>
            <w:b/>
            <w:bCs/>
            <w:sz w:val="24"/>
            <w:szCs w:val="24"/>
          </w:rPr>
        </w:pPr>
      </w:p>
      <w:p w14:paraId="06D5FD29" w14:textId="77777777" w:rsidR="004B6F1C" w:rsidRPr="005503B9" w:rsidRDefault="004B6F1C">
        <w:pPr>
          <w:pStyle w:val="Piedepgina"/>
          <w:jc w:val="center"/>
          <w:rPr>
            <w:rFonts w:ascii="Arial" w:hAnsi="Arial" w:cs="Arial"/>
            <w:b/>
            <w:bCs/>
            <w:sz w:val="24"/>
            <w:szCs w:val="24"/>
          </w:rPr>
        </w:pPr>
      </w:p>
      <w:p w14:paraId="5A5DBAB3" w14:textId="77777777" w:rsidR="004B6F1C" w:rsidRPr="005503B9" w:rsidRDefault="003721BF">
        <w:pPr>
          <w:pStyle w:val="Piedepgina"/>
          <w:jc w:val="center"/>
          <w:rPr>
            <w:rFonts w:ascii="Arial" w:hAnsi="Arial" w:cs="Arial"/>
            <w:b/>
            <w:bCs/>
            <w:sz w:val="24"/>
            <w:szCs w:val="24"/>
          </w:rPr>
        </w:pPr>
      </w:p>
    </w:sdtContent>
  </w:sdt>
  <w:p w14:paraId="58D056B1" w14:textId="77777777" w:rsidR="004B6F1C" w:rsidRPr="0021607F" w:rsidRDefault="004B6F1C">
    <w:pPr>
      <w:pStyle w:val="Piedepgina"/>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7B48" w14:textId="77777777" w:rsidR="00D3607F" w:rsidRPr="0021607F" w:rsidRDefault="00D3607F" w:rsidP="00D3607F">
    <w:pPr>
      <w:pStyle w:val="Piedepgina"/>
      <w:jc w:val="center"/>
      <w:rPr>
        <w:rFonts w:ascii="Arial" w:hAnsi="Arial" w:cs="Arial"/>
        <w:sz w:val="24"/>
        <w:szCs w:val="24"/>
      </w:rPr>
    </w:pPr>
  </w:p>
  <w:p w14:paraId="0C3C4CC8" w14:textId="77777777" w:rsidR="00D3607F" w:rsidRPr="00140D8D" w:rsidRDefault="00D3607F" w:rsidP="00D3607F">
    <w:pPr>
      <w:pStyle w:val="Piedepgina"/>
      <w:jc w:val="center"/>
      <w:rPr>
        <w:rFonts w:ascii="Arial" w:hAnsi="Arial" w:cs="Arial"/>
        <w:b/>
        <w:bCs/>
        <w:sz w:val="24"/>
        <w:szCs w:val="24"/>
      </w:rPr>
    </w:pPr>
  </w:p>
  <w:p w14:paraId="005A3D0C" w14:textId="77777777" w:rsidR="00D3607F" w:rsidRPr="00140D8D" w:rsidRDefault="00D3607F" w:rsidP="00D3607F">
    <w:pPr>
      <w:pStyle w:val="Piedepgina"/>
      <w:jc w:val="center"/>
      <w:rPr>
        <w:rFonts w:ascii="Arial" w:hAnsi="Arial" w:cs="Arial"/>
        <w:b/>
        <w:bCs/>
        <w:sz w:val="24"/>
        <w:szCs w:val="24"/>
      </w:rPr>
    </w:pPr>
  </w:p>
  <w:p w14:paraId="20E4A52A" w14:textId="77777777" w:rsidR="00D3607F" w:rsidRPr="00140D8D" w:rsidRDefault="00D3607F" w:rsidP="00D3607F">
    <w:pPr>
      <w:pStyle w:val="Piedepgina"/>
      <w:jc w:val="center"/>
      <w:rPr>
        <w:rFonts w:ascii="Arial" w:hAnsi="Arial" w:cs="Arial"/>
        <w:b/>
        <w:bCs/>
        <w:sz w:val="24"/>
        <w:szCs w:val="24"/>
      </w:rPr>
    </w:pPr>
    <w:r w:rsidRPr="00140D8D">
      <w:rPr>
        <w:rFonts w:ascii="Arial" w:hAnsi="Arial" w:cs="Arial"/>
        <w:b/>
        <w:bCs/>
        <w:sz w:val="24"/>
        <w:szCs w:val="24"/>
      </w:rPr>
      <w:t>I</w:t>
    </w:r>
  </w:p>
  <w:p w14:paraId="7EA111C0" w14:textId="77777777" w:rsidR="00D3607F" w:rsidRPr="00140D8D" w:rsidRDefault="00D3607F" w:rsidP="00D3607F">
    <w:pPr>
      <w:pStyle w:val="Piedepgina"/>
      <w:jc w:val="center"/>
      <w:rPr>
        <w:rFonts w:ascii="Arial" w:hAnsi="Arial" w:cs="Arial"/>
        <w:b/>
        <w:bCs/>
        <w:sz w:val="24"/>
        <w:szCs w:val="24"/>
      </w:rPr>
    </w:pPr>
  </w:p>
  <w:p w14:paraId="0432E4A5" w14:textId="77777777" w:rsidR="00D3607F" w:rsidRPr="00140D8D" w:rsidRDefault="00D3607F" w:rsidP="00D3607F">
    <w:pPr>
      <w:pStyle w:val="Piedepgina"/>
      <w:jc w:val="center"/>
      <w:rPr>
        <w:rFonts w:ascii="Arial" w:hAnsi="Arial" w:cs="Arial"/>
        <w:b/>
        <w:bCs/>
        <w:sz w:val="24"/>
        <w:szCs w:val="24"/>
      </w:rPr>
    </w:pPr>
  </w:p>
  <w:p w14:paraId="2F7A4504" w14:textId="77777777" w:rsidR="00D3607F" w:rsidRPr="00140D8D" w:rsidRDefault="00D3607F" w:rsidP="00D3607F">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C3A2" w14:textId="77777777" w:rsidR="00D3607F" w:rsidRDefault="00D3607F" w:rsidP="00D3607F">
    <w:pPr>
      <w:pStyle w:val="Piedepgina"/>
      <w:jc w:val="center"/>
      <w:rPr>
        <w:rFonts w:ascii="Arial" w:hAnsi="Arial" w:cs="Arial"/>
        <w:sz w:val="24"/>
        <w:szCs w:val="24"/>
      </w:rPr>
    </w:pPr>
  </w:p>
  <w:p w14:paraId="542C246C" w14:textId="77777777" w:rsidR="00D3607F" w:rsidRDefault="00D3607F" w:rsidP="00D3607F">
    <w:pPr>
      <w:pStyle w:val="Piedepgina"/>
      <w:jc w:val="center"/>
      <w:rPr>
        <w:rFonts w:ascii="Arial" w:hAnsi="Arial" w:cs="Arial"/>
        <w:sz w:val="24"/>
        <w:szCs w:val="24"/>
      </w:rPr>
    </w:pPr>
  </w:p>
  <w:p w14:paraId="3C7E314E" w14:textId="77777777" w:rsidR="00D3607F" w:rsidRDefault="00D3607F" w:rsidP="00D3607F">
    <w:pPr>
      <w:pStyle w:val="Piedepgina"/>
      <w:jc w:val="center"/>
      <w:rPr>
        <w:rFonts w:ascii="Arial" w:hAnsi="Arial" w:cs="Arial"/>
        <w:sz w:val="24"/>
        <w:szCs w:val="24"/>
      </w:rPr>
    </w:pPr>
  </w:p>
  <w:p w14:paraId="503650A8" w14:textId="77777777" w:rsidR="00D3607F" w:rsidRDefault="00D3607F" w:rsidP="00D3607F">
    <w:pPr>
      <w:pStyle w:val="Piedepgina"/>
      <w:jc w:val="center"/>
      <w:rPr>
        <w:rFonts w:ascii="Arial" w:hAnsi="Arial" w:cs="Arial"/>
        <w:sz w:val="24"/>
        <w:szCs w:val="24"/>
      </w:rPr>
    </w:pPr>
  </w:p>
  <w:p w14:paraId="4EC11645" w14:textId="77777777" w:rsidR="00D3607F" w:rsidRDefault="00D3607F" w:rsidP="00D3607F">
    <w:pPr>
      <w:pStyle w:val="Piedepgina"/>
      <w:jc w:val="center"/>
      <w:rPr>
        <w:rFonts w:ascii="Arial" w:hAnsi="Arial" w:cs="Arial"/>
        <w:sz w:val="24"/>
        <w:szCs w:val="24"/>
      </w:rPr>
    </w:pPr>
  </w:p>
  <w:p w14:paraId="60803BB7" w14:textId="77777777" w:rsidR="00D3607F" w:rsidRDefault="00D3607F" w:rsidP="00D3607F">
    <w:pPr>
      <w:pStyle w:val="Piedepgina"/>
      <w:jc w:val="center"/>
      <w:rPr>
        <w:rFonts w:ascii="Arial" w:hAnsi="Arial" w:cs="Arial"/>
        <w:sz w:val="24"/>
        <w:szCs w:val="24"/>
      </w:rPr>
    </w:pPr>
  </w:p>
  <w:p w14:paraId="327FD5D7" w14:textId="77777777" w:rsidR="00D3607F" w:rsidRPr="00D3607F" w:rsidRDefault="00D3607F"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3EF1" w14:textId="77777777" w:rsidR="00DD021B" w:rsidRDefault="00DD021B" w:rsidP="00FA5EDE">
      <w:r>
        <w:separator/>
      </w:r>
    </w:p>
  </w:footnote>
  <w:footnote w:type="continuationSeparator" w:id="0">
    <w:p w14:paraId="3477EEA7" w14:textId="77777777" w:rsidR="00DD021B" w:rsidRDefault="00DD021B" w:rsidP="00FA5EDE">
      <w:r>
        <w:continuationSeparator/>
      </w:r>
    </w:p>
  </w:footnote>
  <w:footnote w:type="continuationNotice" w:id="1">
    <w:p w14:paraId="61EC39F9" w14:textId="77777777" w:rsidR="00DD021B" w:rsidRDefault="00DD021B"/>
  </w:footnote>
  <w:footnote w:id="2">
    <w:p w14:paraId="2F899107" w14:textId="782269B0" w:rsidR="00A16B1C" w:rsidRPr="00C57647" w:rsidRDefault="00A16B1C" w:rsidP="00C57647">
      <w:pPr>
        <w:pStyle w:val="Textonotapie"/>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 336.- Si la disolución de la sociedad procede de ilegitimidad del matrimonio, el consorte que hubiere obrado con mala fe no tendrá parte en los gananciales.</w:t>
      </w:r>
    </w:p>
    <w:p w14:paraId="38991BE6" w14:textId="77777777" w:rsidR="00913BDC" w:rsidRPr="00C57647" w:rsidRDefault="00913BDC" w:rsidP="00C57647">
      <w:pPr>
        <w:pStyle w:val="Textonotapie"/>
        <w:jc w:val="both"/>
        <w:rPr>
          <w:rFonts w:ascii="Arial" w:hAnsi="Arial" w:cs="Arial"/>
          <w:lang w:val="es-ES"/>
        </w:rPr>
      </w:pPr>
    </w:p>
  </w:footnote>
  <w:footnote w:id="3">
    <w:p w14:paraId="2BE595A0" w14:textId="7413DF16" w:rsidR="00444739" w:rsidRPr="00C57647" w:rsidRDefault="00444739" w:rsidP="00415BE9">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w:t>
      </w:r>
      <w:r w:rsidR="00986052" w:rsidRPr="00C57647">
        <w:rPr>
          <w:rFonts w:ascii="Arial" w:hAnsi="Arial" w:cs="Arial"/>
          <w:lang w:val="es-ES"/>
        </w:rPr>
        <w:t>A</w:t>
      </w:r>
      <w:r w:rsidR="00B86ACF" w:rsidRPr="00C57647">
        <w:rPr>
          <w:rFonts w:ascii="Arial" w:hAnsi="Arial" w:cs="Arial"/>
          <w:lang w:val="es-ES"/>
        </w:rPr>
        <w:t xml:space="preserve"> </w:t>
      </w:r>
      <w:r w:rsidR="00986052" w:rsidRPr="00C57647">
        <w:rPr>
          <w:rFonts w:ascii="Arial" w:hAnsi="Arial" w:cs="Arial"/>
          <w:lang w:val="es-ES"/>
        </w:rPr>
        <w:t>saber,</w:t>
      </w:r>
      <w:r w:rsidR="00B86ACF" w:rsidRPr="00C57647">
        <w:rPr>
          <w:rFonts w:ascii="Arial" w:hAnsi="Arial" w:cs="Arial"/>
          <w:lang w:val="es-ES"/>
        </w:rPr>
        <w:t xml:space="preserve"> el 31 de mayo de 1977, </w:t>
      </w:r>
      <w:r w:rsidR="00075E6A" w:rsidRPr="00C57647">
        <w:rPr>
          <w:rFonts w:ascii="Arial" w:hAnsi="Arial" w:cs="Arial"/>
          <w:lang w:val="es-ES"/>
        </w:rPr>
        <w:t xml:space="preserve">el </w:t>
      </w:r>
      <w:r w:rsidR="00D418FD" w:rsidRPr="00C57647">
        <w:rPr>
          <w:rFonts w:ascii="Arial" w:hAnsi="Arial" w:cs="Arial"/>
          <w:lang w:val="es-ES"/>
        </w:rPr>
        <w:t>señor</w:t>
      </w:r>
      <w:r w:rsidR="00075E6A" w:rsidRPr="00C57647">
        <w:rPr>
          <w:rFonts w:ascii="Arial" w:hAnsi="Arial" w:cs="Arial"/>
          <w:lang w:val="es-ES"/>
        </w:rPr>
        <w:t xml:space="preserve"> se encontraba casado. Foja 11</w:t>
      </w:r>
      <w:r w:rsidR="006D61AF" w:rsidRPr="00C57647">
        <w:rPr>
          <w:rFonts w:ascii="Arial" w:hAnsi="Arial" w:cs="Arial"/>
          <w:lang w:val="es-ES"/>
        </w:rPr>
        <w:t xml:space="preserve"> del expediente del</w:t>
      </w:r>
      <w:r w:rsidR="00075E6A" w:rsidRPr="00C57647">
        <w:rPr>
          <w:rFonts w:ascii="Arial" w:hAnsi="Arial" w:cs="Arial"/>
          <w:lang w:val="es-ES"/>
        </w:rPr>
        <w:t xml:space="preserve"> juicio de amparo </w:t>
      </w:r>
      <w:r w:rsidR="00986052" w:rsidRPr="00C57647">
        <w:rPr>
          <w:rFonts w:ascii="Arial" w:hAnsi="Arial" w:cs="Arial"/>
          <w:lang w:val="es-ES"/>
        </w:rPr>
        <w:t>77/2022.</w:t>
      </w:r>
    </w:p>
  </w:footnote>
  <w:footnote w:id="4">
    <w:p w14:paraId="3597A035" w14:textId="7B2454F6" w:rsidR="00331E5D" w:rsidRPr="00C57647" w:rsidRDefault="00331E5D" w:rsidP="00415BE9">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 336.- Si la disolución de la sociedad procede de ilegitimidad del matrimonio, el consorte que hubiere obrado con mala fe no tendrá parte en los gananciales.</w:t>
      </w:r>
    </w:p>
  </w:footnote>
  <w:footnote w:id="5">
    <w:p w14:paraId="01D7D7D9" w14:textId="22F1AB04" w:rsidR="00EC783D" w:rsidRPr="00C57647" w:rsidRDefault="00EC783D" w:rsidP="00415BE9">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w:t>
      </w:r>
      <w:r w:rsidR="00946DF0" w:rsidRPr="00C57647">
        <w:rPr>
          <w:rFonts w:ascii="Arial" w:hAnsi="Arial" w:cs="Arial"/>
          <w:lang w:val="es-ES"/>
        </w:rPr>
        <w:t>“</w:t>
      </w:r>
      <w:r w:rsidR="003F272C" w:rsidRPr="00C57647">
        <w:rPr>
          <w:rFonts w:ascii="Arial" w:hAnsi="Arial" w:cs="Arial"/>
          <w:lang w:val="es-ES"/>
        </w:rPr>
        <w:t>…</w:t>
      </w:r>
      <w:r w:rsidR="00F02DCF" w:rsidRPr="00C57647">
        <w:rPr>
          <w:rFonts w:ascii="Arial" w:hAnsi="Arial" w:cs="Arial"/>
          <w:lang w:val="es-ES"/>
        </w:rPr>
        <w:t xml:space="preserve">Consistente en la copia certificada del acta te matrimonio celebrado entre </w:t>
      </w:r>
      <w:r w:rsidR="003F272C" w:rsidRPr="00C57647">
        <w:rPr>
          <w:rFonts w:ascii="Arial" w:hAnsi="Arial" w:cs="Arial"/>
          <w:color w:val="FF0000"/>
          <w:lang w:val="es-ES"/>
        </w:rPr>
        <w:t>SLA</w:t>
      </w:r>
      <w:r w:rsidR="003F272C" w:rsidRPr="00C57647">
        <w:rPr>
          <w:rFonts w:ascii="Arial" w:hAnsi="Arial" w:cs="Arial"/>
          <w:lang w:val="es-ES"/>
        </w:rPr>
        <w:t xml:space="preserve"> (</w:t>
      </w:r>
      <w:r w:rsidR="00F02DCF" w:rsidRPr="00C57647">
        <w:rPr>
          <w:rFonts w:ascii="Arial" w:hAnsi="Arial" w:cs="Arial"/>
          <w:lang w:val="es-ES"/>
        </w:rPr>
        <w:t>quejoso</w:t>
      </w:r>
      <w:r w:rsidR="003F272C" w:rsidRPr="00C57647">
        <w:rPr>
          <w:rFonts w:ascii="Arial" w:hAnsi="Arial" w:cs="Arial"/>
          <w:lang w:val="es-ES"/>
        </w:rPr>
        <w:t>)</w:t>
      </w:r>
      <w:r w:rsidR="00FA794F" w:rsidRPr="00C57647">
        <w:rPr>
          <w:rFonts w:ascii="Arial" w:hAnsi="Arial" w:cs="Arial"/>
          <w:lang w:val="es-ES"/>
        </w:rPr>
        <w:t xml:space="preserve"> y</w:t>
      </w:r>
      <w:r w:rsidR="00F02DCF" w:rsidRPr="00C57647">
        <w:rPr>
          <w:rFonts w:ascii="Arial" w:hAnsi="Arial" w:cs="Arial"/>
          <w:lang w:val="es-ES"/>
        </w:rPr>
        <w:t xml:space="preserve"> </w:t>
      </w:r>
      <w:r w:rsidR="008C11EE" w:rsidRPr="00C57647">
        <w:rPr>
          <w:rFonts w:ascii="Arial" w:hAnsi="Arial" w:cs="Arial"/>
          <w:color w:val="FF0000"/>
          <w:lang w:val="es-ES"/>
        </w:rPr>
        <w:t>LLA</w:t>
      </w:r>
      <w:r w:rsidR="00FE1AF5" w:rsidRPr="00C57647">
        <w:rPr>
          <w:rFonts w:ascii="Arial" w:hAnsi="Arial" w:cs="Arial"/>
          <w:lang w:val="es-ES"/>
        </w:rPr>
        <w:t xml:space="preserve">, </w:t>
      </w:r>
      <w:r w:rsidR="00FA794F" w:rsidRPr="00C57647">
        <w:rPr>
          <w:rFonts w:ascii="Arial" w:hAnsi="Arial" w:cs="Arial"/>
          <w:lang w:val="es-ES"/>
        </w:rPr>
        <w:t xml:space="preserve">levantada por el Oficial del Registro Civil número </w:t>
      </w:r>
      <w:r w:rsidR="004561F1">
        <w:rPr>
          <w:rFonts w:ascii="Arial" w:hAnsi="Arial" w:cs="Arial"/>
          <w:color w:val="FF0000"/>
          <w:lang w:val="es-ES"/>
        </w:rPr>
        <w:t>**********</w:t>
      </w:r>
      <w:r w:rsidR="00FA794F" w:rsidRPr="00C57647">
        <w:rPr>
          <w:rFonts w:ascii="Arial" w:hAnsi="Arial" w:cs="Arial"/>
          <w:color w:val="FF0000"/>
          <w:lang w:val="es-ES"/>
        </w:rPr>
        <w:t xml:space="preserve"> </w:t>
      </w:r>
      <w:r w:rsidR="00FA794F" w:rsidRPr="00C57647">
        <w:rPr>
          <w:rFonts w:ascii="Arial" w:hAnsi="Arial" w:cs="Arial"/>
          <w:lang w:val="es-ES"/>
        </w:rPr>
        <w:t xml:space="preserve">de Guadalajara Jalisco y registrada con el número de acta </w:t>
      </w:r>
      <w:r w:rsidR="004561F1">
        <w:rPr>
          <w:rFonts w:ascii="Arial" w:hAnsi="Arial" w:cs="Arial"/>
          <w:color w:val="FF0000"/>
          <w:lang w:val="es-ES"/>
        </w:rPr>
        <w:t>**********</w:t>
      </w:r>
      <w:r w:rsidR="00FA794F" w:rsidRPr="00C57647">
        <w:rPr>
          <w:rFonts w:ascii="Arial" w:hAnsi="Arial" w:cs="Arial"/>
          <w:lang w:val="es-ES"/>
        </w:rPr>
        <w:t xml:space="preserve">, del libro </w:t>
      </w:r>
      <w:r w:rsidR="004561F1">
        <w:rPr>
          <w:rFonts w:ascii="Arial" w:hAnsi="Arial" w:cs="Arial"/>
          <w:color w:val="FF0000"/>
          <w:lang w:val="es-ES"/>
        </w:rPr>
        <w:t>**********</w:t>
      </w:r>
      <w:r w:rsidR="00FA794F" w:rsidRPr="00C57647">
        <w:rPr>
          <w:rFonts w:ascii="Arial" w:hAnsi="Arial" w:cs="Arial"/>
          <w:color w:val="FF0000"/>
          <w:lang w:val="es-ES"/>
        </w:rPr>
        <w:t>,</w:t>
      </w:r>
      <w:r w:rsidR="00FA794F" w:rsidRPr="00C57647">
        <w:rPr>
          <w:rFonts w:ascii="Arial" w:hAnsi="Arial" w:cs="Arial"/>
          <w:lang w:val="es-ES"/>
        </w:rPr>
        <w:t xml:space="preserve"> con fecha de registro 13 de marzo de </w:t>
      </w:r>
      <w:r w:rsidR="00884489" w:rsidRPr="00C57647">
        <w:rPr>
          <w:rFonts w:ascii="Arial" w:hAnsi="Arial" w:cs="Arial"/>
          <w:lang w:val="es-ES"/>
        </w:rPr>
        <w:t xml:space="preserve">1976, </w:t>
      </w:r>
      <w:r w:rsidR="00884489">
        <w:rPr>
          <w:rFonts w:ascii="Arial" w:hAnsi="Arial" w:cs="Arial"/>
          <w:lang w:val="es-ES"/>
        </w:rPr>
        <w:t xml:space="preserve"> </w:t>
      </w:r>
      <w:r w:rsidR="00D40BF5" w:rsidRPr="00C57647">
        <w:rPr>
          <w:rFonts w:ascii="Arial" w:hAnsi="Arial" w:cs="Arial"/>
          <w:lang w:val="es-ES"/>
        </w:rPr>
        <w:t>-matrimonio p</w:t>
      </w:r>
      <w:r w:rsidR="00946DF0" w:rsidRPr="00C57647">
        <w:rPr>
          <w:rFonts w:ascii="Arial" w:hAnsi="Arial" w:cs="Arial"/>
          <w:lang w:val="es-ES"/>
        </w:rPr>
        <w:t>r</w:t>
      </w:r>
      <w:r w:rsidR="00D40BF5" w:rsidRPr="00C57647">
        <w:rPr>
          <w:rFonts w:ascii="Arial" w:hAnsi="Arial" w:cs="Arial"/>
          <w:lang w:val="es-ES"/>
        </w:rPr>
        <w:t>evio al celebrado con la actora</w:t>
      </w:r>
      <w:r w:rsidR="00946DF0" w:rsidRPr="00C57647">
        <w:rPr>
          <w:rFonts w:ascii="Arial" w:hAnsi="Arial" w:cs="Arial"/>
          <w:lang w:val="es-ES"/>
        </w:rPr>
        <w:t>-.” Foja 10 y 11 del juicio de amparo directo 77/2022.</w:t>
      </w:r>
    </w:p>
  </w:footnote>
  <w:footnote w:id="6">
    <w:p w14:paraId="2D58558E" w14:textId="20B333F1" w:rsidR="000F5E40" w:rsidRPr="00C57647" w:rsidRDefault="000F5E40" w:rsidP="00C57647">
      <w:pPr>
        <w:pStyle w:val="Textonotapie"/>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Fojas 62 y vuelta de</w:t>
      </w:r>
      <w:r w:rsidR="005F043E" w:rsidRPr="00C57647">
        <w:rPr>
          <w:rFonts w:ascii="Arial" w:hAnsi="Arial" w:cs="Arial"/>
          <w:lang w:val="es-ES"/>
        </w:rPr>
        <w:t>l expediente 209/2021</w:t>
      </w:r>
      <w:r w:rsidR="00CC3D90" w:rsidRPr="00C57647">
        <w:rPr>
          <w:rFonts w:ascii="Arial" w:hAnsi="Arial" w:cs="Arial"/>
          <w:lang w:val="es-ES"/>
        </w:rPr>
        <w:t>, Octava Sala del Supremo Tribunal de Justicia del Estado de Jalisco.</w:t>
      </w:r>
    </w:p>
  </w:footnote>
  <w:footnote w:id="7">
    <w:p w14:paraId="3202242F" w14:textId="38E073D8" w:rsidR="00F351DB" w:rsidRPr="00C57647" w:rsidRDefault="00F351DB" w:rsidP="00106C92">
      <w:pPr>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w:t>
      </w:r>
      <w:r w:rsidR="0085485C" w:rsidRPr="00C57647">
        <w:rPr>
          <w:rFonts w:ascii="Arial" w:hAnsi="Arial" w:cs="Arial"/>
          <w:lang w:val="es-ES"/>
        </w:rPr>
        <w:t>Registro digital: 2007183, Instancia: Tribunales Colegiados de Circuito, Décima Época, Materias(s): Civil, Tesis: I.11o.C.59 C (10a.)</w:t>
      </w:r>
      <w:r w:rsidR="00317AC5" w:rsidRPr="00C57647">
        <w:rPr>
          <w:rFonts w:ascii="Arial" w:hAnsi="Arial" w:cs="Arial"/>
          <w:lang w:val="es-ES"/>
        </w:rPr>
        <w:t xml:space="preserve">, </w:t>
      </w:r>
      <w:r w:rsidR="0085485C" w:rsidRPr="00C57647">
        <w:rPr>
          <w:rFonts w:ascii="Arial" w:hAnsi="Arial" w:cs="Arial"/>
          <w:lang w:val="es-ES"/>
        </w:rPr>
        <w:t xml:space="preserve">Fuente: Gaceta del Semanario Judicial de la Federación. Libro 9, </w:t>
      </w:r>
      <w:r w:rsidR="00317AC5" w:rsidRPr="00C57647">
        <w:rPr>
          <w:rFonts w:ascii="Arial" w:hAnsi="Arial" w:cs="Arial"/>
          <w:lang w:val="es-ES"/>
        </w:rPr>
        <w:t>a</w:t>
      </w:r>
      <w:r w:rsidR="0085485C" w:rsidRPr="00C57647">
        <w:rPr>
          <w:rFonts w:ascii="Arial" w:hAnsi="Arial" w:cs="Arial"/>
          <w:lang w:val="es-ES"/>
        </w:rPr>
        <w:t>gosto de 2014, Tomo III, página 1843</w:t>
      </w:r>
      <w:r w:rsidR="00317AC5" w:rsidRPr="00C57647">
        <w:rPr>
          <w:rFonts w:ascii="Arial" w:hAnsi="Arial" w:cs="Arial"/>
          <w:lang w:val="es-ES"/>
        </w:rPr>
        <w:t xml:space="preserve">, </w:t>
      </w:r>
      <w:r w:rsidR="0085485C" w:rsidRPr="00C57647">
        <w:rPr>
          <w:rFonts w:ascii="Arial" w:hAnsi="Arial" w:cs="Arial"/>
          <w:lang w:val="es-ES"/>
        </w:rPr>
        <w:t>Tipo: Aislada</w:t>
      </w:r>
      <w:r w:rsidR="00317AC5" w:rsidRPr="00C57647">
        <w:rPr>
          <w:rFonts w:ascii="Arial" w:hAnsi="Arial" w:cs="Arial"/>
          <w:lang w:val="es-ES"/>
        </w:rPr>
        <w:t xml:space="preserve">. </w:t>
      </w:r>
    </w:p>
  </w:footnote>
  <w:footnote w:id="8">
    <w:p w14:paraId="1CCDF5A9" w14:textId="419EC4F4" w:rsidR="00F20DEB" w:rsidRPr="00C57647" w:rsidRDefault="00F20DEB" w:rsidP="00106C92">
      <w:pPr>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w:t>
      </w:r>
      <w:r w:rsidR="005E2F97" w:rsidRPr="00C57647">
        <w:rPr>
          <w:rFonts w:ascii="Arial" w:hAnsi="Arial" w:cs="Arial"/>
          <w:lang w:val="es-ES"/>
        </w:rPr>
        <w:t>Registro digital: 168255, Instancia: Tribunales Colegiados de Circuito</w:t>
      </w:r>
      <w:r w:rsidR="00D344C3" w:rsidRPr="00C57647">
        <w:rPr>
          <w:rFonts w:ascii="Arial" w:hAnsi="Arial" w:cs="Arial"/>
          <w:lang w:val="es-ES"/>
        </w:rPr>
        <w:t xml:space="preserve">, </w:t>
      </w:r>
      <w:r w:rsidR="005E2F97" w:rsidRPr="00C57647">
        <w:rPr>
          <w:rFonts w:ascii="Arial" w:hAnsi="Arial" w:cs="Arial"/>
          <w:lang w:val="es-ES"/>
        </w:rPr>
        <w:t>Novena Época</w:t>
      </w:r>
      <w:r w:rsidR="00D344C3" w:rsidRPr="00C57647">
        <w:rPr>
          <w:rFonts w:ascii="Arial" w:hAnsi="Arial" w:cs="Arial"/>
          <w:lang w:val="es-ES"/>
        </w:rPr>
        <w:t xml:space="preserve">, </w:t>
      </w:r>
      <w:r w:rsidR="005E2F97" w:rsidRPr="00C57647">
        <w:rPr>
          <w:rFonts w:ascii="Arial" w:hAnsi="Arial" w:cs="Arial"/>
          <w:lang w:val="es-ES"/>
        </w:rPr>
        <w:t>Materias(s): Civil</w:t>
      </w:r>
      <w:r w:rsidR="00D344C3" w:rsidRPr="00C57647">
        <w:rPr>
          <w:rFonts w:ascii="Arial" w:hAnsi="Arial" w:cs="Arial"/>
          <w:lang w:val="es-ES"/>
        </w:rPr>
        <w:t xml:space="preserve">, </w:t>
      </w:r>
      <w:r w:rsidR="005E2F97" w:rsidRPr="00C57647">
        <w:rPr>
          <w:rFonts w:ascii="Arial" w:hAnsi="Arial" w:cs="Arial"/>
          <w:lang w:val="es-ES"/>
        </w:rPr>
        <w:t>Tesis: III.2o.C.153 C</w:t>
      </w:r>
      <w:r w:rsidR="00D344C3" w:rsidRPr="00C57647">
        <w:rPr>
          <w:rFonts w:ascii="Arial" w:hAnsi="Arial" w:cs="Arial"/>
          <w:lang w:val="es-ES"/>
        </w:rPr>
        <w:t xml:space="preserve">, </w:t>
      </w:r>
      <w:r w:rsidR="005E2F97" w:rsidRPr="00C57647">
        <w:rPr>
          <w:rFonts w:ascii="Arial" w:hAnsi="Arial" w:cs="Arial"/>
          <w:lang w:val="es-ES"/>
        </w:rPr>
        <w:t xml:space="preserve">Fuente: Semanario Judicial de la Federación y su Gaceta. Tomo XXVIII, </w:t>
      </w:r>
      <w:r w:rsidR="00D344C3" w:rsidRPr="00C57647">
        <w:rPr>
          <w:rFonts w:ascii="Arial" w:hAnsi="Arial" w:cs="Arial"/>
          <w:lang w:val="es-ES"/>
        </w:rPr>
        <w:t>diciembre</w:t>
      </w:r>
      <w:r w:rsidR="005E2F97" w:rsidRPr="00C57647">
        <w:rPr>
          <w:rFonts w:ascii="Arial" w:hAnsi="Arial" w:cs="Arial"/>
          <w:lang w:val="es-ES"/>
        </w:rPr>
        <w:t xml:space="preserve"> de 2008, página 1086</w:t>
      </w:r>
      <w:r w:rsidR="00D344C3" w:rsidRPr="00C57647">
        <w:rPr>
          <w:rFonts w:ascii="Arial" w:hAnsi="Arial" w:cs="Arial"/>
          <w:lang w:val="es-ES"/>
        </w:rPr>
        <w:t xml:space="preserve">, </w:t>
      </w:r>
      <w:r w:rsidR="005E2F97" w:rsidRPr="00C57647">
        <w:rPr>
          <w:rFonts w:ascii="Arial" w:hAnsi="Arial" w:cs="Arial"/>
          <w:lang w:val="es-ES"/>
        </w:rPr>
        <w:t>Tipo: Aislada</w:t>
      </w:r>
      <w:r w:rsidR="00D344C3" w:rsidRPr="00C57647">
        <w:rPr>
          <w:rFonts w:ascii="Arial" w:hAnsi="Arial" w:cs="Arial"/>
          <w:lang w:val="es-ES"/>
        </w:rPr>
        <w:t xml:space="preserve">. </w:t>
      </w:r>
    </w:p>
  </w:footnote>
  <w:footnote w:id="9">
    <w:p w14:paraId="160493F5" w14:textId="77777777" w:rsidR="006F1F36" w:rsidRPr="00C57647" w:rsidRDefault="006F1F36" w:rsidP="00C57647">
      <w:pPr>
        <w:pStyle w:val="Textonotapie"/>
        <w:jc w:val="both"/>
        <w:rPr>
          <w:rFonts w:ascii="Arial" w:hAnsi="Arial" w:cs="Arial"/>
        </w:rPr>
      </w:pPr>
      <w:r w:rsidRPr="00C57647">
        <w:rPr>
          <w:rStyle w:val="Refdenotaalpie"/>
          <w:rFonts w:ascii="Arial" w:hAnsi="Arial" w:cs="Arial"/>
        </w:rPr>
        <w:footnoteRef/>
      </w:r>
      <w:r w:rsidRPr="00C57647">
        <w:rPr>
          <w:rFonts w:ascii="Arial" w:hAnsi="Arial" w:cs="Arial"/>
        </w:rPr>
        <w:t xml:space="preserve"> Art. 378.- Existe ineficacia en el matrimonio:</w:t>
      </w:r>
    </w:p>
    <w:p w14:paraId="48ACC950" w14:textId="77777777" w:rsidR="006F1F36" w:rsidRPr="00C57647" w:rsidRDefault="006F1F36" w:rsidP="00C57647">
      <w:pPr>
        <w:pStyle w:val="Textonotapie"/>
        <w:jc w:val="both"/>
        <w:rPr>
          <w:rFonts w:ascii="Arial" w:hAnsi="Arial" w:cs="Arial"/>
        </w:rPr>
      </w:pPr>
      <w:r w:rsidRPr="00C57647">
        <w:rPr>
          <w:rFonts w:ascii="Arial" w:hAnsi="Arial" w:cs="Arial"/>
        </w:rPr>
        <w:t>I. Cuando su celebración o permanencia va contra la naturaleza y esencia de la institución;</w:t>
      </w:r>
    </w:p>
    <w:p w14:paraId="27B3DB74" w14:textId="77777777" w:rsidR="006F1F36" w:rsidRPr="00C57647" w:rsidRDefault="006F1F36" w:rsidP="00C57647">
      <w:pPr>
        <w:pStyle w:val="Textonotapie"/>
        <w:jc w:val="both"/>
        <w:rPr>
          <w:rFonts w:ascii="Arial" w:hAnsi="Arial" w:cs="Arial"/>
        </w:rPr>
      </w:pPr>
      <w:r w:rsidRPr="00C57647">
        <w:rPr>
          <w:rFonts w:ascii="Arial" w:hAnsi="Arial" w:cs="Arial"/>
        </w:rPr>
        <w:t>II. Cuando su celebración o permanencia se da entre parientes consanguíneos, sin limitación de grado en línea recta, o hasta el segundo en la colateral, extendido éste a medios hermanos;</w:t>
      </w:r>
    </w:p>
    <w:p w14:paraId="39F6BF5E" w14:textId="77777777" w:rsidR="006F1F36" w:rsidRPr="00C57647" w:rsidRDefault="006F1F36" w:rsidP="00C57647">
      <w:pPr>
        <w:pStyle w:val="Textonotapie"/>
        <w:jc w:val="both"/>
        <w:rPr>
          <w:rFonts w:ascii="Arial" w:hAnsi="Arial" w:cs="Arial"/>
        </w:rPr>
      </w:pPr>
      <w:r w:rsidRPr="00C57647">
        <w:rPr>
          <w:rFonts w:ascii="Arial" w:hAnsi="Arial" w:cs="Arial"/>
        </w:rPr>
        <w:t>III. Por haberse celebrado entre parientes por afinidad en línea recta sin limitación de grado;</w:t>
      </w:r>
    </w:p>
    <w:p w14:paraId="4A1844E7" w14:textId="77777777" w:rsidR="006F1F36" w:rsidRPr="00C57647" w:rsidRDefault="006F1F36" w:rsidP="00C57647">
      <w:pPr>
        <w:pStyle w:val="Textonotapie"/>
        <w:jc w:val="both"/>
        <w:rPr>
          <w:rFonts w:ascii="Arial" w:hAnsi="Arial" w:cs="Arial"/>
        </w:rPr>
      </w:pPr>
      <w:r w:rsidRPr="00C57647">
        <w:rPr>
          <w:rFonts w:ascii="Arial" w:hAnsi="Arial" w:cs="Arial"/>
        </w:rPr>
        <w:t>IV. Por haberse celebrado entre parientes por adopción en línea recta sin limitación de grado; y</w:t>
      </w:r>
    </w:p>
    <w:p w14:paraId="20181DE6" w14:textId="77777777" w:rsidR="006F1F36" w:rsidRPr="00C57647" w:rsidRDefault="006F1F36" w:rsidP="00C57647">
      <w:pPr>
        <w:pStyle w:val="Textonotapie"/>
        <w:jc w:val="both"/>
        <w:rPr>
          <w:rFonts w:ascii="Arial" w:hAnsi="Arial" w:cs="Arial"/>
        </w:rPr>
      </w:pPr>
      <w:r w:rsidRPr="00C57647">
        <w:rPr>
          <w:rFonts w:ascii="Arial" w:hAnsi="Arial" w:cs="Arial"/>
        </w:rPr>
        <w:t>V. La subsistencia de matrimonio anterior de cualesquiera de los otorgantes.</w:t>
      </w:r>
    </w:p>
  </w:footnote>
  <w:footnote w:id="10">
    <w:p w14:paraId="3E0F583D" w14:textId="441FFDE3" w:rsidR="006F1F36" w:rsidRDefault="006F1F36" w:rsidP="006305AF">
      <w:pPr>
        <w:pStyle w:val="temp"/>
        <w:shd w:val="clear" w:color="auto" w:fill="FFFFFF"/>
        <w:spacing w:before="0" w:beforeAutospacing="0" w:after="0" w:afterAutospacing="0"/>
        <w:jc w:val="both"/>
        <w:rPr>
          <w:rStyle w:val="ng-star-inserted"/>
          <w:rFonts w:ascii="Arial" w:hAnsi="Arial" w:cs="Arial"/>
          <w:color w:val="212529"/>
          <w:sz w:val="20"/>
          <w:szCs w:val="20"/>
        </w:rPr>
      </w:pPr>
      <w:r w:rsidRPr="00C57647">
        <w:rPr>
          <w:rStyle w:val="Refdenotaalpie"/>
          <w:rFonts w:ascii="Arial" w:hAnsi="Arial" w:cs="Arial"/>
          <w:sz w:val="20"/>
          <w:szCs w:val="20"/>
        </w:rPr>
        <w:footnoteRef/>
      </w:r>
      <w:r w:rsidRPr="00C57647">
        <w:rPr>
          <w:rFonts w:ascii="Arial" w:hAnsi="Arial" w:cs="Arial"/>
          <w:sz w:val="20"/>
          <w:szCs w:val="20"/>
        </w:rPr>
        <w:t xml:space="preserve"> TEST DE PROPORCIONALIDAD. METODOLOGÍA PARA ANALIZAR MEDIDAS LEGISLATIVAS QUE INTERVENGAN CON UN DERECHO FUNDAMENTAL. Registro digital </w:t>
      </w:r>
      <w:r w:rsidRPr="00C57647">
        <w:rPr>
          <w:rFonts w:ascii="Arial" w:hAnsi="Arial" w:cs="Arial"/>
          <w:color w:val="212529"/>
          <w:sz w:val="20"/>
          <w:szCs w:val="20"/>
        </w:rPr>
        <w:t xml:space="preserve">2013156, Primera Sala, </w:t>
      </w:r>
      <w:r w:rsidRPr="00C57647">
        <w:rPr>
          <w:rStyle w:val="bold"/>
          <w:rFonts w:ascii="Arial" w:hAnsi="Arial" w:cs="Arial"/>
          <w:color w:val="212529"/>
          <w:sz w:val="20"/>
          <w:szCs w:val="20"/>
        </w:rPr>
        <w:t>Décima Época</w:t>
      </w:r>
      <w:r w:rsidRPr="00C57647">
        <w:rPr>
          <w:rFonts w:ascii="Arial" w:hAnsi="Arial" w:cs="Arial"/>
          <w:color w:val="212529"/>
          <w:sz w:val="20"/>
          <w:szCs w:val="20"/>
        </w:rPr>
        <w:t xml:space="preserve">, Constitucional, </w:t>
      </w:r>
      <w:r w:rsidRPr="00C57647">
        <w:rPr>
          <w:rStyle w:val="bold"/>
          <w:rFonts w:ascii="Arial" w:hAnsi="Arial" w:cs="Arial"/>
          <w:color w:val="212529"/>
          <w:sz w:val="20"/>
          <w:szCs w:val="20"/>
        </w:rPr>
        <w:t>Tesis </w:t>
      </w:r>
      <w:r w:rsidRPr="00C57647">
        <w:rPr>
          <w:rFonts w:ascii="Arial" w:hAnsi="Arial" w:cs="Arial"/>
          <w:color w:val="212529"/>
          <w:sz w:val="20"/>
          <w:szCs w:val="20"/>
        </w:rPr>
        <w:t>1a. CCLXIII/2016 (10a.),</w:t>
      </w:r>
      <w:r w:rsidRPr="00C57647">
        <w:rPr>
          <w:rStyle w:val="bold"/>
          <w:rFonts w:ascii="Arial" w:hAnsi="Arial" w:cs="Arial"/>
          <w:color w:val="212529"/>
          <w:sz w:val="20"/>
          <w:szCs w:val="20"/>
        </w:rPr>
        <w:t> </w:t>
      </w:r>
      <w:r w:rsidRPr="00C57647">
        <w:rPr>
          <w:rFonts w:ascii="Arial" w:hAnsi="Arial" w:cs="Arial"/>
          <w:color w:val="212529"/>
          <w:sz w:val="20"/>
          <w:szCs w:val="20"/>
        </w:rPr>
        <w:t xml:space="preserve">Gaceta del Semanario Judicial de la Federación, </w:t>
      </w:r>
      <w:r w:rsidRPr="00C57647">
        <w:rPr>
          <w:rStyle w:val="ng-star-inserted"/>
          <w:rFonts w:ascii="Arial" w:hAnsi="Arial" w:cs="Arial"/>
          <w:color w:val="212529"/>
          <w:sz w:val="20"/>
          <w:szCs w:val="20"/>
        </w:rPr>
        <w:t xml:space="preserve">Libro 36, </w:t>
      </w:r>
      <w:r w:rsidR="009072E2" w:rsidRPr="00C57647">
        <w:rPr>
          <w:rStyle w:val="ng-star-inserted"/>
          <w:rFonts w:ascii="Arial" w:hAnsi="Arial" w:cs="Arial"/>
          <w:color w:val="212529"/>
          <w:sz w:val="20"/>
          <w:szCs w:val="20"/>
        </w:rPr>
        <w:t>noviembre</w:t>
      </w:r>
      <w:r w:rsidRPr="00C57647">
        <w:rPr>
          <w:rStyle w:val="ng-star-inserted"/>
          <w:rFonts w:ascii="Arial" w:hAnsi="Arial" w:cs="Arial"/>
          <w:color w:val="212529"/>
          <w:sz w:val="20"/>
          <w:szCs w:val="20"/>
        </w:rPr>
        <w:t xml:space="preserve"> de 2016, Tomo II, pág. 915.</w:t>
      </w:r>
      <w:r w:rsidR="006305AF">
        <w:rPr>
          <w:rStyle w:val="ng-star-inserted"/>
          <w:rFonts w:ascii="Arial" w:hAnsi="Arial" w:cs="Arial"/>
          <w:color w:val="212529"/>
          <w:sz w:val="20"/>
          <w:szCs w:val="20"/>
        </w:rPr>
        <w:t xml:space="preserve"> </w:t>
      </w:r>
    </w:p>
    <w:p w14:paraId="1F4C1DF6" w14:textId="77777777" w:rsidR="00BC0CC6" w:rsidRPr="00C57647" w:rsidRDefault="00BC0CC6" w:rsidP="006305AF">
      <w:pPr>
        <w:pStyle w:val="temp"/>
        <w:shd w:val="clear" w:color="auto" w:fill="FFFFFF"/>
        <w:spacing w:before="0" w:beforeAutospacing="0" w:after="0" w:afterAutospacing="0"/>
        <w:jc w:val="both"/>
        <w:rPr>
          <w:rFonts w:ascii="Arial" w:hAnsi="Arial" w:cs="Arial"/>
        </w:rPr>
      </w:pPr>
    </w:p>
  </w:footnote>
  <w:footnote w:id="11">
    <w:p w14:paraId="74D24F46" w14:textId="375810BD" w:rsidR="00784310" w:rsidRPr="00C57647" w:rsidRDefault="00C65124" w:rsidP="00C57647">
      <w:pPr>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w:t>
      </w:r>
      <w:r w:rsidR="003E7785" w:rsidRPr="00C57647">
        <w:rPr>
          <w:rFonts w:ascii="Arial" w:hAnsi="Arial" w:cs="Arial"/>
          <w:lang w:val="es-ES"/>
        </w:rPr>
        <w:t>Registro digital: 2012601, Instancia: Primera Sala, Décima Época, Materias(s): Común, Tesis: 1a./J. 44/2016 (10a.), Fuente: Gaceta del Semanario Judicial de la Federación. Libro 34, septiembre de 2016, Tomo I, página 296, Tipo: Jurisprudencia.</w:t>
      </w:r>
      <w:r w:rsidR="00881AC1">
        <w:rPr>
          <w:rFonts w:ascii="Arial" w:hAnsi="Arial" w:cs="Arial"/>
          <w:lang w:val="es-ES"/>
        </w:rPr>
        <w:t xml:space="preserve"> </w:t>
      </w:r>
    </w:p>
  </w:footnote>
  <w:footnote w:id="12">
    <w:p w14:paraId="538BF1FB" w14:textId="5AD65D98" w:rsidR="003664A6" w:rsidRPr="00C57647" w:rsidRDefault="0002647D" w:rsidP="00C57647">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w:t>
      </w:r>
      <w:r w:rsidR="00F67FD4" w:rsidRPr="00C57647">
        <w:rPr>
          <w:rFonts w:ascii="Arial" w:hAnsi="Arial" w:cs="Arial"/>
          <w:lang w:val="es-ES"/>
        </w:rPr>
        <w:t>Registro digital: 2015601, Instancia: Primera Sala, Décima Época, Materias(s): Común, Tesis: 1a./J. 102/2017 (10a.), Fuente: Gaceta del Semanario Judicial de la Federación. Libro 48, noviembre de 2017, Tomo I, página 296, Tipo: Jurisprudencia.</w:t>
      </w:r>
      <w:r w:rsidR="003664A6">
        <w:rPr>
          <w:rFonts w:ascii="Arial" w:hAnsi="Arial" w:cs="Arial"/>
          <w:lang w:val="es-ES"/>
        </w:rPr>
        <w:t xml:space="preserve"> </w:t>
      </w:r>
    </w:p>
  </w:footnote>
  <w:footnote w:id="13">
    <w:p w14:paraId="7E76CF92" w14:textId="67B5F116" w:rsidR="00BC046A" w:rsidRPr="00C57647" w:rsidRDefault="00845DFB" w:rsidP="00C57647">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w:t>
      </w:r>
      <w:r w:rsidR="00722F6A" w:rsidRPr="00C57647">
        <w:rPr>
          <w:rFonts w:ascii="Arial" w:hAnsi="Arial" w:cs="Arial"/>
          <w:lang w:val="es-ES"/>
        </w:rPr>
        <w:t>Registro digital: 210783, Instancia: Tribunales Colegiados de Circuito, Octava Época, Materias(s): Común, Tesis: VI.2o. J/322, Fuente: Gaceta del Semanario Judicial de la Federación. Núm. 80, agosto de 1994, página 86, Tipo: Jurisprudencia.</w:t>
      </w:r>
      <w:r w:rsidR="006E3CC5">
        <w:rPr>
          <w:rFonts w:ascii="Arial" w:hAnsi="Arial" w:cs="Arial"/>
          <w:lang w:val="es-ES"/>
        </w:rPr>
        <w:t xml:space="preserve"> </w:t>
      </w:r>
    </w:p>
  </w:footnote>
  <w:footnote w:id="14">
    <w:p w14:paraId="6DF4CF81" w14:textId="71257EA9" w:rsidR="00EF620D" w:rsidRDefault="00EF620D" w:rsidP="00784310">
      <w:pPr>
        <w:jc w:val="both"/>
        <w:rPr>
          <w:rFonts w:ascii="Arial" w:hAnsi="Arial" w:cs="Arial"/>
        </w:rPr>
      </w:pPr>
      <w:r w:rsidRPr="00B92255">
        <w:rPr>
          <w:rStyle w:val="Refdenotaalpie"/>
          <w:rFonts w:ascii="Arial" w:hAnsi="Arial" w:cs="Arial"/>
          <w:lang w:val="es-ES"/>
        </w:rPr>
        <w:footnoteRef/>
      </w:r>
      <w:r w:rsidRPr="00B92255">
        <w:rPr>
          <w:rFonts w:ascii="Arial" w:hAnsi="Arial" w:cs="Arial"/>
          <w:lang w:val="es-ES"/>
        </w:rPr>
        <w:t xml:space="preserve"> </w:t>
      </w:r>
      <w:r w:rsidR="00B92255" w:rsidRPr="00B92255">
        <w:rPr>
          <w:rFonts w:ascii="Arial" w:hAnsi="Arial" w:cs="Arial"/>
        </w:rPr>
        <w:t xml:space="preserve">Registro digital: 2015601, Instancia: Primera Sala, Décima Época, Materias(s): Común, Tesis: 1a./J. 102/2017 (10a.), Fuente: Gaceta del Semanario Judicial de la Federación. Libro 48, noviembre de 2017, Tomo I, página 296, Tipo: Jurisprudencia. </w:t>
      </w:r>
    </w:p>
    <w:p w14:paraId="5E1BC3AF" w14:textId="77777777" w:rsidR="00784310" w:rsidRPr="00C57647" w:rsidRDefault="00784310" w:rsidP="00784310">
      <w:pPr>
        <w:jc w:val="both"/>
        <w:rPr>
          <w:rFonts w:ascii="Arial" w:hAnsi="Arial" w:cs="Arial"/>
          <w:lang w:val="es-ES"/>
        </w:rPr>
      </w:pPr>
    </w:p>
  </w:footnote>
  <w:footnote w:id="15">
    <w:p w14:paraId="218A2696" w14:textId="45C859B8" w:rsidR="00752356" w:rsidRDefault="00B4084A" w:rsidP="00C57647">
      <w:pPr>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Registro digital: 2013156, Instancia: Primera Sala, Décima Época, Materias(s): Constitucional, Tesis: 1a. CCLXIII/2016 (10a.), Fuente: Gaceta del Semanario Judicial de la Federación. Libro 36, noviembre de 2016, Tomo II, página 915, Tipo: Aislada. </w:t>
      </w:r>
    </w:p>
    <w:p w14:paraId="15DB117D" w14:textId="77777777" w:rsidR="002D664F" w:rsidRDefault="002D664F" w:rsidP="00C57647">
      <w:pPr>
        <w:jc w:val="both"/>
        <w:rPr>
          <w:rFonts w:ascii="Arial" w:hAnsi="Arial" w:cs="Arial"/>
          <w:lang w:val="es-ES"/>
        </w:rPr>
      </w:pPr>
    </w:p>
    <w:p w14:paraId="1A4C17FC" w14:textId="77777777" w:rsidR="002D664F" w:rsidRPr="00752356" w:rsidRDefault="002D664F" w:rsidP="00C57647">
      <w:pPr>
        <w:jc w:val="both"/>
        <w:rPr>
          <w:rFonts w:ascii="Arial" w:hAnsi="Arial" w:cs="Arial"/>
          <w:lang w:val="es-ES"/>
        </w:rPr>
      </w:pPr>
    </w:p>
  </w:footnote>
  <w:footnote w:id="16">
    <w:p w14:paraId="2E3C5099" w14:textId="77777777" w:rsidR="00F96D41" w:rsidRPr="00C57647" w:rsidRDefault="00F96D41" w:rsidP="00C57647">
      <w:pPr>
        <w:pStyle w:val="Textonotapie"/>
        <w:jc w:val="both"/>
        <w:rPr>
          <w:rFonts w:ascii="Arial" w:hAnsi="Arial" w:cs="Arial"/>
          <w:i/>
          <w:iCs/>
          <w:lang w:val="es-ES"/>
        </w:rPr>
      </w:pPr>
      <w:r w:rsidRPr="00C57647">
        <w:rPr>
          <w:rStyle w:val="Refdenotaalpie"/>
          <w:rFonts w:ascii="Arial" w:hAnsi="Arial" w:cs="Arial"/>
          <w:lang w:val="es-ES"/>
        </w:rPr>
        <w:footnoteRef/>
      </w:r>
      <w:r w:rsidRPr="00C57647">
        <w:rPr>
          <w:rFonts w:ascii="Arial" w:hAnsi="Arial" w:cs="Arial"/>
          <w:lang w:val="es-ES"/>
        </w:rPr>
        <w:t xml:space="preserve"> </w:t>
      </w:r>
      <w:r w:rsidRPr="00C57647">
        <w:rPr>
          <w:rFonts w:ascii="Arial" w:hAnsi="Arial" w:cs="Arial"/>
          <w:i/>
          <w:iCs/>
          <w:lang w:val="es-ES"/>
        </w:rPr>
        <w:t>“Artículo. 107. Las controversias de que habla el artículo 103 de esta Constitución, con excepción de aquellas en materia electoral, se sujetarán a los procedimientos que determine la ley reglamentaria, de acuerdo con las bases siguientes:</w:t>
      </w:r>
    </w:p>
    <w:p w14:paraId="5AECCD14" w14:textId="77777777" w:rsidR="00F96D41" w:rsidRPr="00C57647" w:rsidRDefault="00F96D41" w:rsidP="00C57647">
      <w:pPr>
        <w:pStyle w:val="Textonotapie"/>
        <w:jc w:val="both"/>
        <w:rPr>
          <w:rFonts w:ascii="Arial" w:hAnsi="Arial" w:cs="Arial"/>
          <w:i/>
          <w:lang w:val="es-ES"/>
        </w:rPr>
      </w:pPr>
      <w:r w:rsidRPr="00C57647">
        <w:rPr>
          <w:rFonts w:ascii="Arial" w:hAnsi="Arial" w:cs="Arial"/>
          <w:i/>
          <w:lang w:val="es-ES"/>
        </w:rPr>
        <w:t>[…]</w:t>
      </w:r>
    </w:p>
    <w:p w14:paraId="49846DC1" w14:textId="77777777" w:rsidR="00F96D41" w:rsidRPr="00C57647" w:rsidRDefault="00F96D41" w:rsidP="00C57647">
      <w:pPr>
        <w:pStyle w:val="Textonotapie"/>
        <w:jc w:val="both"/>
        <w:rPr>
          <w:rFonts w:ascii="Arial" w:hAnsi="Arial" w:cs="Arial"/>
          <w:i/>
          <w:lang w:val="es-ES"/>
        </w:rPr>
      </w:pPr>
      <w:r w:rsidRPr="00C57647">
        <w:rPr>
          <w:rFonts w:ascii="Arial" w:hAnsi="Arial" w:cs="Arial"/>
          <w:i/>
          <w:lang w:val="es-ES"/>
        </w:rPr>
        <w:t>IX. En materia de amparo directo procede el recurso de revisión en contra de las sentencias que resuelvan sobre la constitucionalidad de</w:t>
      </w:r>
      <w:r w:rsidRPr="00C57647">
        <w:rPr>
          <w:rFonts w:ascii="Arial" w:hAnsi="Arial" w:cs="Arial"/>
          <w:lang w:val="es-ES"/>
        </w:rPr>
        <w:t xml:space="preserve"> normas generales,</w:t>
      </w:r>
      <w:r w:rsidRPr="00C57647">
        <w:rPr>
          <w:rFonts w:ascii="Arial" w:hAnsi="Arial" w:cs="Arial"/>
          <w:i/>
          <w:lang w:val="es-ES"/>
        </w:rPr>
        <w:t xml:space="preserve"> establezcan la interpretación directa de un precepto de esta Constitución u omitan decidir sobre tales cuestiones cuando hubieren sido planteadas, siempre que fijen un criterio de importancia y trascendencia, según lo disponga la Suprema Corte de Justicia de la Nación, en cumplimiento de los acuerdos generales del Pleno. La materia del recurso se limitará a la decisión de las cuestiones propiamente constitucionales, sin poder comprender otras”. </w:t>
      </w:r>
    </w:p>
    <w:p w14:paraId="787357C2" w14:textId="77777777" w:rsidR="00F96D41" w:rsidRPr="00C57647" w:rsidRDefault="00F96D41" w:rsidP="00C57647">
      <w:pPr>
        <w:pStyle w:val="Textonotapie"/>
        <w:jc w:val="both"/>
        <w:rPr>
          <w:rFonts w:ascii="Arial" w:hAnsi="Arial" w:cs="Arial"/>
          <w:lang w:val="es-ES"/>
        </w:rPr>
      </w:pPr>
    </w:p>
  </w:footnote>
  <w:footnote w:id="17">
    <w:p w14:paraId="7BFA94B9" w14:textId="77777777" w:rsidR="00F96D41" w:rsidRPr="00C57647" w:rsidRDefault="00F96D41" w:rsidP="00911CE0">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“19. Recurso de revisión en amparo directo. Con el fin de fortalecer el rol de la Suprema Corte de Justicia de la Nación como tribunal constitucional se propone modificar la fracción IX del artículo 107 constitucional con el sentido de darle mayor discrecionalidad para conocer del recurso de revisión en amparo directo, únicamente cuando a su juicio el asunto revista un interés excepcional en materia constitucional o de derechos humanos. Asimismo, se establece la inimpugnabilidad de los autos que desechen la revisión en amparo directo, con el objeto de fortalecer el trabajo del Alto Tribunal y hacer hincapié en la excepcionalidad de los recursos.” Cámara de origen: Senadores, exposición de motivos, Ciudad de México, jueves 20 de febrero de 2020. Iniciativa del ejecutivo federal gaceta no.  LXIV/2SPO-12/104404. </w:t>
      </w:r>
    </w:p>
  </w:footnote>
  <w:footnote w:id="18">
    <w:p w14:paraId="0D2B943B" w14:textId="5A3377AC" w:rsidR="00946EA9" w:rsidRDefault="00946EA9" w:rsidP="00911CE0">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“Artículo 336.- Si la disolución de la sociedad procede de ilegitimidad del matrimonio, el consorte que hubiere obrado con mala fe no tendrá parte en los gananciales</w:t>
      </w:r>
      <w:r w:rsidR="00911CE0">
        <w:rPr>
          <w:rFonts w:ascii="Arial" w:hAnsi="Arial" w:cs="Arial"/>
          <w:lang w:val="es-ES"/>
        </w:rPr>
        <w:t>.</w:t>
      </w:r>
      <w:r w:rsidRPr="00C57647">
        <w:rPr>
          <w:rFonts w:ascii="Arial" w:hAnsi="Arial" w:cs="Arial"/>
          <w:lang w:val="es-ES"/>
        </w:rPr>
        <w:t>”</w:t>
      </w:r>
    </w:p>
    <w:p w14:paraId="52CADB48" w14:textId="77777777" w:rsidR="00911CE0" w:rsidRPr="00C57647" w:rsidRDefault="00911CE0" w:rsidP="00911CE0">
      <w:pPr>
        <w:pStyle w:val="Textonotapie"/>
        <w:spacing w:after="120"/>
        <w:jc w:val="both"/>
        <w:rPr>
          <w:rFonts w:ascii="Arial" w:hAnsi="Arial" w:cs="Arial"/>
          <w:lang w:val="es-ES"/>
        </w:rPr>
      </w:pPr>
    </w:p>
  </w:footnote>
  <w:footnote w:id="19">
    <w:p w14:paraId="5854DB26" w14:textId="78A94427" w:rsidR="007F4C67" w:rsidRPr="00C57647" w:rsidRDefault="007F4C67" w:rsidP="00C57647">
      <w:pPr>
        <w:pStyle w:val="Textonotapie"/>
        <w:jc w:val="both"/>
        <w:rPr>
          <w:rFonts w:ascii="Arial" w:hAnsi="Arial" w:cs="Arial"/>
        </w:rPr>
      </w:pPr>
      <w:r w:rsidRPr="00C57647">
        <w:rPr>
          <w:rStyle w:val="Refdenotaalpie"/>
          <w:rFonts w:ascii="Arial" w:hAnsi="Arial" w:cs="Arial"/>
        </w:rPr>
        <w:footnoteRef/>
      </w:r>
      <w:r w:rsidRPr="00C57647">
        <w:rPr>
          <w:rFonts w:ascii="Arial" w:hAnsi="Arial" w:cs="Arial"/>
        </w:rPr>
        <w:t xml:space="preserve"> </w:t>
      </w:r>
      <w:r w:rsidR="00321267" w:rsidRPr="00C57647">
        <w:rPr>
          <w:rFonts w:ascii="Arial" w:hAnsi="Arial" w:cs="Arial"/>
        </w:rPr>
        <w:t xml:space="preserve">CONCEPTOS DE VIOLACIÓN. PARA QUE SE ESTUDIEN, BASTA CON EXPRESAR CLARAMENTE EN LA DEMANDA DE GARANTÍAS LA CAUSA DE PEDIR. </w:t>
      </w:r>
      <w:r w:rsidR="00473BF6" w:rsidRPr="00C57647">
        <w:rPr>
          <w:rFonts w:ascii="Arial" w:hAnsi="Arial" w:cs="Arial"/>
        </w:rPr>
        <w:t>Registro digital 191384, Pleno</w:t>
      </w:r>
      <w:r w:rsidR="00E96456" w:rsidRPr="00C57647">
        <w:rPr>
          <w:rFonts w:ascii="Arial" w:hAnsi="Arial" w:cs="Arial"/>
        </w:rPr>
        <w:t xml:space="preserve">, </w:t>
      </w:r>
      <w:r w:rsidR="00473BF6" w:rsidRPr="00C57647">
        <w:rPr>
          <w:rFonts w:ascii="Arial" w:hAnsi="Arial" w:cs="Arial"/>
        </w:rPr>
        <w:t>Novena Época</w:t>
      </w:r>
      <w:r w:rsidR="00E96456" w:rsidRPr="00C57647">
        <w:rPr>
          <w:rFonts w:ascii="Arial" w:hAnsi="Arial" w:cs="Arial"/>
        </w:rPr>
        <w:t>, m</w:t>
      </w:r>
      <w:r w:rsidR="00473BF6" w:rsidRPr="00C57647">
        <w:rPr>
          <w:rFonts w:ascii="Arial" w:hAnsi="Arial" w:cs="Arial"/>
        </w:rPr>
        <w:t>ateria</w:t>
      </w:r>
      <w:r w:rsidR="00E96456" w:rsidRPr="00C57647">
        <w:rPr>
          <w:rFonts w:ascii="Arial" w:hAnsi="Arial" w:cs="Arial"/>
        </w:rPr>
        <w:t xml:space="preserve"> c</w:t>
      </w:r>
      <w:r w:rsidR="00473BF6" w:rsidRPr="00C57647">
        <w:rPr>
          <w:rFonts w:ascii="Arial" w:hAnsi="Arial" w:cs="Arial"/>
        </w:rPr>
        <w:t>omún</w:t>
      </w:r>
      <w:r w:rsidR="00E96456" w:rsidRPr="00C57647">
        <w:rPr>
          <w:rFonts w:ascii="Arial" w:hAnsi="Arial" w:cs="Arial"/>
        </w:rPr>
        <w:t xml:space="preserve">, </w:t>
      </w:r>
      <w:r w:rsidR="00473BF6" w:rsidRPr="00C57647">
        <w:rPr>
          <w:rFonts w:ascii="Arial" w:hAnsi="Arial" w:cs="Arial"/>
        </w:rPr>
        <w:t>Tesis P./J. 68/2000</w:t>
      </w:r>
      <w:r w:rsidR="00E96456" w:rsidRPr="00C57647">
        <w:rPr>
          <w:rFonts w:ascii="Arial" w:hAnsi="Arial" w:cs="Arial"/>
        </w:rPr>
        <w:t xml:space="preserve">, </w:t>
      </w:r>
      <w:r w:rsidR="00473BF6" w:rsidRPr="00C57647">
        <w:rPr>
          <w:rFonts w:ascii="Arial" w:hAnsi="Arial" w:cs="Arial"/>
        </w:rPr>
        <w:t>Semanario Judicial de la Federación y su Gaceta</w:t>
      </w:r>
      <w:r w:rsidR="00E96456" w:rsidRPr="00C57647">
        <w:rPr>
          <w:rFonts w:ascii="Arial" w:hAnsi="Arial" w:cs="Arial"/>
        </w:rPr>
        <w:t xml:space="preserve">, </w:t>
      </w:r>
      <w:r w:rsidR="00473BF6" w:rsidRPr="00C57647">
        <w:rPr>
          <w:rFonts w:ascii="Arial" w:hAnsi="Arial" w:cs="Arial"/>
        </w:rPr>
        <w:t xml:space="preserve">Tomo XII, </w:t>
      </w:r>
      <w:r w:rsidR="002B5D4F">
        <w:rPr>
          <w:rFonts w:ascii="Arial" w:hAnsi="Arial" w:cs="Arial"/>
        </w:rPr>
        <w:t>a</w:t>
      </w:r>
      <w:r w:rsidR="00473BF6" w:rsidRPr="00C57647">
        <w:rPr>
          <w:rFonts w:ascii="Arial" w:hAnsi="Arial" w:cs="Arial"/>
        </w:rPr>
        <w:t>gosto de 2000, pág</w:t>
      </w:r>
      <w:r w:rsidR="00E96456" w:rsidRPr="00C57647">
        <w:rPr>
          <w:rFonts w:ascii="Arial" w:hAnsi="Arial" w:cs="Arial"/>
        </w:rPr>
        <w:t>.</w:t>
      </w:r>
      <w:r w:rsidR="00473BF6" w:rsidRPr="00C57647">
        <w:rPr>
          <w:rFonts w:ascii="Arial" w:hAnsi="Arial" w:cs="Arial"/>
        </w:rPr>
        <w:t xml:space="preserve"> 38</w:t>
      </w:r>
      <w:r w:rsidR="00E96456" w:rsidRPr="00C57647">
        <w:rPr>
          <w:rFonts w:ascii="Arial" w:hAnsi="Arial" w:cs="Arial"/>
        </w:rPr>
        <w:t>,</w:t>
      </w:r>
      <w:r w:rsidR="00473BF6" w:rsidRPr="00C57647">
        <w:rPr>
          <w:rFonts w:ascii="Arial" w:hAnsi="Arial" w:cs="Arial"/>
        </w:rPr>
        <w:t xml:space="preserve"> Jurisprudenci</w:t>
      </w:r>
      <w:r w:rsidR="00E96456" w:rsidRPr="00C57647">
        <w:rPr>
          <w:rFonts w:ascii="Arial" w:hAnsi="Arial" w:cs="Arial"/>
        </w:rPr>
        <w:t>a.</w:t>
      </w:r>
    </w:p>
  </w:footnote>
  <w:footnote w:id="20">
    <w:p w14:paraId="360C4ABC" w14:textId="12CD0ED0" w:rsidR="00874380" w:rsidRPr="00C57647" w:rsidRDefault="00874380" w:rsidP="00874380">
      <w:pPr>
        <w:jc w:val="both"/>
        <w:rPr>
          <w:rFonts w:ascii="Arial" w:eastAsiaTheme="minorHAnsi" w:hAnsi="Arial" w:cs="Arial"/>
          <w:lang w:val="es-ES" w:eastAsia="en-US"/>
        </w:rPr>
      </w:pPr>
      <w:r w:rsidRPr="00C57647">
        <w:rPr>
          <w:rStyle w:val="Refdenotaalpie"/>
          <w:rFonts w:ascii="Arial" w:hAnsi="Arial" w:cs="Arial"/>
          <w:lang w:val="es-ES"/>
        </w:rPr>
        <w:footnoteRef/>
      </w:r>
      <w:r w:rsidRPr="00C57647">
        <w:rPr>
          <w:rFonts w:ascii="Arial" w:hAnsi="Arial" w:cs="Arial"/>
          <w:lang w:val="es-ES"/>
        </w:rPr>
        <w:t xml:space="preserve"> AMPARO DIRECTO CONTRA LEYES. NO OPERA EL CONSENTIMIENTO TÁCITO CUANDO SE RECLAMA UNA NORMA APLICADA EN PERJUICIO DEL GOBERNADO, A PESAR DE TRATARSE DEL SEGUNDO O ULTERIOR ACTO DE APLICACIÓN.</w:t>
      </w:r>
      <w:r w:rsidRPr="00C57647">
        <w:rPr>
          <w:rFonts w:ascii="Arial" w:hAnsi="Arial" w:cs="Arial"/>
        </w:rPr>
        <w:t xml:space="preserve"> </w:t>
      </w:r>
      <w:r w:rsidRPr="00C57647">
        <w:rPr>
          <w:rFonts w:ascii="Arial" w:hAnsi="Arial" w:cs="Arial"/>
          <w:lang w:val="es-ES"/>
        </w:rPr>
        <w:t xml:space="preserve">Registro digital 2002703, Pleno, Décima Época, materia común, tesis P./J. 1/2013 (10a.), Semanario Judicial de la Federación y su Gaceta, Libro XVII, </w:t>
      </w:r>
      <w:r w:rsidR="00A338E6" w:rsidRPr="00C57647">
        <w:rPr>
          <w:rFonts w:ascii="Arial" w:hAnsi="Arial" w:cs="Arial"/>
          <w:lang w:val="es-ES"/>
        </w:rPr>
        <w:t>febrero</w:t>
      </w:r>
      <w:r w:rsidRPr="00C57647">
        <w:rPr>
          <w:rFonts w:ascii="Arial" w:hAnsi="Arial" w:cs="Arial"/>
          <w:lang w:val="es-ES"/>
        </w:rPr>
        <w:t xml:space="preserve"> de 2013, Tomo 1, pág. 5, Jurisprudencia.</w:t>
      </w:r>
      <w:r w:rsidR="008116CA">
        <w:rPr>
          <w:rFonts w:ascii="Arial" w:hAnsi="Arial" w:cs="Arial"/>
          <w:lang w:val="es-ES"/>
        </w:rPr>
        <w:t xml:space="preserve"> y</w:t>
      </w:r>
      <w:r w:rsidRPr="00C57647">
        <w:rPr>
          <w:rFonts w:ascii="Arial" w:hAnsi="Arial" w:cs="Arial"/>
          <w:lang w:val="es-ES"/>
        </w:rPr>
        <w:t xml:space="preserve"> </w:t>
      </w:r>
      <w:r w:rsidRPr="00C57647">
        <w:rPr>
          <w:rFonts w:ascii="Arial" w:eastAsiaTheme="minorHAnsi" w:hAnsi="Arial" w:cs="Arial"/>
          <w:lang w:val="es-ES" w:eastAsia="en-US"/>
        </w:rPr>
        <w:t xml:space="preserve">AMPARO DIRECTO. SON INOPERANTES LOS CONCEPTOS DE VIOLACIÓN QUE PLANTEAN LA INCONSTITUCIONALIDAD DE UNA LEY QUE PUDO IMPUGNARSE EN UN JUICIO DE AMPARO ANTERIOR PROMOVIDO POR EL MISMO QUEJOSO, Y QUE DERIVAN DE LA MISMA SECUELA PROCESAL. Registro digital 2002704, Pleno, Décima Época, materia Común, tesis P./J. 2/2013 (10a.), Semanario Judicial de la Federación y su Gaceta. Libro XVII, </w:t>
      </w:r>
      <w:r w:rsidR="00A338E6" w:rsidRPr="00C57647">
        <w:rPr>
          <w:rFonts w:ascii="Arial" w:eastAsiaTheme="minorHAnsi" w:hAnsi="Arial" w:cs="Arial"/>
          <w:lang w:val="es-ES" w:eastAsia="en-US"/>
        </w:rPr>
        <w:t>febrero</w:t>
      </w:r>
      <w:r w:rsidRPr="00C57647">
        <w:rPr>
          <w:rFonts w:ascii="Arial" w:eastAsiaTheme="minorHAnsi" w:hAnsi="Arial" w:cs="Arial"/>
          <w:lang w:val="es-ES" w:eastAsia="en-US"/>
        </w:rPr>
        <w:t xml:space="preserve"> de 2013, Tomo 1, pág. 6, Jurisprudencia. </w:t>
      </w:r>
    </w:p>
    <w:p w14:paraId="109BE0F2" w14:textId="77777777" w:rsidR="00874380" w:rsidRPr="00C57647" w:rsidRDefault="00874380" w:rsidP="00874380">
      <w:pPr>
        <w:pStyle w:val="Textonotapie"/>
        <w:jc w:val="both"/>
        <w:rPr>
          <w:rFonts w:ascii="Arial" w:hAnsi="Arial" w:cs="Arial"/>
        </w:rPr>
      </w:pPr>
    </w:p>
  </w:footnote>
  <w:footnote w:id="21">
    <w:p w14:paraId="39AD720E" w14:textId="77777777" w:rsidR="004E0094" w:rsidRPr="00C57647" w:rsidRDefault="004E0094" w:rsidP="00D7574E">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Artículo 268. </w:t>
      </w:r>
    </w:p>
  </w:footnote>
  <w:footnote w:id="22">
    <w:p w14:paraId="4DFD5E33" w14:textId="77777777" w:rsidR="004E0094" w:rsidRPr="00C57647" w:rsidRDefault="004E0094" w:rsidP="00D7574E">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Artículo 378.</w:t>
      </w:r>
    </w:p>
  </w:footnote>
  <w:footnote w:id="23">
    <w:p w14:paraId="0C139F93" w14:textId="5853D589" w:rsidR="004E0094" w:rsidRPr="00C57647" w:rsidRDefault="004E0094" w:rsidP="00D7574E">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Amparo directo en revisión 3356/201</w:t>
      </w:r>
      <w:r w:rsidR="002A4977">
        <w:rPr>
          <w:rFonts w:ascii="Arial" w:hAnsi="Arial" w:cs="Arial"/>
          <w:lang w:val="es-ES"/>
        </w:rPr>
        <w:t>2</w:t>
      </w:r>
      <w:r w:rsidRPr="00C57647">
        <w:rPr>
          <w:rFonts w:ascii="Arial" w:hAnsi="Arial" w:cs="Arial"/>
          <w:lang w:val="es-ES"/>
        </w:rPr>
        <w:t>, resuelto el 6 de febrero de 2013.</w:t>
      </w:r>
    </w:p>
  </w:footnote>
  <w:footnote w:id="24">
    <w:p w14:paraId="67DD8418" w14:textId="77777777" w:rsidR="004E0094" w:rsidRPr="00C57647" w:rsidRDefault="004E0094" w:rsidP="00D7574E">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Artículo 379.</w:t>
      </w:r>
    </w:p>
  </w:footnote>
  <w:footnote w:id="25">
    <w:p w14:paraId="382187AD" w14:textId="77777777" w:rsidR="004E0094" w:rsidRPr="00C57647" w:rsidRDefault="004E0094" w:rsidP="00D7574E">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Artículo 380.</w:t>
      </w:r>
    </w:p>
  </w:footnote>
  <w:footnote w:id="26">
    <w:p w14:paraId="795ED475" w14:textId="77777777" w:rsidR="004E0094" w:rsidRPr="00C57647" w:rsidRDefault="004E0094" w:rsidP="00385D08">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Contradicción de tesis 389/2011, sentencia del 23 de noviembre de 2011. Mayoría de cuatro votos en cuanto a la competencia de la ministra Olga Sánchez Cordero de García Villegas y los ministros Jorge Mario Pardo Rebolledo, Guillermo I. Ortiz Mayagoitia, y (Presidente y Ponente) Arturo Zaldívar Lelo de Larrea, en contra del emitido por el Ministro José Ramón Cossío Díaz y por unanimidad de votos respecto al fondo del asunto.</w:t>
      </w:r>
    </w:p>
  </w:footnote>
  <w:footnote w:id="27">
    <w:p w14:paraId="70898C02" w14:textId="49F54B3C" w:rsidR="001F4ECE" w:rsidRPr="00C57647" w:rsidRDefault="001F4ECE" w:rsidP="00385D08">
      <w:pPr>
        <w:pStyle w:val="Textonotapie"/>
        <w:spacing w:after="120"/>
        <w:jc w:val="both"/>
        <w:rPr>
          <w:rFonts w:ascii="Arial" w:hAnsi="Arial" w:cs="Arial"/>
        </w:rPr>
      </w:pPr>
      <w:r w:rsidRPr="00C57647">
        <w:rPr>
          <w:rStyle w:val="Refdenotaalpie"/>
          <w:rFonts w:ascii="Arial" w:hAnsi="Arial" w:cs="Arial"/>
        </w:rPr>
        <w:footnoteRef/>
      </w:r>
      <w:r w:rsidRPr="00C57647">
        <w:rPr>
          <w:rFonts w:ascii="Arial" w:hAnsi="Arial" w:cs="Arial"/>
        </w:rPr>
        <w:t xml:space="preserve"> Artículo 333.</w:t>
      </w:r>
    </w:p>
  </w:footnote>
  <w:footnote w:id="28">
    <w:p w14:paraId="4E2593C0" w14:textId="4D12529D" w:rsidR="001F4ECE" w:rsidRPr="00C57647" w:rsidRDefault="001F4ECE" w:rsidP="00892C4C">
      <w:pPr>
        <w:pStyle w:val="Textonotapie"/>
        <w:spacing w:after="120"/>
        <w:jc w:val="both"/>
        <w:rPr>
          <w:rFonts w:ascii="Arial" w:hAnsi="Arial" w:cs="Arial"/>
        </w:rPr>
      </w:pPr>
      <w:r w:rsidRPr="00C57647">
        <w:rPr>
          <w:rStyle w:val="Refdenotaalpie"/>
          <w:rFonts w:ascii="Arial" w:hAnsi="Arial" w:cs="Arial"/>
        </w:rPr>
        <w:footnoteRef/>
      </w:r>
      <w:r w:rsidRPr="00C57647">
        <w:rPr>
          <w:rFonts w:ascii="Arial" w:hAnsi="Arial" w:cs="Arial"/>
        </w:rPr>
        <w:t xml:space="preserve"> Art. 334.</w:t>
      </w:r>
    </w:p>
  </w:footnote>
  <w:footnote w:id="29">
    <w:p w14:paraId="300CCF91" w14:textId="284FDA4A" w:rsidR="00614A07" w:rsidRPr="00C57647" w:rsidRDefault="00FF3E3E" w:rsidP="00892C4C">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w:t>
      </w:r>
      <w:r w:rsidR="001F4ECE" w:rsidRPr="00C57647">
        <w:rPr>
          <w:rFonts w:ascii="Arial" w:hAnsi="Arial" w:cs="Arial"/>
          <w:lang w:val="es-ES"/>
        </w:rPr>
        <w:t>Art. 335.</w:t>
      </w:r>
    </w:p>
  </w:footnote>
  <w:footnote w:id="30">
    <w:p w14:paraId="0AE32F3C" w14:textId="09067386" w:rsidR="00FF3E3E" w:rsidRPr="00C57647" w:rsidRDefault="00FF3E3E" w:rsidP="00892C4C">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 314.- Todos los bienes que existen en poder de cualesquiera de los cónyuges al hacer la separación de ellos, se presumen gananciales, mientras no se pruebe lo contrario.</w:t>
      </w:r>
      <w:r w:rsidR="00A76506">
        <w:rPr>
          <w:rFonts w:ascii="Arial" w:hAnsi="Arial" w:cs="Arial"/>
          <w:lang w:val="es-ES"/>
        </w:rPr>
        <w:t xml:space="preserve"> </w:t>
      </w:r>
    </w:p>
  </w:footnote>
  <w:footnote w:id="31">
    <w:p w14:paraId="4CF407D3" w14:textId="77777777" w:rsidR="006975EB" w:rsidRPr="00C57647" w:rsidRDefault="006975EB" w:rsidP="005F52B8">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Artículo 288.</w:t>
      </w:r>
    </w:p>
  </w:footnote>
  <w:footnote w:id="32">
    <w:p w14:paraId="0B2A92EC" w14:textId="77777777" w:rsidR="005C3EF2" w:rsidRPr="00C57647" w:rsidRDefault="005C3EF2" w:rsidP="005F52B8">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“Artículo 17. Protección a la Familia 1. La familia es el elemento natural y fundamental de la sociedad y debe ser protegida por la sociedad y el Estado. 2. Se reconoce el derecho del hombre y la mujer a contraer matrimonio y a fundar una familia si tienen la edad y las condiciones requeridas para ello por las leyes internas, en la medida en que éstas no afecten al principio de no discriminación establecido en esta Convención. 3. El matrimonio no puede celebrarse sin el libre y pleno consentimiento de los contrayentes. 4. Los Estados Partes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de los hijos, sobre la base única del interés y conveniencia de ellos. 5. La ley debe reconocer iguales derechos tanto a los hijos nacidos fuera de matrimonio como a los nacidos dentro del mismo.” </w:t>
      </w:r>
    </w:p>
  </w:footnote>
  <w:footnote w:id="33">
    <w:p w14:paraId="3FC32738" w14:textId="2F785129" w:rsidR="005C3EF2" w:rsidRPr="00C57647" w:rsidRDefault="005C3EF2" w:rsidP="00892C4C">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“Artículo 23. 1. La familia es el elemento natural y fundamental de la sociedad y tiene derecho a la protección de la sociedad y del Estado. 2. Se reconoce el derecho del hombre y de la mujer a contraer matrimonio y a fundar una familia si tienen edad para ello. 3. El matrimonio no podrá celebrarse sin el libre y pleno consentimiento de los contrayentes. 4. Los Estados Partes en el presente Pacto tomarán las medidas apropiadas para asegurar la igualdad de derechos y de responsabilidades de ambos esposos en cuanto al matrimonio, durante el matrimonio y en caso de disolución del mismo. En caso de disolución, se adoptarán disposiciones que aseguren la protección necesaria a los hijos.”</w:t>
      </w:r>
    </w:p>
  </w:footnote>
  <w:footnote w:id="34">
    <w:p w14:paraId="3CC461FD" w14:textId="77777777" w:rsidR="005C3EF2" w:rsidRPr="00C57647" w:rsidRDefault="005C3EF2" w:rsidP="00892C4C">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Ver contradicción de tesis 229/2021, párrafo 77.</w:t>
      </w:r>
    </w:p>
  </w:footnote>
  <w:footnote w:id="35">
    <w:p w14:paraId="63C3E08A" w14:textId="5D728D3B" w:rsidR="00E8145E" w:rsidRPr="00C406E4" w:rsidRDefault="00E8145E" w:rsidP="00C406E4">
      <w:pPr>
        <w:pStyle w:val="Textonotapie"/>
        <w:spacing w:after="120"/>
        <w:jc w:val="both"/>
        <w:rPr>
          <w:rFonts w:ascii="Arial" w:hAnsi="Arial" w:cs="Arial"/>
          <w:lang w:val="es-ES"/>
        </w:rPr>
      </w:pPr>
      <w:r w:rsidRPr="00C406E4">
        <w:rPr>
          <w:rStyle w:val="Refdenotaalpie"/>
          <w:rFonts w:ascii="Arial" w:hAnsi="Arial" w:cs="Arial"/>
          <w:lang w:val="es-ES"/>
        </w:rPr>
        <w:footnoteRef/>
      </w:r>
      <w:r w:rsidRPr="00C406E4">
        <w:rPr>
          <w:rFonts w:ascii="Arial" w:hAnsi="Arial" w:cs="Arial"/>
          <w:lang w:val="es-ES"/>
        </w:rPr>
        <w:t xml:space="preserve"> Ver, entre otras, la acción de </w:t>
      </w:r>
      <w:r w:rsidR="00370CB8" w:rsidRPr="00C406E4">
        <w:rPr>
          <w:rFonts w:ascii="Arial" w:hAnsi="Arial" w:cs="Arial"/>
          <w:lang w:val="es-ES"/>
        </w:rPr>
        <w:t>i</w:t>
      </w:r>
      <w:r w:rsidRPr="00C406E4">
        <w:rPr>
          <w:rFonts w:ascii="Arial" w:hAnsi="Arial" w:cs="Arial"/>
          <w:lang w:val="es-ES"/>
        </w:rPr>
        <w:t xml:space="preserve">nconstitucionalidad 2/2010, sentencia del 16 de agosto de 2010; </w:t>
      </w:r>
      <w:r w:rsidR="001E6D72" w:rsidRPr="00C406E4">
        <w:rPr>
          <w:rFonts w:ascii="Arial" w:hAnsi="Arial" w:cs="Arial"/>
          <w:lang w:val="es-ES"/>
        </w:rPr>
        <w:t>fallada por el Pleno</w:t>
      </w:r>
      <w:r w:rsidR="00F67CE6">
        <w:rPr>
          <w:rFonts w:ascii="Arial" w:hAnsi="Arial" w:cs="Arial"/>
          <w:lang w:val="es-ES"/>
        </w:rPr>
        <w:t>;</w:t>
      </w:r>
      <w:r w:rsidR="001E6D72" w:rsidRPr="00C406E4">
        <w:rPr>
          <w:rFonts w:ascii="Arial" w:hAnsi="Arial" w:cs="Arial"/>
          <w:lang w:val="es-ES"/>
        </w:rPr>
        <w:t xml:space="preserve"> </w:t>
      </w:r>
      <w:r w:rsidRPr="00C406E4">
        <w:rPr>
          <w:rFonts w:ascii="Arial" w:hAnsi="Arial" w:cs="Arial"/>
          <w:lang w:val="es-ES"/>
        </w:rPr>
        <w:t xml:space="preserve">el amparo en revisión 615/2013, sentencia del 4 de junio de 2014; </w:t>
      </w:r>
      <w:r w:rsidR="00B03FE0" w:rsidRPr="00C406E4">
        <w:rPr>
          <w:rFonts w:ascii="Arial" w:hAnsi="Arial" w:cs="Arial"/>
        </w:rPr>
        <w:t xml:space="preserve">por unanimidad de cuatro votos de los señores Ministros Arturo Zaldívar Lelo de Larrea, José Ramón Cossío Díaz, Alfredo Gutiérrez Ortiz Mena y Presidenta en Funciones Olga Sánchez Cordero de García Villegas. Ausente el Ministro Jorge Mario Pardo Rebolledo, e hizo suyo el asunto </w:t>
      </w:r>
      <w:r w:rsidR="00C406E4" w:rsidRPr="00C406E4">
        <w:rPr>
          <w:rFonts w:ascii="Arial" w:hAnsi="Arial" w:cs="Arial"/>
        </w:rPr>
        <w:t>el Ministro</w:t>
      </w:r>
      <w:r w:rsidR="00B03FE0" w:rsidRPr="00C406E4">
        <w:rPr>
          <w:rFonts w:ascii="Arial" w:hAnsi="Arial" w:cs="Arial"/>
        </w:rPr>
        <w:t xml:space="preserve"> Arturo Zaldívar Lelo de Larrea. Los Ministros José Ramón Cossío Díaz y Olga Sánchez Cordero de García Villegas, se reservaron el derecho de formular voto concurrente</w:t>
      </w:r>
      <w:r w:rsidR="00F67CE6">
        <w:rPr>
          <w:rFonts w:ascii="Arial" w:hAnsi="Arial" w:cs="Arial"/>
        </w:rPr>
        <w:t>;</w:t>
      </w:r>
      <w:r w:rsidR="00B03FE0" w:rsidRPr="00C406E4">
        <w:rPr>
          <w:rFonts w:ascii="Arial" w:hAnsi="Arial" w:cs="Arial"/>
        </w:rPr>
        <w:t xml:space="preserve"> </w:t>
      </w:r>
      <w:r w:rsidRPr="00C406E4">
        <w:rPr>
          <w:rFonts w:ascii="Arial" w:hAnsi="Arial" w:cs="Arial"/>
          <w:lang w:val="es-ES"/>
        </w:rPr>
        <w:t>el amparo directo en revisión 1905/2012, resuelto el 22 de agosto de 2012,</w:t>
      </w:r>
      <w:r w:rsidR="00F74DEE" w:rsidRPr="00C406E4">
        <w:rPr>
          <w:rFonts w:ascii="Arial" w:hAnsi="Arial" w:cs="Arial"/>
        </w:rPr>
        <w:t xml:space="preserve"> por unanimidad de cinco votos de los señores Ministros: Jorge Mario Pardo Rebolledo, José Ramón Cossío Díaz (Ponente), Guillermo I. Ortiz Mayagoitia, Olga Sánchez Cordero de García Villegas y Presidente Arturo Zaldívar Lelo de Larrea</w:t>
      </w:r>
      <w:r w:rsidR="00F67CE6">
        <w:rPr>
          <w:rFonts w:ascii="Arial" w:hAnsi="Arial" w:cs="Arial"/>
        </w:rPr>
        <w:t>;</w:t>
      </w:r>
      <w:r w:rsidR="00CC6825" w:rsidRPr="00C406E4">
        <w:rPr>
          <w:rFonts w:ascii="Arial" w:hAnsi="Arial" w:cs="Arial"/>
        </w:rPr>
        <w:t xml:space="preserve"> </w:t>
      </w:r>
      <w:r w:rsidR="00A1309D" w:rsidRPr="00C406E4">
        <w:rPr>
          <w:rFonts w:ascii="Arial" w:hAnsi="Arial" w:cs="Arial"/>
          <w:lang w:val="es-ES"/>
        </w:rPr>
        <w:t>y amparo</w:t>
      </w:r>
      <w:r w:rsidRPr="00C406E4">
        <w:rPr>
          <w:rFonts w:ascii="Arial" w:hAnsi="Arial" w:cs="Arial"/>
          <w:lang w:val="es-ES"/>
        </w:rPr>
        <w:t xml:space="preserve"> directo en revisión 3878/2021, sentencia del 17 de agosto de 2022</w:t>
      </w:r>
      <w:r w:rsidR="003F7936" w:rsidRPr="00C406E4">
        <w:rPr>
          <w:rFonts w:ascii="Arial" w:hAnsi="Arial" w:cs="Arial"/>
          <w:lang w:val="es-ES"/>
        </w:rPr>
        <w:t xml:space="preserve">, </w:t>
      </w:r>
      <w:r w:rsidR="003F7936" w:rsidRPr="00C406E4">
        <w:rPr>
          <w:rFonts w:ascii="Arial" w:hAnsi="Arial" w:cs="Arial"/>
        </w:rPr>
        <w:t>por unanimidad de cinco votos de la Ministra Norma Lucía Piña Hernández (quien se reserva su derecho a formular voto concurrente); y los Ministros Juan Luis González Alcántara Carrancá, Jorge Mario Pardo Rebolledo (quien se reserva su derecho a formular voto concurrente), Alfredo Gutiérrez Ortiz Mena (Ponente) y la Ministra Presidenta Ana Margarita Ríos Farjat (quien se reserva su derecho a formular voto concurrente).</w:t>
      </w:r>
    </w:p>
  </w:footnote>
  <w:footnote w:id="36">
    <w:p w14:paraId="789B00B9" w14:textId="77777777" w:rsidR="00355E79" w:rsidRPr="00C406E4" w:rsidRDefault="00355E79" w:rsidP="00C406E4">
      <w:pPr>
        <w:pStyle w:val="Textonotapie"/>
        <w:spacing w:after="120"/>
        <w:jc w:val="both"/>
        <w:rPr>
          <w:rFonts w:ascii="Arial" w:hAnsi="Arial" w:cs="Arial"/>
        </w:rPr>
      </w:pPr>
      <w:r w:rsidRPr="00C406E4">
        <w:rPr>
          <w:rStyle w:val="Refdenotaalpie"/>
          <w:rFonts w:ascii="Arial" w:hAnsi="Arial" w:cs="Arial"/>
        </w:rPr>
        <w:footnoteRef/>
      </w:r>
      <w:r w:rsidRPr="00C406E4">
        <w:rPr>
          <w:rFonts w:ascii="Arial" w:hAnsi="Arial" w:cs="Arial"/>
        </w:rPr>
        <w:t xml:space="preserve"> Amparo en revisión 615/2013, sentencia del 4 de junio de 2014. Unanimidad de cuatro votos de la ministra Presidenta en Funciones Olga Sánchez Cordero de García Villegas y los ministros Arturo Zaldívar Lelo de Larrea, José Ramón Cossío Díaz y Alfredo Gutiérrez Ortiz Mena. Ausente el Ministro Jorge Mario Pardo Rebolledo, e hizo suyo el asunto el ministro Arturo Zaldívar Lelo de Larrea. Los ministros José Ramón Cossío Díaz y Olga Sánchez Cordero de García Villegas, se reservaron el derecho de formular voto concurrente.</w:t>
      </w:r>
    </w:p>
  </w:footnote>
  <w:footnote w:id="37">
    <w:p w14:paraId="2BF88274" w14:textId="32AB144D" w:rsidR="00355E79" w:rsidRPr="00C57647" w:rsidRDefault="00355E79" w:rsidP="00B32AFD">
      <w:pPr>
        <w:pStyle w:val="Textonotapie"/>
        <w:spacing w:after="120"/>
        <w:jc w:val="both"/>
        <w:rPr>
          <w:rFonts w:ascii="Arial" w:hAnsi="Arial" w:cs="Arial"/>
        </w:rPr>
      </w:pPr>
      <w:r w:rsidRPr="00C57647">
        <w:rPr>
          <w:rStyle w:val="Refdenotaalpie"/>
          <w:rFonts w:ascii="Arial" w:hAnsi="Arial" w:cs="Arial"/>
        </w:rPr>
        <w:footnoteRef/>
      </w:r>
      <w:r w:rsidRPr="00C57647">
        <w:rPr>
          <w:rFonts w:ascii="Arial" w:hAnsi="Arial" w:cs="Arial"/>
        </w:rPr>
        <w:t xml:space="preserve"> </w:t>
      </w:r>
      <w:r w:rsidRPr="00C57647">
        <w:rPr>
          <w:rFonts w:ascii="Arial" w:hAnsi="Arial" w:cs="Arial"/>
          <w:lang w:val="es-ES_tradnl"/>
        </w:rPr>
        <w:t xml:space="preserve">En el amparo en revisión 615/2013, al analizar el artículo 102 del Código Civil para el Estado de Colima que señalaba que “el matrimonio, es el medio idóneo para el desarrollo de la familia,” esta Sala estableció que la porción normativa resultaba inconstitucional. </w:t>
      </w:r>
    </w:p>
  </w:footnote>
  <w:footnote w:id="38">
    <w:p w14:paraId="6191D87D" w14:textId="77777777" w:rsidR="00585AE2" w:rsidRPr="00D2147F" w:rsidRDefault="00585AE2" w:rsidP="00D2147F">
      <w:pPr>
        <w:pStyle w:val="Textonotapie"/>
        <w:spacing w:after="120"/>
        <w:jc w:val="both"/>
        <w:rPr>
          <w:rFonts w:ascii="Arial" w:hAnsi="Arial" w:cs="Arial"/>
        </w:rPr>
      </w:pPr>
      <w:r w:rsidRPr="00D2147F">
        <w:rPr>
          <w:rStyle w:val="Refdenotaalpie"/>
          <w:rFonts w:ascii="Arial" w:hAnsi="Arial" w:cs="Arial"/>
        </w:rPr>
        <w:footnoteRef/>
      </w:r>
      <w:r w:rsidRPr="00D2147F">
        <w:rPr>
          <w:rFonts w:ascii="Arial" w:hAnsi="Arial" w:cs="Arial"/>
        </w:rPr>
        <w:t xml:space="preserve"> Amparo directo en revisión 1905/2012, resuelto el 22 de agosto de 2012.</w:t>
      </w:r>
    </w:p>
  </w:footnote>
  <w:footnote w:id="39">
    <w:p w14:paraId="3C72A1FA" w14:textId="4147F414" w:rsidR="00E709F0" w:rsidRPr="00D2147F" w:rsidRDefault="00E709F0" w:rsidP="00D2147F">
      <w:pPr>
        <w:pStyle w:val="Textonotapie"/>
        <w:spacing w:after="120"/>
        <w:jc w:val="both"/>
        <w:rPr>
          <w:rFonts w:ascii="Arial" w:hAnsi="Arial" w:cs="Arial"/>
        </w:rPr>
      </w:pPr>
      <w:r w:rsidRPr="00D2147F">
        <w:rPr>
          <w:rStyle w:val="Refdenotaalpie"/>
          <w:rFonts w:ascii="Arial" w:hAnsi="Arial" w:cs="Arial"/>
        </w:rPr>
        <w:footnoteRef/>
      </w:r>
      <w:r w:rsidRPr="00D2147F">
        <w:rPr>
          <w:rFonts w:ascii="Arial" w:hAnsi="Arial" w:cs="Arial"/>
        </w:rPr>
        <w:t xml:space="preserve"> Lo cierto es que el matrimonio, como está regulado hoy en los distintos códigos locales, presenta reminiscencias de la regulación canónica. Por esa razón, hay una tendencia en la regulación a la protección del matrimonio por su significado como </w:t>
      </w:r>
      <w:r w:rsidR="00EC30A9" w:rsidRPr="00D2147F">
        <w:rPr>
          <w:rFonts w:ascii="Arial" w:hAnsi="Arial" w:cs="Arial"/>
        </w:rPr>
        <w:t xml:space="preserve">un bien o un fin </w:t>
      </w:r>
      <w:r w:rsidRPr="00D2147F">
        <w:rPr>
          <w:rFonts w:ascii="Arial" w:hAnsi="Arial" w:cs="Arial"/>
        </w:rPr>
        <w:t>en sí mism</w:t>
      </w:r>
      <w:r w:rsidR="00EC30A9" w:rsidRPr="00D2147F">
        <w:rPr>
          <w:rFonts w:ascii="Arial" w:hAnsi="Arial" w:cs="Arial"/>
        </w:rPr>
        <w:t>o</w:t>
      </w:r>
      <w:r w:rsidRPr="00D2147F">
        <w:rPr>
          <w:rFonts w:ascii="Arial" w:hAnsi="Arial" w:cs="Arial"/>
        </w:rPr>
        <w:t xml:space="preserve">, más allá de su impacto en los derechos del núcleo o de sus miembros. </w:t>
      </w:r>
      <w:r w:rsidRPr="00D2147F">
        <w:rPr>
          <w:rFonts w:ascii="Arial" w:hAnsi="Arial" w:cs="Arial"/>
          <w:i/>
          <w:iCs/>
        </w:rPr>
        <w:t>Cfr.</w:t>
      </w:r>
      <w:r w:rsidRPr="00D2147F">
        <w:rPr>
          <w:rFonts w:ascii="Arial" w:hAnsi="Arial" w:cs="Arial"/>
        </w:rPr>
        <w:t xml:space="preserve"> Mijangos y Gonzáles, Pablo, “¿</w:t>
      </w:r>
      <w:r w:rsidR="00266DBE" w:rsidRPr="00D2147F">
        <w:rPr>
          <w:rFonts w:ascii="Arial" w:hAnsi="Arial" w:cs="Arial"/>
        </w:rPr>
        <w:t>Secularización</w:t>
      </w:r>
      <w:r w:rsidRPr="00D2147F">
        <w:rPr>
          <w:rFonts w:ascii="Arial" w:hAnsi="Arial" w:cs="Arial"/>
        </w:rPr>
        <w:t xml:space="preserve"> o Reforma? Los </w:t>
      </w:r>
      <w:r w:rsidR="00D2147F" w:rsidRPr="00D2147F">
        <w:rPr>
          <w:rFonts w:ascii="Arial" w:hAnsi="Arial" w:cs="Arial"/>
        </w:rPr>
        <w:t>orígenes</w:t>
      </w:r>
      <w:r w:rsidRPr="00D2147F">
        <w:rPr>
          <w:rFonts w:ascii="Arial" w:hAnsi="Arial" w:cs="Arial"/>
        </w:rPr>
        <w:t xml:space="preserve"> religiosos del matrimonio civil en </w:t>
      </w:r>
      <w:r w:rsidR="00D2147F" w:rsidRPr="00D2147F">
        <w:rPr>
          <w:rFonts w:ascii="Arial" w:hAnsi="Arial" w:cs="Arial"/>
        </w:rPr>
        <w:t>México</w:t>
      </w:r>
      <w:r w:rsidRPr="00D2147F">
        <w:rPr>
          <w:rFonts w:ascii="Arial" w:hAnsi="Arial" w:cs="Arial"/>
        </w:rPr>
        <w:t xml:space="preserve">”, </w:t>
      </w:r>
      <w:r w:rsidRPr="00D2147F">
        <w:rPr>
          <w:rFonts w:ascii="Arial" w:hAnsi="Arial" w:cs="Arial"/>
          <w:i/>
          <w:iCs/>
        </w:rPr>
        <w:t>Hispania Sacra</w:t>
      </w:r>
      <w:r w:rsidRPr="00D2147F">
        <w:rPr>
          <w:rFonts w:ascii="Arial" w:hAnsi="Arial" w:cs="Arial"/>
        </w:rPr>
        <w:t xml:space="preserve">, LXVIII 137, enero-junio, pp. 105-117, 2016 y Arrom, Silvia, “Liberalismo y derecho de familia en </w:t>
      </w:r>
      <w:r w:rsidR="00D2147F" w:rsidRPr="00D2147F">
        <w:rPr>
          <w:rFonts w:ascii="Arial" w:hAnsi="Arial" w:cs="Arial"/>
        </w:rPr>
        <w:t>México</w:t>
      </w:r>
      <w:r w:rsidRPr="00D2147F">
        <w:rPr>
          <w:rFonts w:ascii="Arial" w:hAnsi="Arial" w:cs="Arial"/>
        </w:rPr>
        <w:t xml:space="preserve">: los </w:t>
      </w:r>
      <w:r w:rsidR="00D2147F" w:rsidRPr="00D2147F">
        <w:rPr>
          <w:rFonts w:ascii="Arial" w:hAnsi="Arial" w:cs="Arial"/>
        </w:rPr>
        <w:t>Códigos</w:t>
      </w:r>
      <w:r w:rsidRPr="00D2147F">
        <w:rPr>
          <w:rFonts w:ascii="Arial" w:hAnsi="Arial" w:cs="Arial"/>
        </w:rPr>
        <w:t xml:space="preserve"> Civiles de 1870 y 1884”, en </w:t>
      </w:r>
      <w:r w:rsidR="00D2147F" w:rsidRPr="00D2147F">
        <w:rPr>
          <w:rFonts w:ascii="Arial" w:hAnsi="Arial" w:cs="Arial"/>
        </w:rPr>
        <w:t>León</w:t>
      </w:r>
      <w:r w:rsidRPr="00D2147F">
        <w:rPr>
          <w:rFonts w:ascii="Arial" w:hAnsi="Arial" w:cs="Arial"/>
        </w:rPr>
        <w:t xml:space="preserve"> de Leal, Magdalena, </w:t>
      </w:r>
      <w:r w:rsidRPr="00D2147F">
        <w:rPr>
          <w:rFonts w:ascii="Arial" w:hAnsi="Arial" w:cs="Arial"/>
          <w:i/>
          <w:iCs/>
        </w:rPr>
        <w:t xml:space="preserve">¿Ruptura de la inequidad? Propiedad y </w:t>
      </w:r>
      <w:r w:rsidR="00D2147F" w:rsidRPr="00D2147F">
        <w:rPr>
          <w:rFonts w:ascii="Arial" w:hAnsi="Arial" w:cs="Arial"/>
          <w:i/>
          <w:iCs/>
        </w:rPr>
        <w:t>género</w:t>
      </w:r>
      <w:r w:rsidRPr="00D2147F">
        <w:rPr>
          <w:rFonts w:ascii="Arial" w:hAnsi="Arial" w:cs="Arial"/>
          <w:i/>
          <w:iCs/>
        </w:rPr>
        <w:t xml:space="preserve"> en la </w:t>
      </w:r>
      <w:r w:rsidR="00D2147F" w:rsidRPr="00D2147F">
        <w:rPr>
          <w:rFonts w:ascii="Arial" w:hAnsi="Arial" w:cs="Arial"/>
          <w:i/>
          <w:iCs/>
        </w:rPr>
        <w:t>América</w:t>
      </w:r>
      <w:r w:rsidRPr="00D2147F">
        <w:rPr>
          <w:rFonts w:ascii="Arial" w:hAnsi="Arial" w:cs="Arial"/>
          <w:i/>
          <w:iCs/>
        </w:rPr>
        <w:t xml:space="preserve"> Latina del siglo XIX</w:t>
      </w:r>
      <w:r w:rsidRPr="00D2147F">
        <w:rPr>
          <w:rFonts w:ascii="Arial" w:hAnsi="Arial" w:cs="Arial"/>
        </w:rPr>
        <w:t xml:space="preserve">, </w:t>
      </w:r>
      <w:r w:rsidR="00D2147F" w:rsidRPr="00D2147F">
        <w:rPr>
          <w:rFonts w:ascii="Arial" w:hAnsi="Arial" w:cs="Arial"/>
        </w:rPr>
        <w:t>Bogotá</w:t>
      </w:r>
      <w:r w:rsidRPr="00D2147F">
        <w:rPr>
          <w:rFonts w:ascii="Arial" w:hAnsi="Arial" w:cs="Arial"/>
        </w:rPr>
        <w:t xml:space="preserve">́, Siglo del Hombre Editores, 2005. </w:t>
      </w:r>
    </w:p>
  </w:footnote>
  <w:footnote w:id="40">
    <w:p w14:paraId="741813B4" w14:textId="5818BAC7" w:rsidR="003358B3" w:rsidRPr="00C57647" w:rsidRDefault="003358B3" w:rsidP="00254DE1">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Esto se retoma </w:t>
      </w:r>
      <w:r w:rsidR="00F8729B" w:rsidRPr="00C57647">
        <w:rPr>
          <w:rFonts w:ascii="Arial" w:hAnsi="Arial" w:cs="Arial"/>
          <w:lang w:val="es-ES"/>
        </w:rPr>
        <w:t xml:space="preserve">textualmente </w:t>
      </w:r>
      <w:r w:rsidRPr="00C57647">
        <w:rPr>
          <w:rFonts w:ascii="Arial" w:hAnsi="Arial" w:cs="Arial"/>
          <w:lang w:val="es-ES"/>
        </w:rPr>
        <w:t xml:space="preserve">del voto concurrente realizado por el ministro José Ramón Cossío Díaz en el amparo </w:t>
      </w:r>
      <w:r w:rsidR="00C2062D" w:rsidRPr="00C57647">
        <w:rPr>
          <w:rFonts w:ascii="Arial" w:hAnsi="Arial" w:cs="Arial"/>
          <w:lang w:val="es-ES"/>
        </w:rPr>
        <w:t>directo en revisión 2900/2010</w:t>
      </w:r>
      <w:r w:rsidR="008F4FF3">
        <w:rPr>
          <w:rFonts w:ascii="Arial" w:hAnsi="Arial" w:cs="Arial"/>
          <w:lang w:val="es-ES"/>
        </w:rPr>
        <w:t>, r</w:t>
      </w:r>
      <w:r w:rsidR="008F4FF3" w:rsidRPr="00C57647">
        <w:rPr>
          <w:rFonts w:ascii="Arial" w:hAnsi="Arial" w:cs="Arial"/>
          <w:lang w:val="es-ES"/>
        </w:rPr>
        <w:t>esuelto el 9 de marzo de 2011</w:t>
      </w:r>
      <w:r w:rsidR="008F4FF3">
        <w:rPr>
          <w:rFonts w:ascii="Arial" w:hAnsi="Arial" w:cs="Arial"/>
          <w:lang w:val="es-ES"/>
        </w:rPr>
        <w:t xml:space="preserve"> por u</w:t>
      </w:r>
      <w:r w:rsidR="008F4FF3" w:rsidRPr="00C57647">
        <w:rPr>
          <w:rFonts w:ascii="Arial" w:hAnsi="Arial" w:cs="Arial"/>
          <w:lang w:val="es-ES"/>
        </w:rPr>
        <w:t>nanimidad de cinco votos de la ministra Olga Sánchez Cordero de García Villegas y los ministros Jorge Mario Pardo Rebolledo, José Ramón Cossío Díaz, quien formuló voto concurrente, Guillermo I. Ortiz Mayagoitía, y Arturo Zaldívar Lelo de Larrea (Presidente y Ponente).</w:t>
      </w:r>
    </w:p>
  </w:footnote>
  <w:footnote w:id="41">
    <w:p w14:paraId="70AE45AA" w14:textId="58D172D2" w:rsidR="0023415B" w:rsidRPr="00C57647" w:rsidRDefault="0023415B" w:rsidP="00254DE1">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w:t>
      </w:r>
      <w:r w:rsidR="00F8729B" w:rsidRPr="00C57647">
        <w:rPr>
          <w:rFonts w:ascii="Arial" w:hAnsi="Arial" w:cs="Arial"/>
          <w:lang w:val="es-ES"/>
        </w:rPr>
        <w:t>El Código Civil del Distrito Federal y Territorio de la Baja California de 1870 preveía</w:t>
      </w:r>
      <w:r w:rsidR="00DD547F">
        <w:rPr>
          <w:rFonts w:ascii="Arial" w:hAnsi="Arial" w:cs="Arial"/>
          <w:lang w:val="es-ES"/>
        </w:rPr>
        <w:t xml:space="preserve"> en sus artículos</w:t>
      </w:r>
      <w:r w:rsidR="00F8729B" w:rsidRPr="00C57647">
        <w:rPr>
          <w:rFonts w:ascii="Arial" w:hAnsi="Arial" w:cs="Arial"/>
          <w:lang w:val="es-ES"/>
        </w:rPr>
        <w:t xml:space="preserve">: 2181. En los casos de nulidad la sociedad se considerará subsistente hasta que se pronuncie sentencia que cause ejecutoria, si los dos cónyuges procedieron con buena </w:t>
      </w:r>
      <w:r w:rsidR="00DB6C37" w:rsidRPr="00C57647">
        <w:rPr>
          <w:rFonts w:ascii="Arial" w:hAnsi="Arial" w:cs="Arial"/>
          <w:lang w:val="es-ES"/>
        </w:rPr>
        <w:t>fe</w:t>
      </w:r>
      <w:r w:rsidR="00F8729B" w:rsidRPr="00C57647">
        <w:rPr>
          <w:rFonts w:ascii="Arial" w:hAnsi="Arial" w:cs="Arial"/>
          <w:lang w:val="es-ES"/>
        </w:rPr>
        <w:t xml:space="preserve">; 2182. Cuando uno solo de los cónyuges tuvo buena </w:t>
      </w:r>
      <w:r w:rsidR="00DB6C37" w:rsidRPr="00C57647">
        <w:rPr>
          <w:rFonts w:ascii="Arial" w:hAnsi="Arial" w:cs="Arial"/>
          <w:lang w:val="es-ES"/>
        </w:rPr>
        <w:t>fe</w:t>
      </w:r>
      <w:r w:rsidR="00F8729B" w:rsidRPr="00C57647">
        <w:rPr>
          <w:rFonts w:ascii="Arial" w:hAnsi="Arial" w:cs="Arial"/>
          <w:lang w:val="es-ES"/>
        </w:rPr>
        <w:t xml:space="preserve">, la sociedad subsistirá </w:t>
      </w:r>
      <w:r w:rsidR="00DB6C37" w:rsidRPr="00C57647">
        <w:rPr>
          <w:rFonts w:ascii="Arial" w:hAnsi="Arial" w:cs="Arial"/>
          <w:lang w:val="es-ES"/>
        </w:rPr>
        <w:t>también</w:t>
      </w:r>
      <w:r w:rsidR="00F8729B" w:rsidRPr="00C57647">
        <w:rPr>
          <w:rFonts w:ascii="Arial" w:hAnsi="Arial" w:cs="Arial"/>
          <w:lang w:val="es-ES"/>
        </w:rPr>
        <w:t xml:space="preserve"> hasta que cause ejecutoria la sentencia, si la </w:t>
      </w:r>
      <w:r w:rsidR="00DB6C37" w:rsidRPr="00C57647">
        <w:rPr>
          <w:rFonts w:ascii="Arial" w:hAnsi="Arial" w:cs="Arial"/>
          <w:lang w:val="es-ES"/>
        </w:rPr>
        <w:t>continuación</w:t>
      </w:r>
      <w:r w:rsidR="00F8729B" w:rsidRPr="00C57647">
        <w:rPr>
          <w:rFonts w:ascii="Arial" w:hAnsi="Arial" w:cs="Arial"/>
          <w:lang w:val="es-ES"/>
        </w:rPr>
        <w:t xml:space="preserve"> es favorable al cónyuge inocente: en caso contrario se considerará nula desde su principio; 2183. Si los dos cónyuges procedieron de mala </w:t>
      </w:r>
      <w:r w:rsidR="00DB6C37" w:rsidRPr="00C57647">
        <w:rPr>
          <w:rFonts w:ascii="Arial" w:hAnsi="Arial" w:cs="Arial"/>
          <w:lang w:val="es-ES"/>
        </w:rPr>
        <w:t>fe</w:t>
      </w:r>
      <w:r w:rsidR="00F8729B" w:rsidRPr="00C57647">
        <w:rPr>
          <w:rFonts w:ascii="Arial" w:hAnsi="Arial" w:cs="Arial"/>
          <w:lang w:val="es-ES"/>
        </w:rPr>
        <w:t xml:space="preserve">, la sociedad se considerará nula desde la </w:t>
      </w:r>
      <w:r w:rsidR="00DB6C37" w:rsidRPr="00C57647">
        <w:rPr>
          <w:rFonts w:ascii="Arial" w:hAnsi="Arial" w:cs="Arial"/>
          <w:lang w:val="es-ES"/>
        </w:rPr>
        <w:t>celebración</w:t>
      </w:r>
      <w:r w:rsidR="00F8729B" w:rsidRPr="00C57647">
        <w:rPr>
          <w:rFonts w:ascii="Arial" w:hAnsi="Arial" w:cs="Arial"/>
          <w:lang w:val="es-ES"/>
        </w:rPr>
        <w:t xml:space="preserve"> del matrimonio; quedando en todo caso </w:t>
      </w:r>
      <w:r w:rsidR="00F93EF7" w:rsidRPr="00C57647">
        <w:rPr>
          <w:rFonts w:ascii="Arial" w:hAnsi="Arial" w:cs="Arial"/>
          <w:lang w:val="es-ES"/>
        </w:rPr>
        <w:t>a</w:t>
      </w:r>
      <w:r w:rsidR="00F8729B" w:rsidRPr="00C57647">
        <w:rPr>
          <w:rFonts w:ascii="Arial" w:hAnsi="Arial" w:cs="Arial"/>
          <w:lang w:val="es-ES"/>
        </w:rPr>
        <w:t xml:space="preserve"> salvo los derechos que un tercero tuviere contra el fondo social.; 2195. Si la </w:t>
      </w:r>
      <w:r w:rsidR="00DB6C37" w:rsidRPr="00C57647">
        <w:rPr>
          <w:rFonts w:ascii="Arial" w:hAnsi="Arial" w:cs="Arial"/>
          <w:lang w:val="es-ES"/>
        </w:rPr>
        <w:t>disolución</w:t>
      </w:r>
      <w:r w:rsidR="00F8729B" w:rsidRPr="00C57647">
        <w:rPr>
          <w:rFonts w:ascii="Arial" w:hAnsi="Arial" w:cs="Arial"/>
          <w:lang w:val="es-ES"/>
        </w:rPr>
        <w:t xml:space="preserve"> de la sociedad procede de nulidad del matrimonio, el consorte que hubiere obrado de mala </w:t>
      </w:r>
      <w:r w:rsidR="00F93EF7" w:rsidRPr="00C57647">
        <w:rPr>
          <w:rFonts w:ascii="Arial" w:hAnsi="Arial" w:cs="Arial"/>
          <w:lang w:val="es-ES"/>
        </w:rPr>
        <w:t>fe</w:t>
      </w:r>
      <w:r w:rsidR="00F8729B" w:rsidRPr="00C57647">
        <w:rPr>
          <w:rFonts w:ascii="Arial" w:hAnsi="Arial" w:cs="Arial"/>
          <w:lang w:val="es-ES"/>
        </w:rPr>
        <w:t xml:space="preserve"> no tendrá parte en los gananciales; 2196. En el caso del artículo anterior los gananciales que debían corresponder al cónyuge que obró de mala </w:t>
      </w:r>
      <w:r w:rsidR="00DB6C37" w:rsidRPr="00C57647">
        <w:rPr>
          <w:rFonts w:ascii="Arial" w:hAnsi="Arial" w:cs="Arial"/>
          <w:lang w:val="es-ES"/>
        </w:rPr>
        <w:t>fe</w:t>
      </w:r>
      <w:r w:rsidR="00F8729B" w:rsidRPr="00C57647">
        <w:rPr>
          <w:rFonts w:ascii="Arial" w:hAnsi="Arial" w:cs="Arial"/>
          <w:lang w:val="es-ES"/>
        </w:rPr>
        <w:t xml:space="preserve">, se aplicarán </w:t>
      </w:r>
      <w:r w:rsidR="00F93EF7" w:rsidRPr="00C57647">
        <w:rPr>
          <w:rFonts w:ascii="Arial" w:hAnsi="Arial" w:cs="Arial"/>
          <w:lang w:val="es-ES"/>
        </w:rPr>
        <w:t>a</w:t>
      </w:r>
      <w:r w:rsidR="00F8729B" w:rsidRPr="00C57647">
        <w:rPr>
          <w:rFonts w:ascii="Arial" w:hAnsi="Arial" w:cs="Arial"/>
          <w:lang w:val="es-ES"/>
        </w:rPr>
        <w:t xml:space="preserve"> sus hijos; y si no los tuviere, al cónyuge inocente; 2197. Si los dos procedieron de mala </w:t>
      </w:r>
      <w:r w:rsidR="00DB6C37" w:rsidRPr="00C57647">
        <w:rPr>
          <w:rFonts w:ascii="Arial" w:hAnsi="Arial" w:cs="Arial"/>
          <w:lang w:val="es-ES"/>
        </w:rPr>
        <w:t>fe</w:t>
      </w:r>
      <w:r w:rsidR="00F8729B" w:rsidRPr="00C57647">
        <w:rPr>
          <w:rFonts w:ascii="Arial" w:hAnsi="Arial" w:cs="Arial"/>
          <w:lang w:val="es-ES"/>
        </w:rPr>
        <w:t xml:space="preserve">, los gananciales se aplicarán </w:t>
      </w:r>
      <w:r w:rsidR="00DB6C37" w:rsidRPr="00C57647">
        <w:rPr>
          <w:rFonts w:ascii="Arial" w:hAnsi="Arial" w:cs="Arial"/>
          <w:lang w:val="es-ES"/>
        </w:rPr>
        <w:t>a</w:t>
      </w:r>
      <w:r w:rsidR="00F8729B" w:rsidRPr="00C57647">
        <w:rPr>
          <w:rFonts w:ascii="Arial" w:hAnsi="Arial" w:cs="Arial"/>
          <w:lang w:val="es-ES"/>
        </w:rPr>
        <w:t xml:space="preserve"> los hijos; y si no los hubiere, se repartirán en </w:t>
      </w:r>
      <w:r w:rsidR="00101258" w:rsidRPr="00C57647">
        <w:rPr>
          <w:rFonts w:ascii="Arial" w:hAnsi="Arial" w:cs="Arial"/>
          <w:lang w:val="es-ES"/>
        </w:rPr>
        <w:t>proporción</w:t>
      </w:r>
      <w:r w:rsidR="00F8729B" w:rsidRPr="00C57647">
        <w:rPr>
          <w:rFonts w:ascii="Arial" w:hAnsi="Arial" w:cs="Arial"/>
          <w:lang w:val="es-ES"/>
        </w:rPr>
        <w:t xml:space="preserve"> de lo que cada consorte llevó al matrimonio.</w:t>
      </w:r>
    </w:p>
  </w:footnote>
  <w:footnote w:id="42">
    <w:p w14:paraId="01486746" w14:textId="77777777" w:rsidR="0023415B" w:rsidRDefault="0023415B" w:rsidP="00254DE1">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Exposición de motivos del Código Civil del Distrito Federal y Territorio de la Baja California, Ministerio de Justicia e instrucción pública, pág. 20. Disponible en </w:t>
      </w:r>
      <w:hyperlink r:id="rId1" w:history="1">
        <w:r w:rsidRPr="00C57647">
          <w:rPr>
            <w:rStyle w:val="Hipervnculo"/>
            <w:rFonts w:ascii="Arial" w:hAnsi="Arial" w:cs="Arial"/>
            <w:lang w:val="es-ES"/>
          </w:rPr>
          <w:t>http://ru.juridicas.unam.mx/xmlui/handle/123456789/11168</w:t>
        </w:r>
      </w:hyperlink>
      <w:r w:rsidRPr="00C57647">
        <w:rPr>
          <w:rFonts w:ascii="Arial" w:hAnsi="Arial" w:cs="Arial"/>
          <w:lang w:val="es-ES"/>
        </w:rPr>
        <w:t xml:space="preserve"> </w:t>
      </w:r>
    </w:p>
    <w:p w14:paraId="68F145D1" w14:textId="77777777" w:rsidR="00254DE1" w:rsidRPr="00C57647" w:rsidRDefault="00254DE1" w:rsidP="00254DE1">
      <w:pPr>
        <w:pStyle w:val="Textonotapie"/>
        <w:spacing w:after="120"/>
        <w:jc w:val="both"/>
        <w:rPr>
          <w:rFonts w:ascii="Arial" w:hAnsi="Arial" w:cs="Arial"/>
          <w:lang w:val="es-ES"/>
        </w:rPr>
      </w:pPr>
    </w:p>
  </w:footnote>
  <w:footnote w:id="43">
    <w:p w14:paraId="5FA672E9" w14:textId="34728C77" w:rsidR="004C2C29" w:rsidRPr="00C57647" w:rsidRDefault="004C2C29" w:rsidP="00CC72DF">
      <w:pPr>
        <w:pStyle w:val="Textonotapie"/>
        <w:spacing w:after="120"/>
        <w:jc w:val="both"/>
        <w:rPr>
          <w:rFonts w:ascii="Arial" w:hAnsi="Arial" w:cs="Arial"/>
        </w:rPr>
      </w:pPr>
      <w:r w:rsidRPr="00C57647">
        <w:rPr>
          <w:rStyle w:val="Refdenotaalpie"/>
          <w:rFonts w:ascii="Arial" w:hAnsi="Arial" w:cs="Arial"/>
        </w:rPr>
        <w:footnoteRef/>
      </w:r>
      <w:r w:rsidRPr="00C57647">
        <w:rPr>
          <w:rFonts w:ascii="Arial" w:hAnsi="Arial" w:cs="Arial"/>
        </w:rPr>
        <w:t xml:space="preserve"> </w:t>
      </w:r>
      <w:r w:rsidR="00962362" w:rsidRPr="00C57647">
        <w:rPr>
          <w:rFonts w:ascii="Arial" w:hAnsi="Arial" w:cs="Arial"/>
        </w:rPr>
        <w:t xml:space="preserve">Código Civil de España. </w:t>
      </w:r>
      <w:r w:rsidRPr="00C57647">
        <w:rPr>
          <w:rFonts w:ascii="Arial" w:hAnsi="Arial" w:cs="Arial"/>
        </w:rPr>
        <w:t>Artículo 79. La declaración de nulidad del matrimonio no invalidará los efectos ya producidos respecto de los hijos y del contrayente o contrayentes de buena fe. La buena fe se presume. Artículo 98. El cónyuge de buena fe cuyo matrimonio haya sido declarado nulo tendrá derecho a una indemnización si ha existido convivencia conyugal, atendidas las circunstancias previstas en el artículo 97.</w:t>
      </w:r>
    </w:p>
  </w:footnote>
  <w:footnote w:id="44">
    <w:p w14:paraId="40C7D407" w14:textId="0532A011" w:rsidR="004C2C29" w:rsidRPr="00C57647" w:rsidRDefault="004C2C29" w:rsidP="00CC72DF">
      <w:pPr>
        <w:spacing w:after="120"/>
        <w:jc w:val="both"/>
        <w:rPr>
          <w:rFonts w:ascii="Arial" w:hAnsi="Arial" w:cs="Arial"/>
        </w:rPr>
      </w:pPr>
      <w:r w:rsidRPr="00C57647">
        <w:rPr>
          <w:rStyle w:val="Refdenotaalpie"/>
          <w:rFonts w:ascii="Arial" w:hAnsi="Arial" w:cs="Arial"/>
        </w:rPr>
        <w:footnoteRef/>
      </w:r>
      <w:r w:rsidRPr="00C57647">
        <w:rPr>
          <w:rFonts w:ascii="Arial" w:hAnsi="Arial" w:cs="Arial"/>
        </w:rPr>
        <w:t xml:space="preserve"> </w:t>
      </w:r>
      <w:r w:rsidR="00962362" w:rsidRPr="00C57647">
        <w:rPr>
          <w:rFonts w:ascii="Arial" w:hAnsi="Arial" w:cs="Arial"/>
        </w:rPr>
        <w:t xml:space="preserve">Código Civil de la República de Colombia. </w:t>
      </w:r>
      <w:r w:rsidRPr="00C57647">
        <w:rPr>
          <w:rFonts w:ascii="Arial" w:hAnsi="Arial" w:cs="Arial"/>
        </w:rPr>
        <w:t>A</w:t>
      </w:r>
      <w:r w:rsidR="00962362" w:rsidRPr="00C57647">
        <w:rPr>
          <w:rFonts w:ascii="Arial" w:hAnsi="Arial" w:cs="Arial"/>
        </w:rPr>
        <w:t>rt</w:t>
      </w:r>
      <w:r w:rsidRPr="00C57647">
        <w:rPr>
          <w:rFonts w:ascii="Arial" w:hAnsi="Arial" w:cs="Arial"/>
        </w:rPr>
        <w:t>. 148.</w:t>
      </w:r>
      <w:r w:rsidR="000C2763" w:rsidRPr="00C57647">
        <w:rPr>
          <w:rFonts w:ascii="Arial" w:hAnsi="Arial" w:cs="Arial"/>
        </w:rPr>
        <w:t xml:space="preserve"> </w:t>
      </w:r>
      <w:r w:rsidRPr="00C57647">
        <w:rPr>
          <w:rFonts w:ascii="Arial" w:hAnsi="Arial" w:cs="Arial"/>
        </w:rPr>
        <w:t>Anulado un matrimonio, cesan desde el mismo día entre los consortes separados, todos los derechos y obligaciones recíprocas que resultan del contrato del matrimonio; pero si hubo mala fe en alguno de los contrayentes, tendrá éste obligación a indemnizar al otro todos los perjuicios que le haya ocasionado, estimados con juramento.</w:t>
      </w:r>
    </w:p>
  </w:footnote>
  <w:footnote w:id="45">
    <w:p w14:paraId="2C568A89" w14:textId="27146C20" w:rsidR="000C2763" w:rsidRPr="00C57647" w:rsidRDefault="000C2763" w:rsidP="00CC72DF">
      <w:pPr>
        <w:pStyle w:val="Textonotapie"/>
        <w:spacing w:after="120"/>
        <w:jc w:val="both"/>
        <w:rPr>
          <w:rFonts w:ascii="Arial" w:hAnsi="Arial" w:cs="Arial"/>
          <w:lang w:val="es-ES_tradnl"/>
        </w:rPr>
      </w:pPr>
      <w:r w:rsidRPr="00C57647">
        <w:rPr>
          <w:rStyle w:val="Refdenotaalpie"/>
          <w:rFonts w:ascii="Arial" w:hAnsi="Arial" w:cs="Arial"/>
        </w:rPr>
        <w:footnoteRef/>
      </w:r>
      <w:r w:rsidRPr="00C57647">
        <w:rPr>
          <w:rFonts w:ascii="Arial" w:hAnsi="Arial" w:cs="Arial"/>
        </w:rPr>
        <w:t xml:space="preserve"> </w:t>
      </w:r>
      <w:r w:rsidR="003914C0" w:rsidRPr="00C57647">
        <w:rPr>
          <w:rFonts w:ascii="Arial" w:hAnsi="Arial" w:cs="Arial"/>
        </w:rPr>
        <w:t xml:space="preserve">Código Civil y Comercial de la Nación. </w:t>
      </w:r>
      <w:r w:rsidRPr="00C57647">
        <w:rPr>
          <w:rFonts w:ascii="Arial" w:hAnsi="Arial" w:cs="Arial"/>
          <w:lang w:val="es-ES_tradnl"/>
        </w:rPr>
        <w:t>Art. 221. Si el matrimonio anulado hubiese sido contraído de buena fe por ambos cónyuges producirá, hasta el día en que se declare su nulidad, todos los efectos del matrimonio válido. No obstante, la nulidad tendrá los efectos siguientes: 1ro. En cuanto a los cónyuges, cesarán todos los derechos y obligaciones que produce el matrimonio, con la sola excepción de la obligación de prestarse alimentos de toda necesidad conforme al artículo 209; 2do. En cuanto a los bienes, será de aplicación a la sociedad conyugal lo dispuesto en el artículo 1306 de este Código.</w:t>
      </w:r>
    </w:p>
    <w:p w14:paraId="7076AD8D" w14:textId="2BB9A3D4" w:rsidR="005D1110" w:rsidRPr="00C57647" w:rsidRDefault="000C2763" w:rsidP="00CC72DF">
      <w:pPr>
        <w:pStyle w:val="Textonotapie"/>
        <w:spacing w:after="120"/>
        <w:jc w:val="both"/>
        <w:rPr>
          <w:rFonts w:ascii="Arial" w:hAnsi="Arial" w:cs="Arial"/>
          <w:lang w:val="es-ES_tradnl"/>
        </w:rPr>
      </w:pPr>
      <w:r w:rsidRPr="00C57647">
        <w:rPr>
          <w:rFonts w:ascii="Arial" w:hAnsi="Arial" w:cs="Arial"/>
          <w:lang w:val="es-ES_tradnl"/>
        </w:rPr>
        <w:t>Art. 222. Si hubo buena fe sólo de parte de uno de los cónyuges, el matrimonio producirá, hasta el día de la sentencia que declare la nulidad, todos los efectos del matrimonio válido, pero sólo respecto al esposo de buena fe. La nulidad, en este caso, tendrá los efectos siguientes: 1ro. El cónyuge de mala fe no podrá exigir que el de buena fe le preste alimentos; 2do. El cónyuge de buena fe podrá revocar las donaciones que por causa del matrimonio hizo al de mala fe; 3ro. El cónyuge de buena fe podrá optar por la conservación, por cada uno de los cónyuges, de los bienes por él adquiridos o producidos antes y después del matrimonio, o liquidar la comunidad integrada con el de mala fe mediante la aplicación del artículo 1315, o exigir la demostración de los aportes de cada cónyuge, a efectos de dividir los bienes en proporción a ellos, como si se tratase de una sociedad de hecho.</w:t>
      </w:r>
      <w:r w:rsidR="005B049A">
        <w:rPr>
          <w:rFonts w:ascii="Arial" w:hAnsi="Arial" w:cs="Arial"/>
          <w:lang w:val="es-ES_tradnl"/>
        </w:rPr>
        <w:t xml:space="preserve"> </w:t>
      </w:r>
    </w:p>
  </w:footnote>
  <w:footnote w:id="46">
    <w:p w14:paraId="7F65BCB6" w14:textId="77777777" w:rsidR="002E4A01" w:rsidRDefault="002E4A01" w:rsidP="00CC72DF">
      <w:pPr>
        <w:pStyle w:val="Textonotapie"/>
        <w:spacing w:after="120"/>
        <w:jc w:val="both"/>
        <w:rPr>
          <w:rFonts w:ascii="Arial" w:hAnsi="Arial" w:cs="Arial"/>
        </w:rPr>
      </w:pPr>
      <w:r w:rsidRPr="00C57647">
        <w:rPr>
          <w:rStyle w:val="Refdenotaalpie"/>
          <w:rFonts w:ascii="Arial" w:hAnsi="Arial" w:cs="Arial"/>
        </w:rPr>
        <w:footnoteRef/>
      </w:r>
      <w:r w:rsidRPr="00C57647">
        <w:rPr>
          <w:rFonts w:ascii="Arial" w:hAnsi="Arial" w:cs="Arial"/>
        </w:rPr>
        <w:t xml:space="preserve"> Contradicción de tesis 46/2002, resuelta el 19 de enero de 2005. Mayoría de tres votos de la ministra Olga Sánchez Cordero de García Villegas (Presidenta y ponente) y los ministros Juan N. Silva Meza y Sergio A. Valls Hernández, en contra del voto emitido por los ministros José Ramón Cossío Díaz y José de Jesús Gudiño Pelayo, quienes emitirán voto particular.</w:t>
      </w:r>
    </w:p>
    <w:p w14:paraId="06BF8882" w14:textId="77777777" w:rsidR="00525DD3" w:rsidRDefault="00525DD3" w:rsidP="00CC72DF">
      <w:pPr>
        <w:pStyle w:val="Textonotapie"/>
        <w:spacing w:after="120"/>
        <w:jc w:val="both"/>
        <w:rPr>
          <w:rFonts w:ascii="Arial" w:hAnsi="Arial" w:cs="Arial"/>
        </w:rPr>
      </w:pPr>
    </w:p>
    <w:p w14:paraId="694DDF5C" w14:textId="77777777" w:rsidR="00525DD3" w:rsidRPr="00C57647" w:rsidRDefault="00525DD3" w:rsidP="00CC72DF">
      <w:pPr>
        <w:pStyle w:val="Textonotapie"/>
        <w:spacing w:after="120"/>
        <w:jc w:val="both"/>
        <w:rPr>
          <w:rFonts w:ascii="Arial" w:hAnsi="Arial" w:cs="Arial"/>
        </w:rPr>
      </w:pPr>
    </w:p>
  </w:footnote>
  <w:footnote w:id="47">
    <w:p w14:paraId="5E77B68F" w14:textId="7251BE22" w:rsidR="00CB0898" w:rsidRPr="00C57647" w:rsidRDefault="002E4A01" w:rsidP="00CC72DF">
      <w:pPr>
        <w:pStyle w:val="Textonotapie"/>
        <w:spacing w:after="120"/>
        <w:jc w:val="both"/>
        <w:rPr>
          <w:rFonts w:ascii="Arial" w:hAnsi="Arial" w:cs="Arial"/>
        </w:rPr>
      </w:pPr>
      <w:r w:rsidRPr="00C57647">
        <w:rPr>
          <w:rStyle w:val="Refdenotaalpie"/>
          <w:rFonts w:ascii="Arial" w:hAnsi="Arial" w:cs="Arial"/>
        </w:rPr>
        <w:footnoteRef/>
      </w:r>
      <w:r w:rsidRPr="00C57647">
        <w:rPr>
          <w:rFonts w:ascii="Arial" w:hAnsi="Arial" w:cs="Arial"/>
        </w:rPr>
        <w:t xml:space="preserve"> Contradicción de tesis 474/2019, resuelta el 13 de mayo de 2019. Unanimidad de cinco votos de las ministras Norma Lucía Piña Hernández (Ponente) y Ana Margarita Ríos Farjat y los ministros Jorge Mario Pardo Rebolledo, Alfredo Gutiérrez Ortiz Mena y Juan Luis González Alcántara Carrancá (Presidente).</w:t>
      </w:r>
      <w:r w:rsidR="00C1195F">
        <w:rPr>
          <w:rFonts w:ascii="Arial" w:hAnsi="Arial" w:cs="Arial"/>
        </w:rPr>
        <w:t xml:space="preserve"> </w:t>
      </w:r>
    </w:p>
  </w:footnote>
  <w:footnote w:id="48">
    <w:p w14:paraId="190BC2F1" w14:textId="7F7B4636" w:rsidR="005B049A" w:rsidRPr="00C57647" w:rsidRDefault="000C2431" w:rsidP="001D283D">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“Artículo 17. Protección a la Familia 1. La familia es el elemento natural y fundamental de la sociedad y debe ser protegida por la sociedad y el Estado. 2. Se reconoce el derecho del hombre y la mujer a contraer matrimonio y a fundar una familia si tienen la edad y las condiciones requeridas para ello por las leyes internas, en la medida en que éstas no afecten al principio de no discriminación establecido en esta Convención. 3. El matrimonio no puede celebrarse sin el libre y pleno consentimiento de los contrayentes. 4. Los Estados Partes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de los hijos, sobre la base única del interés y conveniencia de ellos. 5. La ley debe reconocer iguales derechos tanto a los hijos nacidos fuera de matrimonio como a los nacidos dentro del mismo.” </w:t>
      </w:r>
    </w:p>
  </w:footnote>
  <w:footnote w:id="49">
    <w:p w14:paraId="2C2266CA" w14:textId="51098870" w:rsidR="000C2431" w:rsidRPr="00C57647" w:rsidRDefault="000C2431" w:rsidP="001D283D">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“Artículo 23. 1. La familia es el elemento natural y fundamental de la sociedad y tiene derecho a la protección de la sociedad y del Estado. 2. Se reconoce el derecho del hombre y de la mujer a contraer matrimonio y a fundar una familia si tienen edad para ello. 3. El matrimonio no podrá celebrarse sin el libre y pleno consentimiento de los contrayentes. 4. Los Estados Partes en el presente Pacto tomarán las medidas apropiadas para asegurar la igualdad de derechos y de responsabilidades de ambos esposos en cuanto al matrimonio, durante el matrimonio y en caso de disolución del mismo. En caso de disolución, se adoptarán disposiciones que aseguren la protección necesaria a los hijos.”</w:t>
      </w:r>
    </w:p>
  </w:footnote>
  <w:footnote w:id="50">
    <w:p w14:paraId="3ECE244E" w14:textId="77777777" w:rsidR="000C2431" w:rsidRDefault="000C2431" w:rsidP="001D283D">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Ver contradicción de tesis 229/2021, párrafo 77.</w:t>
      </w:r>
    </w:p>
    <w:p w14:paraId="50C6A2E8" w14:textId="77777777" w:rsidR="005B049A" w:rsidRPr="00C57647" w:rsidRDefault="005B049A" w:rsidP="001D283D">
      <w:pPr>
        <w:pStyle w:val="Textonotapie"/>
        <w:spacing w:after="120"/>
        <w:jc w:val="both"/>
        <w:rPr>
          <w:rFonts w:ascii="Arial" w:hAnsi="Arial" w:cs="Arial"/>
          <w:lang w:val="es-ES"/>
        </w:rPr>
      </w:pPr>
    </w:p>
  </w:footnote>
  <w:footnote w:id="51">
    <w:p w14:paraId="6D84AB48" w14:textId="77777777" w:rsidR="006B01FE" w:rsidRPr="00C57647" w:rsidRDefault="006B01FE" w:rsidP="002F68FF">
      <w:pPr>
        <w:pStyle w:val="Textonotapie"/>
        <w:spacing w:after="120"/>
        <w:jc w:val="both"/>
        <w:rPr>
          <w:rFonts w:ascii="Arial" w:hAnsi="Arial" w:cs="Arial"/>
        </w:rPr>
      </w:pPr>
      <w:r w:rsidRPr="00C57647">
        <w:rPr>
          <w:rStyle w:val="Refdenotaalpie"/>
          <w:rFonts w:ascii="Arial" w:hAnsi="Arial" w:cs="Arial"/>
        </w:rPr>
        <w:footnoteRef/>
      </w:r>
      <w:r w:rsidRPr="00C57647">
        <w:rPr>
          <w:rFonts w:ascii="Arial" w:hAnsi="Arial" w:cs="Arial"/>
        </w:rPr>
        <w:t xml:space="preserve"> Art. 379.- La acción de ilegitimidad, prevista en el artículo anterior, podrá ejercitarse en todo tiempo, en los casos señalados en las cuatro primeras fracciones, por los cónyuges o por sus ascendientes; en el supuesto de la fracción V, por el cónyuge del primer matrimonio, por los hijos de aquél y por los cónyuges que contrajeron el segundo.</w:t>
      </w:r>
    </w:p>
    <w:p w14:paraId="15ABE670" w14:textId="77777777" w:rsidR="006B01FE" w:rsidRPr="00C57647" w:rsidRDefault="006B01FE" w:rsidP="002F68FF">
      <w:pPr>
        <w:pStyle w:val="Textonotapie"/>
        <w:spacing w:after="120"/>
        <w:jc w:val="both"/>
        <w:rPr>
          <w:rFonts w:ascii="Arial" w:hAnsi="Arial" w:cs="Arial"/>
        </w:rPr>
      </w:pPr>
      <w:r w:rsidRPr="00C57647">
        <w:rPr>
          <w:rFonts w:ascii="Arial" w:hAnsi="Arial" w:cs="Arial"/>
        </w:rPr>
        <w:t>Art. 380.- Las acciones de ilegitimidad matrimonial por ineficacia, son imprescriptibles y no podrán ser legitimadas; y si no son ejercitadas por las personas facultadas, deberá promover su ilegitimidad el Agente de la Procuraduría Social.</w:t>
      </w:r>
    </w:p>
  </w:footnote>
  <w:footnote w:id="52">
    <w:p w14:paraId="120349AC" w14:textId="0D154D4C" w:rsidR="002F68FF" w:rsidRPr="00C57647" w:rsidRDefault="006B01FE" w:rsidP="002F68FF">
      <w:pPr>
        <w:pStyle w:val="Textonotapie"/>
        <w:spacing w:after="120"/>
        <w:jc w:val="both"/>
        <w:rPr>
          <w:rFonts w:ascii="Arial" w:hAnsi="Arial" w:cs="Arial"/>
        </w:rPr>
      </w:pPr>
      <w:r w:rsidRPr="0022053E">
        <w:rPr>
          <w:rStyle w:val="Refdenotaalpie"/>
          <w:rFonts w:ascii="Arial" w:hAnsi="Arial" w:cs="Arial"/>
        </w:rPr>
        <w:footnoteRef/>
      </w:r>
      <w:r w:rsidRPr="0022053E">
        <w:rPr>
          <w:rFonts w:ascii="Arial" w:hAnsi="Arial" w:cs="Arial"/>
        </w:rPr>
        <w:t xml:space="preserve"> Amparo directo en revisión 2480/2019, sentencia del 20 de enero de 2021</w:t>
      </w:r>
      <w:r w:rsidR="0022053E" w:rsidRPr="0022053E">
        <w:rPr>
          <w:rFonts w:ascii="Arial" w:hAnsi="Arial" w:cs="Arial"/>
        </w:rPr>
        <w:t>, por unanimidad de cinco votos de las señoras y señores Ministros: Norma Lucía Piña Hernández, Juan Luis González Alcántara Carrancá quien se reserva su derecho a formular voto concurrente, Jorge Mario Pardo Rebolledo (Ponente), Alfredo Gutiérrez Ortiz Mena y Presidenta Ana Margarita Ríos Farjat quien se reserva su derecho a formular voto concurrente.</w:t>
      </w:r>
      <w:r w:rsidR="0022053E">
        <w:rPr>
          <w:rFonts w:ascii="Arial" w:hAnsi="Arial" w:cs="Arial"/>
        </w:rPr>
        <w:t xml:space="preserve"> </w:t>
      </w:r>
    </w:p>
  </w:footnote>
  <w:footnote w:id="53">
    <w:p w14:paraId="1BA16ED3" w14:textId="5BE53E11" w:rsidR="005B049A" w:rsidRPr="00C57647" w:rsidRDefault="004B4F3C" w:rsidP="008B247D">
      <w:pPr>
        <w:pStyle w:val="Textonotapie"/>
        <w:spacing w:after="120"/>
        <w:jc w:val="both"/>
        <w:rPr>
          <w:rFonts w:ascii="Arial" w:hAnsi="Arial" w:cs="Arial"/>
        </w:rPr>
      </w:pPr>
      <w:r w:rsidRPr="00C57647">
        <w:rPr>
          <w:rStyle w:val="Refdenotaalpie"/>
          <w:rFonts w:ascii="Arial" w:hAnsi="Arial" w:cs="Arial"/>
        </w:rPr>
        <w:footnoteRef/>
      </w:r>
      <w:r w:rsidRPr="00C57647">
        <w:rPr>
          <w:rFonts w:ascii="Arial" w:hAnsi="Arial" w:cs="Arial"/>
        </w:rPr>
        <w:t xml:space="preserve"> Código Civil del Estado de Jalisco, Libro Cuarto. De las obligaciones, Primera Parte. De las obligaciones en general. Título Primero, Fuentes de las obligaciones, Capítulo VI. De las obligaciones que nacen de hechos ilícitos. (Desde artículos 1387). </w:t>
      </w:r>
    </w:p>
  </w:footnote>
  <w:footnote w:id="54">
    <w:p w14:paraId="0CCF3B9D" w14:textId="147CEE69" w:rsidR="004B4F3C" w:rsidRPr="00664FAE" w:rsidRDefault="004B4F3C" w:rsidP="008B247D">
      <w:pPr>
        <w:pStyle w:val="Textonotapie"/>
        <w:spacing w:after="120"/>
        <w:jc w:val="both"/>
        <w:rPr>
          <w:rFonts w:ascii="Arial" w:hAnsi="Arial" w:cs="Arial"/>
          <w:lang w:val="es-ES"/>
        </w:rPr>
      </w:pPr>
      <w:r w:rsidRPr="00C57647">
        <w:rPr>
          <w:rStyle w:val="Refdenotaalpie"/>
          <w:rFonts w:ascii="Arial" w:hAnsi="Arial" w:cs="Arial"/>
          <w:lang w:val="es-ES"/>
        </w:rPr>
        <w:footnoteRef/>
      </w:r>
      <w:r w:rsidRPr="00C57647">
        <w:rPr>
          <w:rFonts w:ascii="Arial" w:hAnsi="Arial" w:cs="Arial"/>
          <w:lang w:val="es-ES"/>
        </w:rPr>
        <w:t xml:space="preserve"> Resuelto el 9 de marzo de 2011. Unanimidad de cinco votos de la ministra Olga Sánchez Cordero de García Villegas y los </w:t>
      </w:r>
      <w:r w:rsidRPr="00664FAE">
        <w:rPr>
          <w:rFonts w:ascii="Arial" w:hAnsi="Arial" w:cs="Arial"/>
          <w:lang w:val="es-ES"/>
        </w:rPr>
        <w:t>ministros Jorge Mario Pardo Rebolledo, José Ramón Cossío Díaz, quien formuló voto concurrente, Guillermo I. Ortiz Mayagoitía, y Arturo Zaldívar Lelo de Larrea (Presidente y Ponente).</w:t>
      </w:r>
    </w:p>
  </w:footnote>
  <w:footnote w:id="55">
    <w:p w14:paraId="3049D7EF" w14:textId="3D1D584A" w:rsidR="00664FAE" w:rsidRPr="00664FAE" w:rsidRDefault="00664FAE" w:rsidP="008B247D">
      <w:pPr>
        <w:pStyle w:val="Textonotapie"/>
        <w:spacing w:after="120"/>
        <w:jc w:val="both"/>
        <w:rPr>
          <w:rFonts w:ascii="Arial" w:hAnsi="Arial" w:cs="Arial"/>
        </w:rPr>
      </w:pPr>
      <w:r w:rsidRPr="00664FAE">
        <w:rPr>
          <w:rStyle w:val="Refdenotaalpie"/>
          <w:rFonts w:ascii="Arial" w:hAnsi="Arial" w:cs="Arial"/>
        </w:rPr>
        <w:footnoteRef/>
      </w:r>
      <w:r w:rsidRPr="00664FAE">
        <w:rPr>
          <w:rFonts w:ascii="Arial" w:hAnsi="Arial" w:cs="Arial"/>
        </w:rPr>
        <w:t xml:space="preserve"> Al respecto, el Código Civil de Nuevo León fija de manera distinta el contenido del régimen patrimonial: Art. 178.- El Contrato de Matrimonio debe celebrarse bajo el régimen de sociedad conyugal o bajo el de separación de bienes. A falta de régimen expresamente señalado, se estará sujeto al régimen de sociedad conyugal, y en ningún caso, los bienes adquiridos antes del matrimonio, el importe de la venta de los bienes propios, los adquiridos por herencia, donación o por cualquier otro título gratuito, los productos y los que se obtengan por su reinversión, formarán parte de la sociedad conyugal, salvo que expresamente se pacte lo contrario en las capitulaciones matrimoniales.</w:t>
      </w:r>
    </w:p>
  </w:footnote>
  <w:footnote w:id="56">
    <w:p w14:paraId="755B8DD0" w14:textId="6A6A6883" w:rsidR="00F57B01" w:rsidRDefault="004B4F3C" w:rsidP="008B247D">
      <w:pPr>
        <w:pStyle w:val="Textonotapie"/>
        <w:spacing w:after="120"/>
        <w:jc w:val="both"/>
        <w:rPr>
          <w:rFonts w:ascii="Arial" w:hAnsi="Arial" w:cs="Arial"/>
        </w:rPr>
      </w:pPr>
      <w:r w:rsidRPr="00664FAE">
        <w:rPr>
          <w:rStyle w:val="Refdenotaalpie"/>
          <w:rFonts w:ascii="Arial" w:hAnsi="Arial" w:cs="Arial"/>
        </w:rPr>
        <w:footnoteRef/>
      </w:r>
      <w:r w:rsidRPr="00664FAE">
        <w:rPr>
          <w:rFonts w:ascii="Arial" w:hAnsi="Arial" w:cs="Arial"/>
        </w:rPr>
        <w:t xml:space="preserve"> Art. 261.- Declarada la nulidad del matrimonio se procederá a la división de los bienes comunes. Los productos repartibles, si los dos</w:t>
      </w:r>
      <w:r w:rsidRPr="00C57647">
        <w:rPr>
          <w:rFonts w:ascii="Arial" w:hAnsi="Arial" w:cs="Arial"/>
        </w:rPr>
        <w:t xml:space="preserve"> cónyuges hubieren procedido de buena fé, se dividirán entre ellos en la forma convenida en las capitulaciones matrimoniales; si sólo hubiere habido buena fé por parte de uno de los cónyuges, a éste se aplicarán íntegramente esos productos. Si ha habido mala fé de parte de ambos cónyuges, los productos se aplicarán a favor de los hijos.</w:t>
      </w:r>
    </w:p>
    <w:p w14:paraId="118B9FD2" w14:textId="77777777" w:rsidR="002B0ACC" w:rsidRPr="00C57647" w:rsidRDefault="002B0ACC" w:rsidP="008B247D">
      <w:pPr>
        <w:pStyle w:val="Textonotapie"/>
        <w:spacing w:after="120"/>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8F27" w14:textId="77777777" w:rsidR="00A53562" w:rsidRDefault="00A53562" w:rsidP="0003301E">
    <w:pPr>
      <w:pStyle w:val="Encabezado"/>
      <w:spacing w:before="60" w:after="60"/>
      <w:jc w:val="center"/>
      <w:rPr>
        <w:rFonts w:ascii="Arial" w:hAnsi="Arial" w:cs="Arial"/>
        <w:b/>
        <w:sz w:val="28"/>
        <w:szCs w:val="28"/>
      </w:rPr>
    </w:pPr>
  </w:p>
  <w:p w14:paraId="3DF47CC5" w14:textId="77777777" w:rsidR="00A53562" w:rsidRDefault="00A53562" w:rsidP="0003301E">
    <w:pPr>
      <w:pStyle w:val="Encabezado"/>
      <w:spacing w:before="60" w:after="60"/>
      <w:jc w:val="center"/>
      <w:rPr>
        <w:rFonts w:ascii="Arial" w:hAnsi="Arial" w:cs="Arial"/>
        <w:b/>
        <w:sz w:val="28"/>
        <w:szCs w:val="28"/>
      </w:rPr>
    </w:pPr>
  </w:p>
  <w:p w14:paraId="676374D8" w14:textId="66F63BD2" w:rsidR="0092206A" w:rsidRPr="00A62D72" w:rsidRDefault="004B6F1C" w:rsidP="0003301E">
    <w:pPr>
      <w:pStyle w:val="Encabezado"/>
      <w:spacing w:before="60" w:after="60"/>
      <w:jc w:val="center"/>
      <w:rPr>
        <w:rFonts w:ascii="Arial" w:hAnsi="Arial" w:cs="Arial"/>
        <w:b/>
        <w:sz w:val="28"/>
        <w:szCs w:val="28"/>
      </w:rPr>
    </w:pPr>
    <w:r w:rsidRPr="00A62D72">
      <w:rPr>
        <w:rFonts w:ascii="Arial" w:hAnsi="Arial" w:cs="Arial"/>
        <w:b/>
        <w:sz w:val="28"/>
        <w:szCs w:val="28"/>
      </w:rPr>
      <w:t xml:space="preserve">AMPARO DIRECTO EN REVISIÓN </w:t>
    </w:r>
    <w:r w:rsidR="007C33F3">
      <w:rPr>
        <w:rFonts w:ascii="Arial" w:hAnsi="Arial" w:cs="Arial"/>
        <w:b/>
        <w:sz w:val="28"/>
        <w:szCs w:val="28"/>
      </w:rPr>
      <w:t>4261/2022</w:t>
    </w:r>
  </w:p>
  <w:p w14:paraId="6D867628" w14:textId="77777777" w:rsidR="004B6F1C" w:rsidRPr="00A62D72" w:rsidRDefault="004B6F1C" w:rsidP="0003301E">
    <w:pPr>
      <w:pStyle w:val="Encabezado"/>
      <w:spacing w:before="60" w:after="60"/>
      <w:jc w:val="center"/>
      <w:rPr>
        <w:rFonts w:ascii="Arial" w:hAnsi="Arial" w:cs="Arial"/>
        <w:b/>
        <w:sz w:val="28"/>
        <w:szCs w:val="28"/>
      </w:rPr>
    </w:pPr>
  </w:p>
  <w:p w14:paraId="5A6FC7C1" w14:textId="77777777" w:rsidR="004B6F1C" w:rsidRPr="00A62D72" w:rsidRDefault="004B6F1C" w:rsidP="0003301E">
    <w:pPr>
      <w:pStyle w:val="Encabezado"/>
      <w:spacing w:before="60" w:after="60"/>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73B"/>
    <w:multiLevelType w:val="hybridMultilevel"/>
    <w:tmpl w:val="49A24A0C"/>
    <w:lvl w:ilvl="0" w:tplc="92068E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E9E7F68"/>
    <w:multiLevelType w:val="hybridMultilevel"/>
    <w:tmpl w:val="E7E4C7EC"/>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9F803C4"/>
    <w:multiLevelType w:val="multilevel"/>
    <w:tmpl w:val="2B0E43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F7DED"/>
    <w:multiLevelType w:val="hybridMultilevel"/>
    <w:tmpl w:val="8700B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770DE3"/>
    <w:multiLevelType w:val="hybridMultilevel"/>
    <w:tmpl w:val="CC568B58"/>
    <w:lvl w:ilvl="0" w:tplc="3F5E51C8">
      <w:start w:val="1"/>
      <w:numFmt w:val="lowerLetter"/>
      <w:lvlText w:val="%1)"/>
      <w:lvlJc w:val="left"/>
      <w:pPr>
        <w:ind w:left="1211" w:hanging="360"/>
      </w:pPr>
      <w:rPr>
        <w:rFonts w:hint="default"/>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1E5A16F4"/>
    <w:multiLevelType w:val="hybridMultilevel"/>
    <w:tmpl w:val="82186766"/>
    <w:lvl w:ilvl="0" w:tplc="F5A44FC4">
      <w:start w:val="1"/>
      <w:numFmt w:val="upperRoman"/>
      <w:lvlText w:val="%1."/>
      <w:lvlJc w:val="left"/>
      <w:pPr>
        <w:ind w:left="1428" w:hanging="720"/>
      </w:pPr>
      <w:rPr>
        <w:rFonts w:eastAsiaTheme="minorEastAsia" w:cstheme="minorBid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4727320"/>
    <w:multiLevelType w:val="hybridMultilevel"/>
    <w:tmpl w:val="811804FE"/>
    <w:lvl w:ilvl="0" w:tplc="BD867128">
      <w:start w:val="1"/>
      <w:numFmt w:val="lowerRoman"/>
      <w:lvlText w:val="(%1)"/>
      <w:lvlJc w:val="left"/>
      <w:pPr>
        <w:ind w:left="153" w:hanging="72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29500FDF"/>
    <w:multiLevelType w:val="hybridMultilevel"/>
    <w:tmpl w:val="136683AC"/>
    <w:styleLink w:val="Estiloimportado1"/>
    <w:lvl w:ilvl="0" w:tplc="F81003DE">
      <w:start w:val="1"/>
      <w:numFmt w:val="decimal"/>
      <w:lvlText w:val="%1."/>
      <w:lvlJc w:val="left"/>
      <w:pPr>
        <w:tabs>
          <w:tab w:val="left" w:pos="1701"/>
          <w:tab w:val="left" w:pos="8338"/>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D7D238B0">
      <w:start w:val="1"/>
      <w:numFmt w:val="lowerLetter"/>
      <w:lvlText w:val="%2."/>
      <w:lvlJc w:val="left"/>
      <w:pPr>
        <w:tabs>
          <w:tab w:val="left" w:pos="1701"/>
          <w:tab w:val="left" w:pos="8338"/>
        </w:tabs>
        <w:ind w:left="720"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D46AD6E">
      <w:start w:val="1"/>
      <w:numFmt w:val="lowerRoman"/>
      <w:lvlText w:val="%3."/>
      <w:lvlJc w:val="left"/>
      <w:pPr>
        <w:tabs>
          <w:tab w:val="left" w:pos="1701"/>
          <w:tab w:val="left" w:pos="8338"/>
        </w:tabs>
        <w:ind w:left="1440" w:hanging="532"/>
      </w:pPr>
      <w:rPr>
        <w:rFonts w:hAnsi="Arial Unicode MS"/>
        <w:caps w:val="0"/>
        <w:smallCaps w:val="0"/>
        <w:strike w:val="0"/>
        <w:dstrike w:val="0"/>
        <w:outline w:val="0"/>
        <w:emboss w:val="0"/>
        <w:imprint w:val="0"/>
        <w:spacing w:val="0"/>
        <w:w w:val="100"/>
        <w:kern w:val="0"/>
        <w:position w:val="0"/>
        <w:highlight w:val="none"/>
        <w:vertAlign w:val="baseline"/>
      </w:rPr>
    </w:lvl>
    <w:lvl w:ilvl="3" w:tplc="079E9BFA">
      <w:start w:val="1"/>
      <w:numFmt w:val="decimal"/>
      <w:lvlText w:val="%4."/>
      <w:lvlJc w:val="left"/>
      <w:pPr>
        <w:tabs>
          <w:tab w:val="left" w:pos="1701"/>
          <w:tab w:val="left" w:pos="8338"/>
        </w:tabs>
        <w:ind w:left="2160"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906FEE4">
      <w:start w:val="1"/>
      <w:numFmt w:val="lowerLetter"/>
      <w:lvlText w:val="%5."/>
      <w:lvlJc w:val="left"/>
      <w:pPr>
        <w:tabs>
          <w:tab w:val="left" w:pos="1701"/>
          <w:tab w:val="left" w:pos="8338"/>
        </w:tabs>
        <w:ind w:left="2880"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9944D50">
      <w:start w:val="1"/>
      <w:numFmt w:val="lowerRoman"/>
      <w:lvlText w:val="%6."/>
      <w:lvlJc w:val="left"/>
      <w:pPr>
        <w:tabs>
          <w:tab w:val="left" w:pos="1701"/>
          <w:tab w:val="left" w:pos="8338"/>
        </w:tabs>
        <w:ind w:left="3600" w:hanging="532"/>
      </w:pPr>
      <w:rPr>
        <w:rFonts w:hAnsi="Arial Unicode MS"/>
        <w:caps w:val="0"/>
        <w:smallCaps w:val="0"/>
        <w:strike w:val="0"/>
        <w:dstrike w:val="0"/>
        <w:outline w:val="0"/>
        <w:emboss w:val="0"/>
        <w:imprint w:val="0"/>
        <w:spacing w:val="0"/>
        <w:w w:val="100"/>
        <w:kern w:val="0"/>
        <w:position w:val="0"/>
        <w:highlight w:val="none"/>
        <w:vertAlign w:val="baseline"/>
      </w:rPr>
    </w:lvl>
    <w:lvl w:ilvl="6" w:tplc="7436ADB8">
      <w:start w:val="1"/>
      <w:numFmt w:val="decimal"/>
      <w:lvlText w:val="%7."/>
      <w:lvlJc w:val="left"/>
      <w:pPr>
        <w:tabs>
          <w:tab w:val="left" w:pos="1701"/>
          <w:tab w:val="left" w:pos="8338"/>
        </w:tabs>
        <w:ind w:left="4320"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C241A14">
      <w:start w:val="1"/>
      <w:numFmt w:val="lowerLetter"/>
      <w:lvlText w:val="%8."/>
      <w:lvlJc w:val="left"/>
      <w:pPr>
        <w:tabs>
          <w:tab w:val="left" w:pos="1701"/>
          <w:tab w:val="left" w:pos="8338"/>
        </w:tabs>
        <w:ind w:left="5040"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4022F74">
      <w:start w:val="1"/>
      <w:numFmt w:val="lowerRoman"/>
      <w:lvlText w:val="%9."/>
      <w:lvlJc w:val="left"/>
      <w:pPr>
        <w:tabs>
          <w:tab w:val="left" w:pos="1701"/>
          <w:tab w:val="left" w:pos="8338"/>
        </w:tabs>
        <w:ind w:left="5760" w:hanging="5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4229E"/>
    <w:multiLevelType w:val="hybridMultilevel"/>
    <w:tmpl w:val="AD448D04"/>
    <w:lvl w:ilvl="0" w:tplc="FFFFFFFF">
      <w:start w:val="1"/>
      <w:numFmt w:val="upperRoman"/>
      <w:lvlText w:val="%1."/>
      <w:lvlJc w:val="left"/>
      <w:pPr>
        <w:ind w:left="1080" w:hanging="720"/>
      </w:pPr>
      <w:rPr>
        <w:rFonts w:eastAsiaTheme="minorHAnsi"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141FD7"/>
    <w:multiLevelType w:val="hybridMultilevel"/>
    <w:tmpl w:val="C130C6B6"/>
    <w:lvl w:ilvl="0" w:tplc="DBC225E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34B96208"/>
    <w:multiLevelType w:val="multilevel"/>
    <w:tmpl w:val="44189C2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E5052C"/>
    <w:multiLevelType w:val="hybridMultilevel"/>
    <w:tmpl w:val="136683AC"/>
    <w:numStyleLink w:val="Estiloimportado1"/>
  </w:abstractNum>
  <w:abstractNum w:abstractNumId="21" w15:restartNumberingAfterBreak="0">
    <w:nsid w:val="41330AA6"/>
    <w:multiLevelType w:val="hybridMultilevel"/>
    <w:tmpl w:val="0D68B8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42540C"/>
    <w:multiLevelType w:val="hybridMultilevel"/>
    <w:tmpl w:val="0EAEACD6"/>
    <w:lvl w:ilvl="0" w:tplc="FFFFFFFF">
      <w:start w:val="1"/>
      <w:numFmt w:val="decimal"/>
      <w:lvlText w:val="%1."/>
      <w:lvlJc w:val="left"/>
      <w:pPr>
        <w:ind w:left="720" w:hanging="360"/>
      </w:pPr>
      <w:rPr>
        <w:rFonts w:ascii="Arial" w:hAnsi="Arial" w:cs="Arial" w:hint="default"/>
        <w:b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AB40DD6"/>
    <w:multiLevelType w:val="hybridMultilevel"/>
    <w:tmpl w:val="6A9C4B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E14EF2"/>
    <w:multiLevelType w:val="hybridMultilevel"/>
    <w:tmpl w:val="FD30B0F6"/>
    <w:lvl w:ilvl="0" w:tplc="3FCE1D6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F6941F8"/>
    <w:multiLevelType w:val="hybridMultilevel"/>
    <w:tmpl w:val="F0AA5116"/>
    <w:lvl w:ilvl="0" w:tplc="03AC2C5A">
      <w:start w:val="1"/>
      <w:numFmt w:val="lowerLetter"/>
      <w:lvlText w:val="%1)"/>
      <w:lvlJc w:val="left"/>
      <w:pPr>
        <w:ind w:left="1211"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4FFC375E"/>
    <w:multiLevelType w:val="hybridMultilevel"/>
    <w:tmpl w:val="418052EC"/>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7" w15:restartNumberingAfterBreak="0">
    <w:nsid w:val="5BB744A1"/>
    <w:multiLevelType w:val="hybridMultilevel"/>
    <w:tmpl w:val="3CBE9A94"/>
    <w:lvl w:ilvl="0" w:tplc="8D16144A">
      <w:start w:val="9"/>
      <w:numFmt w:val="decimal"/>
      <w:lvlText w:val="%1."/>
      <w:lvlJc w:val="left"/>
      <w:pPr>
        <w:ind w:left="720" w:hanging="360"/>
      </w:pPr>
      <w:rPr>
        <w:rFonts w:ascii="Arial" w:hAnsi="Arial" w:cs="Arial"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9E33F6"/>
    <w:multiLevelType w:val="hybridMultilevel"/>
    <w:tmpl w:val="FC38990A"/>
    <w:lvl w:ilvl="0" w:tplc="B234F896">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C6715B"/>
    <w:multiLevelType w:val="hybridMultilevel"/>
    <w:tmpl w:val="2566FC3A"/>
    <w:lvl w:ilvl="0" w:tplc="7368D86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5"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181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7097891">
    <w:abstractNumId w:val="1"/>
  </w:num>
  <w:num w:numId="3" w16cid:durableId="16441158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0289145">
    <w:abstractNumId w:val="15"/>
  </w:num>
  <w:num w:numId="5" w16cid:durableId="1207445891">
    <w:abstractNumId w:val="2"/>
  </w:num>
  <w:num w:numId="6" w16cid:durableId="543098241">
    <w:abstractNumId w:val="16"/>
  </w:num>
  <w:num w:numId="7" w16cid:durableId="1043215904">
    <w:abstractNumId w:val="30"/>
  </w:num>
  <w:num w:numId="8" w16cid:durableId="218129185">
    <w:abstractNumId w:val="14"/>
  </w:num>
  <w:num w:numId="9" w16cid:durableId="525103038">
    <w:abstractNumId w:val="19"/>
  </w:num>
  <w:num w:numId="10" w16cid:durableId="28721012">
    <w:abstractNumId w:val="33"/>
  </w:num>
  <w:num w:numId="11" w16cid:durableId="1570529922">
    <w:abstractNumId w:val="18"/>
  </w:num>
  <w:num w:numId="12" w16cid:durableId="360472985">
    <w:abstractNumId w:val="9"/>
  </w:num>
  <w:num w:numId="13" w16cid:durableId="164055053">
    <w:abstractNumId w:val="29"/>
  </w:num>
  <w:num w:numId="14" w16cid:durableId="1527671938">
    <w:abstractNumId w:val="35"/>
  </w:num>
  <w:num w:numId="15" w16cid:durableId="1887252427">
    <w:abstractNumId w:val="10"/>
  </w:num>
  <w:num w:numId="16" w16cid:durableId="2016180157">
    <w:abstractNumId w:val="17"/>
  </w:num>
  <w:num w:numId="17" w16cid:durableId="1819684176">
    <w:abstractNumId w:val="32"/>
  </w:num>
  <w:num w:numId="18" w16cid:durableId="713508244">
    <w:abstractNumId w:val="25"/>
  </w:num>
  <w:num w:numId="19" w16cid:durableId="528494195">
    <w:abstractNumId w:val="31"/>
  </w:num>
  <w:num w:numId="20" w16cid:durableId="1516915515">
    <w:abstractNumId w:val="0"/>
  </w:num>
  <w:num w:numId="21" w16cid:durableId="120652006">
    <w:abstractNumId w:val="24"/>
  </w:num>
  <w:num w:numId="22" w16cid:durableId="974063306">
    <w:abstractNumId w:val="26"/>
  </w:num>
  <w:num w:numId="23" w16cid:durableId="1431655338">
    <w:abstractNumId w:val="6"/>
  </w:num>
  <w:num w:numId="24" w16cid:durableId="1737052977">
    <w:abstractNumId w:val="27"/>
  </w:num>
  <w:num w:numId="25" w16cid:durableId="1138647089">
    <w:abstractNumId w:val="11"/>
  </w:num>
  <w:num w:numId="26" w16cid:durableId="1686247207">
    <w:abstractNumId w:val="7"/>
  </w:num>
  <w:num w:numId="27" w16cid:durableId="359555006">
    <w:abstractNumId w:val="4"/>
  </w:num>
  <w:num w:numId="28" w16cid:durableId="6304073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6770382">
    <w:abstractNumId w:val="22"/>
  </w:num>
  <w:num w:numId="30" w16cid:durableId="458451954">
    <w:abstractNumId w:val="23"/>
  </w:num>
  <w:num w:numId="31" w16cid:durableId="97873639">
    <w:abstractNumId w:val="8"/>
  </w:num>
  <w:num w:numId="32" w16cid:durableId="1729719967">
    <w:abstractNumId w:val="20"/>
  </w:num>
  <w:num w:numId="33" w16cid:durableId="834035169">
    <w:abstractNumId w:val="28"/>
  </w:num>
  <w:num w:numId="34" w16cid:durableId="931278040">
    <w:abstractNumId w:val="3"/>
  </w:num>
  <w:num w:numId="35" w16cid:durableId="1029910145">
    <w:abstractNumId w:val="13"/>
  </w:num>
  <w:num w:numId="36" w16cid:durableId="852767696">
    <w:abstractNumId w:val="5"/>
  </w:num>
  <w:num w:numId="37" w16cid:durableId="16081916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F3"/>
    <w:rsid w:val="000002E2"/>
    <w:rsid w:val="00000834"/>
    <w:rsid w:val="000011E4"/>
    <w:rsid w:val="00002D2D"/>
    <w:rsid w:val="00003066"/>
    <w:rsid w:val="0000429B"/>
    <w:rsid w:val="00004B56"/>
    <w:rsid w:val="00005BB4"/>
    <w:rsid w:val="000101D3"/>
    <w:rsid w:val="00010982"/>
    <w:rsid w:val="00011796"/>
    <w:rsid w:val="00013B39"/>
    <w:rsid w:val="00013CCE"/>
    <w:rsid w:val="00014F21"/>
    <w:rsid w:val="000155DD"/>
    <w:rsid w:val="00015C46"/>
    <w:rsid w:val="0001677F"/>
    <w:rsid w:val="00017B76"/>
    <w:rsid w:val="00017D2C"/>
    <w:rsid w:val="000227A7"/>
    <w:rsid w:val="0002308E"/>
    <w:rsid w:val="00023D33"/>
    <w:rsid w:val="000250E8"/>
    <w:rsid w:val="0002647D"/>
    <w:rsid w:val="00026FB7"/>
    <w:rsid w:val="0002709E"/>
    <w:rsid w:val="00030CCA"/>
    <w:rsid w:val="00030D29"/>
    <w:rsid w:val="00030D82"/>
    <w:rsid w:val="00031E76"/>
    <w:rsid w:val="00032194"/>
    <w:rsid w:val="00032A3B"/>
    <w:rsid w:val="0003301E"/>
    <w:rsid w:val="00033B4F"/>
    <w:rsid w:val="000358AC"/>
    <w:rsid w:val="00035D57"/>
    <w:rsid w:val="00036079"/>
    <w:rsid w:val="00037852"/>
    <w:rsid w:val="00037C89"/>
    <w:rsid w:val="00037E70"/>
    <w:rsid w:val="00040C5B"/>
    <w:rsid w:val="000421A8"/>
    <w:rsid w:val="0004290E"/>
    <w:rsid w:val="00043252"/>
    <w:rsid w:val="000434ED"/>
    <w:rsid w:val="00045C3A"/>
    <w:rsid w:val="00045E06"/>
    <w:rsid w:val="0004747B"/>
    <w:rsid w:val="0004751D"/>
    <w:rsid w:val="00047BA1"/>
    <w:rsid w:val="00050FAE"/>
    <w:rsid w:val="000528BB"/>
    <w:rsid w:val="00056B3C"/>
    <w:rsid w:val="00057439"/>
    <w:rsid w:val="00057C11"/>
    <w:rsid w:val="000607F7"/>
    <w:rsid w:val="00060829"/>
    <w:rsid w:val="00060FC9"/>
    <w:rsid w:val="0006313A"/>
    <w:rsid w:val="000639E6"/>
    <w:rsid w:val="000645B8"/>
    <w:rsid w:val="00065C58"/>
    <w:rsid w:val="00065F21"/>
    <w:rsid w:val="00066073"/>
    <w:rsid w:val="000705D6"/>
    <w:rsid w:val="00070FFB"/>
    <w:rsid w:val="00072462"/>
    <w:rsid w:val="00072509"/>
    <w:rsid w:val="000725D6"/>
    <w:rsid w:val="00072DEB"/>
    <w:rsid w:val="00073E0B"/>
    <w:rsid w:val="00074537"/>
    <w:rsid w:val="0007489A"/>
    <w:rsid w:val="00074B84"/>
    <w:rsid w:val="00075BE5"/>
    <w:rsid w:val="00075E6A"/>
    <w:rsid w:val="00076B5A"/>
    <w:rsid w:val="000770B1"/>
    <w:rsid w:val="0008080B"/>
    <w:rsid w:val="00081154"/>
    <w:rsid w:val="00081E8F"/>
    <w:rsid w:val="000825AB"/>
    <w:rsid w:val="000825FD"/>
    <w:rsid w:val="00083F49"/>
    <w:rsid w:val="0008437B"/>
    <w:rsid w:val="00084428"/>
    <w:rsid w:val="00085140"/>
    <w:rsid w:val="000854DB"/>
    <w:rsid w:val="00086381"/>
    <w:rsid w:val="00086A1C"/>
    <w:rsid w:val="00087CB2"/>
    <w:rsid w:val="00090DE5"/>
    <w:rsid w:val="000946A2"/>
    <w:rsid w:val="00095273"/>
    <w:rsid w:val="00095946"/>
    <w:rsid w:val="00095BA8"/>
    <w:rsid w:val="00095DE9"/>
    <w:rsid w:val="000A0324"/>
    <w:rsid w:val="000A06EA"/>
    <w:rsid w:val="000A1BEE"/>
    <w:rsid w:val="000A1C50"/>
    <w:rsid w:val="000A308A"/>
    <w:rsid w:val="000A384C"/>
    <w:rsid w:val="000A3E00"/>
    <w:rsid w:val="000A4F32"/>
    <w:rsid w:val="000A4F90"/>
    <w:rsid w:val="000A5276"/>
    <w:rsid w:val="000A6BBB"/>
    <w:rsid w:val="000A74CC"/>
    <w:rsid w:val="000B0792"/>
    <w:rsid w:val="000B12B4"/>
    <w:rsid w:val="000B21E2"/>
    <w:rsid w:val="000B3BBC"/>
    <w:rsid w:val="000B3D0C"/>
    <w:rsid w:val="000B3E6E"/>
    <w:rsid w:val="000B4371"/>
    <w:rsid w:val="000B6D8B"/>
    <w:rsid w:val="000B7357"/>
    <w:rsid w:val="000B7F34"/>
    <w:rsid w:val="000C1B85"/>
    <w:rsid w:val="000C2431"/>
    <w:rsid w:val="000C2659"/>
    <w:rsid w:val="000C2763"/>
    <w:rsid w:val="000C3083"/>
    <w:rsid w:val="000C3833"/>
    <w:rsid w:val="000C3BD4"/>
    <w:rsid w:val="000C440F"/>
    <w:rsid w:val="000C4899"/>
    <w:rsid w:val="000C6493"/>
    <w:rsid w:val="000C67DA"/>
    <w:rsid w:val="000C6C36"/>
    <w:rsid w:val="000D0040"/>
    <w:rsid w:val="000D0306"/>
    <w:rsid w:val="000D18B2"/>
    <w:rsid w:val="000D1BDE"/>
    <w:rsid w:val="000D2D14"/>
    <w:rsid w:val="000D31B6"/>
    <w:rsid w:val="000D34B6"/>
    <w:rsid w:val="000D3BF0"/>
    <w:rsid w:val="000D4242"/>
    <w:rsid w:val="000D706A"/>
    <w:rsid w:val="000D7912"/>
    <w:rsid w:val="000E00E9"/>
    <w:rsid w:val="000E0542"/>
    <w:rsid w:val="000E1473"/>
    <w:rsid w:val="000E1692"/>
    <w:rsid w:val="000E1BFD"/>
    <w:rsid w:val="000E1CE0"/>
    <w:rsid w:val="000E2E20"/>
    <w:rsid w:val="000E320A"/>
    <w:rsid w:val="000E3F70"/>
    <w:rsid w:val="000E4939"/>
    <w:rsid w:val="000E6A4C"/>
    <w:rsid w:val="000E6E67"/>
    <w:rsid w:val="000E7CAE"/>
    <w:rsid w:val="000F0237"/>
    <w:rsid w:val="000F15DF"/>
    <w:rsid w:val="000F1CB6"/>
    <w:rsid w:val="000F2A38"/>
    <w:rsid w:val="000F36C7"/>
    <w:rsid w:val="000F3C79"/>
    <w:rsid w:val="000F4333"/>
    <w:rsid w:val="000F4E79"/>
    <w:rsid w:val="000F5E40"/>
    <w:rsid w:val="000F61D8"/>
    <w:rsid w:val="000F638A"/>
    <w:rsid w:val="000F6403"/>
    <w:rsid w:val="00100DAF"/>
    <w:rsid w:val="00101258"/>
    <w:rsid w:val="00101643"/>
    <w:rsid w:val="0010170A"/>
    <w:rsid w:val="00102FE7"/>
    <w:rsid w:val="00103851"/>
    <w:rsid w:val="00103B89"/>
    <w:rsid w:val="00103E0B"/>
    <w:rsid w:val="00103F59"/>
    <w:rsid w:val="001048C8"/>
    <w:rsid w:val="00104A6A"/>
    <w:rsid w:val="00106C92"/>
    <w:rsid w:val="00110657"/>
    <w:rsid w:val="00113779"/>
    <w:rsid w:val="001138DB"/>
    <w:rsid w:val="00113E33"/>
    <w:rsid w:val="00114472"/>
    <w:rsid w:val="00114CBA"/>
    <w:rsid w:val="00114E7E"/>
    <w:rsid w:val="00115646"/>
    <w:rsid w:val="00116509"/>
    <w:rsid w:val="001177B2"/>
    <w:rsid w:val="001177FB"/>
    <w:rsid w:val="00117C1E"/>
    <w:rsid w:val="001206E3"/>
    <w:rsid w:val="00123990"/>
    <w:rsid w:val="001241C5"/>
    <w:rsid w:val="00125698"/>
    <w:rsid w:val="00126AEA"/>
    <w:rsid w:val="00127065"/>
    <w:rsid w:val="00131542"/>
    <w:rsid w:val="00131CC0"/>
    <w:rsid w:val="00132736"/>
    <w:rsid w:val="00135B70"/>
    <w:rsid w:val="00135F38"/>
    <w:rsid w:val="00135F6D"/>
    <w:rsid w:val="00136A84"/>
    <w:rsid w:val="0014084A"/>
    <w:rsid w:val="00140D8D"/>
    <w:rsid w:val="00141155"/>
    <w:rsid w:val="00141251"/>
    <w:rsid w:val="001412A4"/>
    <w:rsid w:val="00141EA1"/>
    <w:rsid w:val="001420B3"/>
    <w:rsid w:val="001421C8"/>
    <w:rsid w:val="001434D2"/>
    <w:rsid w:val="00144ED6"/>
    <w:rsid w:val="00145235"/>
    <w:rsid w:val="00145B6A"/>
    <w:rsid w:val="00146A66"/>
    <w:rsid w:val="00146B20"/>
    <w:rsid w:val="00147547"/>
    <w:rsid w:val="00150471"/>
    <w:rsid w:val="00150CE8"/>
    <w:rsid w:val="00150DED"/>
    <w:rsid w:val="00154600"/>
    <w:rsid w:val="001564A6"/>
    <w:rsid w:val="00160106"/>
    <w:rsid w:val="00161114"/>
    <w:rsid w:val="0016292A"/>
    <w:rsid w:val="001633A9"/>
    <w:rsid w:val="00163B7B"/>
    <w:rsid w:val="00164275"/>
    <w:rsid w:val="001644B0"/>
    <w:rsid w:val="00164573"/>
    <w:rsid w:val="00164A3C"/>
    <w:rsid w:val="001653CC"/>
    <w:rsid w:val="001659F7"/>
    <w:rsid w:val="00165DB1"/>
    <w:rsid w:val="001674C9"/>
    <w:rsid w:val="0016751C"/>
    <w:rsid w:val="00167A26"/>
    <w:rsid w:val="00167E4B"/>
    <w:rsid w:val="00167E7C"/>
    <w:rsid w:val="00171011"/>
    <w:rsid w:val="00171592"/>
    <w:rsid w:val="00171A04"/>
    <w:rsid w:val="00172CF2"/>
    <w:rsid w:val="00172EA1"/>
    <w:rsid w:val="0017324E"/>
    <w:rsid w:val="001755B4"/>
    <w:rsid w:val="00175B16"/>
    <w:rsid w:val="001768DE"/>
    <w:rsid w:val="00176938"/>
    <w:rsid w:val="00176A5E"/>
    <w:rsid w:val="00177194"/>
    <w:rsid w:val="0018027D"/>
    <w:rsid w:val="00181772"/>
    <w:rsid w:val="001825DB"/>
    <w:rsid w:val="001827C8"/>
    <w:rsid w:val="0018369B"/>
    <w:rsid w:val="001839F9"/>
    <w:rsid w:val="0018454F"/>
    <w:rsid w:val="00184CB1"/>
    <w:rsid w:val="001851B2"/>
    <w:rsid w:val="00185422"/>
    <w:rsid w:val="00185A36"/>
    <w:rsid w:val="00185F92"/>
    <w:rsid w:val="0019085C"/>
    <w:rsid w:val="001917AC"/>
    <w:rsid w:val="00191B97"/>
    <w:rsid w:val="00191DE8"/>
    <w:rsid w:val="001922C4"/>
    <w:rsid w:val="00193103"/>
    <w:rsid w:val="001945FD"/>
    <w:rsid w:val="001A02A6"/>
    <w:rsid w:val="001A10F4"/>
    <w:rsid w:val="001A15DD"/>
    <w:rsid w:val="001A275A"/>
    <w:rsid w:val="001A279B"/>
    <w:rsid w:val="001A2CF0"/>
    <w:rsid w:val="001A3F74"/>
    <w:rsid w:val="001A5C0B"/>
    <w:rsid w:val="001A5C2C"/>
    <w:rsid w:val="001A6790"/>
    <w:rsid w:val="001A7B81"/>
    <w:rsid w:val="001A7BCB"/>
    <w:rsid w:val="001B1C3E"/>
    <w:rsid w:val="001B1E25"/>
    <w:rsid w:val="001B1E56"/>
    <w:rsid w:val="001B33B5"/>
    <w:rsid w:val="001B49AE"/>
    <w:rsid w:val="001B5F8A"/>
    <w:rsid w:val="001B7626"/>
    <w:rsid w:val="001C0D34"/>
    <w:rsid w:val="001C18A2"/>
    <w:rsid w:val="001C32BD"/>
    <w:rsid w:val="001C7868"/>
    <w:rsid w:val="001D01B2"/>
    <w:rsid w:val="001D05D7"/>
    <w:rsid w:val="001D099A"/>
    <w:rsid w:val="001D1AC5"/>
    <w:rsid w:val="001D1B68"/>
    <w:rsid w:val="001D283D"/>
    <w:rsid w:val="001D29EC"/>
    <w:rsid w:val="001D3D5C"/>
    <w:rsid w:val="001D5C06"/>
    <w:rsid w:val="001D66BD"/>
    <w:rsid w:val="001D6A2B"/>
    <w:rsid w:val="001D71DE"/>
    <w:rsid w:val="001D71E3"/>
    <w:rsid w:val="001D733C"/>
    <w:rsid w:val="001D73B8"/>
    <w:rsid w:val="001E2FC3"/>
    <w:rsid w:val="001E35D8"/>
    <w:rsid w:val="001E6CF6"/>
    <w:rsid w:val="001E6D72"/>
    <w:rsid w:val="001E6E3D"/>
    <w:rsid w:val="001E6ECD"/>
    <w:rsid w:val="001F01C9"/>
    <w:rsid w:val="001F0348"/>
    <w:rsid w:val="001F0A9E"/>
    <w:rsid w:val="001F0BC3"/>
    <w:rsid w:val="001F13C6"/>
    <w:rsid w:val="001F1F94"/>
    <w:rsid w:val="001F4ECE"/>
    <w:rsid w:val="001F62BF"/>
    <w:rsid w:val="001F6ACA"/>
    <w:rsid w:val="001F7866"/>
    <w:rsid w:val="001F79E7"/>
    <w:rsid w:val="001F7C4B"/>
    <w:rsid w:val="0020005E"/>
    <w:rsid w:val="00200774"/>
    <w:rsid w:val="0020105C"/>
    <w:rsid w:val="00201245"/>
    <w:rsid w:val="00201EE8"/>
    <w:rsid w:val="00202E3D"/>
    <w:rsid w:val="0020371A"/>
    <w:rsid w:val="00203E3D"/>
    <w:rsid w:val="00205237"/>
    <w:rsid w:val="0020589D"/>
    <w:rsid w:val="00211012"/>
    <w:rsid w:val="00211025"/>
    <w:rsid w:val="00212665"/>
    <w:rsid w:val="00214654"/>
    <w:rsid w:val="00214D6B"/>
    <w:rsid w:val="00215205"/>
    <w:rsid w:val="002153B0"/>
    <w:rsid w:val="0021607F"/>
    <w:rsid w:val="002168DA"/>
    <w:rsid w:val="00217F91"/>
    <w:rsid w:val="002203ED"/>
    <w:rsid w:val="0022053E"/>
    <w:rsid w:val="00220F2C"/>
    <w:rsid w:val="00221756"/>
    <w:rsid w:val="0022203F"/>
    <w:rsid w:val="0022245A"/>
    <w:rsid w:val="00222EB2"/>
    <w:rsid w:val="00223448"/>
    <w:rsid w:val="002238BE"/>
    <w:rsid w:val="00223BE2"/>
    <w:rsid w:val="00224333"/>
    <w:rsid w:val="00225057"/>
    <w:rsid w:val="00225177"/>
    <w:rsid w:val="002251F4"/>
    <w:rsid w:val="0022679C"/>
    <w:rsid w:val="00226C71"/>
    <w:rsid w:val="002277B9"/>
    <w:rsid w:val="00227C96"/>
    <w:rsid w:val="002300DF"/>
    <w:rsid w:val="00230842"/>
    <w:rsid w:val="00230EB4"/>
    <w:rsid w:val="00231B9D"/>
    <w:rsid w:val="0023268C"/>
    <w:rsid w:val="00232D80"/>
    <w:rsid w:val="0023301B"/>
    <w:rsid w:val="002330F2"/>
    <w:rsid w:val="002339BD"/>
    <w:rsid w:val="0023415B"/>
    <w:rsid w:val="00237BDD"/>
    <w:rsid w:val="002401AF"/>
    <w:rsid w:val="00240791"/>
    <w:rsid w:val="00241D2C"/>
    <w:rsid w:val="00241F37"/>
    <w:rsid w:val="00241FC1"/>
    <w:rsid w:val="0024392F"/>
    <w:rsid w:val="00244B3A"/>
    <w:rsid w:val="00245C0E"/>
    <w:rsid w:val="00245E7D"/>
    <w:rsid w:val="00250E60"/>
    <w:rsid w:val="0025178A"/>
    <w:rsid w:val="0025181B"/>
    <w:rsid w:val="00252296"/>
    <w:rsid w:val="002536B0"/>
    <w:rsid w:val="00253C88"/>
    <w:rsid w:val="002546DA"/>
    <w:rsid w:val="00254DE1"/>
    <w:rsid w:val="00255924"/>
    <w:rsid w:val="00260C96"/>
    <w:rsid w:val="0026147B"/>
    <w:rsid w:val="00261792"/>
    <w:rsid w:val="00262069"/>
    <w:rsid w:val="00264A09"/>
    <w:rsid w:val="00264A8D"/>
    <w:rsid w:val="00265B3E"/>
    <w:rsid w:val="00266580"/>
    <w:rsid w:val="002665EE"/>
    <w:rsid w:val="00266DBE"/>
    <w:rsid w:val="00267689"/>
    <w:rsid w:val="00272232"/>
    <w:rsid w:val="00272804"/>
    <w:rsid w:val="00273830"/>
    <w:rsid w:val="002738A0"/>
    <w:rsid w:val="00274492"/>
    <w:rsid w:val="0027526C"/>
    <w:rsid w:val="002770EA"/>
    <w:rsid w:val="00282034"/>
    <w:rsid w:val="00283281"/>
    <w:rsid w:val="0028440E"/>
    <w:rsid w:val="00284CE4"/>
    <w:rsid w:val="00285CAC"/>
    <w:rsid w:val="00287CB0"/>
    <w:rsid w:val="00291B28"/>
    <w:rsid w:val="00291F6C"/>
    <w:rsid w:val="0029247E"/>
    <w:rsid w:val="00292C80"/>
    <w:rsid w:val="00292D8D"/>
    <w:rsid w:val="0029316D"/>
    <w:rsid w:val="00294437"/>
    <w:rsid w:val="00294FB1"/>
    <w:rsid w:val="002953ED"/>
    <w:rsid w:val="00297E11"/>
    <w:rsid w:val="002A1BB3"/>
    <w:rsid w:val="002A393B"/>
    <w:rsid w:val="002A454F"/>
    <w:rsid w:val="002A4977"/>
    <w:rsid w:val="002B00CD"/>
    <w:rsid w:val="002B0193"/>
    <w:rsid w:val="002B0211"/>
    <w:rsid w:val="002B0ACC"/>
    <w:rsid w:val="002B1C54"/>
    <w:rsid w:val="002B4520"/>
    <w:rsid w:val="002B4B82"/>
    <w:rsid w:val="002B53E5"/>
    <w:rsid w:val="002B5D4F"/>
    <w:rsid w:val="002B771A"/>
    <w:rsid w:val="002C0255"/>
    <w:rsid w:val="002C02C4"/>
    <w:rsid w:val="002C0C38"/>
    <w:rsid w:val="002C2187"/>
    <w:rsid w:val="002C276A"/>
    <w:rsid w:val="002C3938"/>
    <w:rsid w:val="002C685B"/>
    <w:rsid w:val="002C6865"/>
    <w:rsid w:val="002C6BAB"/>
    <w:rsid w:val="002D1A1E"/>
    <w:rsid w:val="002D221F"/>
    <w:rsid w:val="002D35AB"/>
    <w:rsid w:val="002D4D7D"/>
    <w:rsid w:val="002D4E3F"/>
    <w:rsid w:val="002D664F"/>
    <w:rsid w:val="002D7FB1"/>
    <w:rsid w:val="002E025E"/>
    <w:rsid w:val="002E0BCA"/>
    <w:rsid w:val="002E3D42"/>
    <w:rsid w:val="002E4A01"/>
    <w:rsid w:val="002E55E3"/>
    <w:rsid w:val="002E6421"/>
    <w:rsid w:val="002E762B"/>
    <w:rsid w:val="002E7A6C"/>
    <w:rsid w:val="002E7F91"/>
    <w:rsid w:val="002F079D"/>
    <w:rsid w:val="002F12C8"/>
    <w:rsid w:val="002F133E"/>
    <w:rsid w:val="002F1F8D"/>
    <w:rsid w:val="002F20D2"/>
    <w:rsid w:val="002F2E0B"/>
    <w:rsid w:val="002F3439"/>
    <w:rsid w:val="002F3F49"/>
    <w:rsid w:val="002F548E"/>
    <w:rsid w:val="002F55CB"/>
    <w:rsid w:val="002F66C0"/>
    <w:rsid w:val="002F68FF"/>
    <w:rsid w:val="002F76FD"/>
    <w:rsid w:val="002F7B38"/>
    <w:rsid w:val="00300ACB"/>
    <w:rsid w:val="00300D36"/>
    <w:rsid w:val="00300E55"/>
    <w:rsid w:val="00300E62"/>
    <w:rsid w:val="003016CB"/>
    <w:rsid w:val="00301BCB"/>
    <w:rsid w:val="00301F30"/>
    <w:rsid w:val="003020BF"/>
    <w:rsid w:val="00304A1B"/>
    <w:rsid w:val="00304D45"/>
    <w:rsid w:val="003054C7"/>
    <w:rsid w:val="003057C1"/>
    <w:rsid w:val="00305802"/>
    <w:rsid w:val="0030712C"/>
    <w:rsid w:val="00307FCE"/>
    <w:rsid w:val="003101F7"/>
    <w:rsid w:val="003109F8"/>
    <w:rsid w:val="00313609"/>
    <w:rsid w:val="00313F06"/>
    <w:rsid w:val="00314BC8"/>
    <w:rsid w:val="00317AC5"/>
    <w:rsid w:val="0032023F"/>
    <w:rsid w:val="003205F1"/>
    <w:rsid w:val="0032084F"/>
    <w:rsid w:val="00320CFB"/>
    <w:rsid w:val="00321267"/>
    <w:rsid w:val="003250DD"/>
    <w:rsid w:val="00326344"/>
    <w:rsid w:val="00327708"/>
    <w:rsid w:val="00331E5D"/>
    <w:rsid w:val="003338EE"/>
    <w:rsid w:val="00333E4C"/>
    <w:rsid w:val="00335008"/>
    <w:rsid w:val="003352FC"/>
    <w:rsid w:val="0033538D"/>
    <w:rsid w:val="003358B3"/>
    <w:rsid w:val="00335F7F"/>
    <w:rsid w:val="00337165"/>
    <w:rsid w:val="00337A6A"/>
    <w:rsid w:val="00337ACB"/>
    <w:rsid w:val="003417DD"/>
    <w:rsid w:val="00342FAF"/>
    <w:rsid w:val="00343FBC"/>
    <w:rsid w:val="00345D5C"/>
    <w:rsid w:val="0034644B"/>
    <w:rsid w:val="00346829"/>
    <w:rsid w:val="00346F14"/>
    <w:rsid w:val="003474FF"/>
    <w:rsid w:val="003510E8"/>
    <w:rsid w:val="0035146B"/>
    <w:rsid w:val="00351F5D"/>
    <w:rsid w:val="003520FD"/>
    <w:rsid w:val="003521F5"/>
    <w:rsid w:val="00352A29"/>
    <w:rsid w:val="00353587"/>
    <w:rsid w:val="00353C32"/>
    <w:rsid w:val="0035585A"/>
    <w:rsid w:val="00355E79"/>
    <w:rsid w:val="00356746"/>
    <w:rsid w:val="003577E9"/>
    <w:rsid w:val="00357A4A"/>
    <w:rsid w:val="0036040A"/>
    <w:rsid w:val="003604E8"/>
    <w:rsid w:val="00360850"/>
    <w:rsid w:val="00360E36"/>
    <w:rsid w:val="00362DD6"/>
    <w:rsid w:val="00363FE6"/>
    <w:rsid w:val="003655AB"/>
    <w:rsid w:val="00365C6A"/>
    <w:rsid w:val="003664A6"/>
    <w:rsid w:val="003668B6"/>
    <w:rsid w:val="00366CE6"/>
    <w:rsid w:val="00367AEC"/>
    <w:rsid w:val="00367F21"/>
    <w:rsid w:val="003709E5"/>
    <w:rsid w:val="00370CB8"/>
    <w:rsid w:val="003721BF"/>
    <w:rsid w:val="0037314C"/>
    <w:rsid w:val="003739AC"/>
    <w:rsid w:val="00373C3C"/>
    <w:rsid w:val="00374832"/>
    <w:rsid w:val="00376290"/>
    <w:rsid w:val="00376F1F"/>
    <w:rsid w:val="003772A5"/>
    <w:rsid w:val="003775FF"/>
    <w:rsid w:val="0037771A"/>
    <w:rsid w:val="00380502"/>
    <w:rsid w:val="00381359"/>
    <w:rsid w:val="00383ABE"/>
    <w:rsid w:val="00384911"/>
    <w:rsid w:val="003852CA"/>
    <w:rsid w:val="00385CB3"/>
    <w:rsid w:val="00385D08"/>
    <w:rsid w:val="0038635A"/>
    <w:rsid w:val="00387446"/>
    <w:rsid w:val="003876FF"/>
    <w:rsid w:val="00391166"/>
    <w:rsid w:val="003914C0"/>
    <w:rsid w:val="0039330B"/>
    <w:rsid w:val="00393EC0"/>
    <w:rsid w:val="00394D9C"/>
    <w:rsid w:val="003959D4"/>
    <w:rsid w:val="00395B93"/>
    <w:rsid w:val="00397171"/>
    <w:rsid w:val="003A026B"/>
    <w:rsid w:val="003A19FB"/>
    <w:rsid w:val="003A3A03"/>
    <w:rsid w:val="003A574E"/>
    <w:rsid w:val="003A6A16"/>
    <w:rsid w:val="003A70D1"/>
    <w:rsid w:val="003A77ED"/>
    <w:rsid w:val="003A7A98"/>
    <w:rsid w:val="003B10B6"/>
    <w:rsid w:val="003B1229"/>
    <w:rsid w:val="003B2FDE"/>
    <w:rsid w:val="003B48EB"/>
    <w:rsid w:val="003B514E"/>
    <w:rsid w:val="003B52DE"/>
    <w:rsid w:val="003B54B4"/>
    <w:rsid w:val="003B565A"/>
    <w:rsid w:val="003B6275"/>
    <w:rsid w:val="003B6383"/>
    <w:rsid w:val="003B6D9C"/>
    <w:rsid w:val="003B7CEF"/>
    <w:rsid w:val="003C04A1"/>
    <w:rsid w:val="003C0D65"/>
    <w:rsid w:val="003C1044"/>
    <w:rsid w:val="003C3D46"/>
    <w:rsid w:val="003C3EC8"/>
    <w:rsid w:val="003C5498"/>
    <w:rsid w:val="003C5B73"/>
    <w:rsid w:val="003C6D35"/>
    <w:rsid w:val="003C7600"/>
    <w:rsid w:val="003C79EE"/>
    <w:rsid w:val="003C7A86"/>
    <w:rsid w:val="003C7F9C"/>
    <w:rsid w:val="003D3269"/>
    <w:rsid w:val="003D3F00"/>
    <w:rsid w:val="003D56D2"/>
    <w:rsid w:val="003D6B3D"/>
    <w:rsid w:val="003D6F3C"/>
    <w:rsid w:val="003E0BC9"/>
    <w:rsid w:val="003E1E64"/>
    <w:rsid w:val="003E2516"/>
    <w:rsid w:val="003E3807"/>
    <w:rsid w:val="003E3C6C"/>
    <w:rsid w:val="003E5EA4"/>
    <w:rsid w:val="003E741C"/>
    <w:rsid w:val="003E7785"/>
    <w:rsid w:val="003E7CF8"/>
    <w:rsid w:val="003F0388"/>
    <w:rsid w:val="003F06AA"/>
    <w:rsid w:val="003F1365"/>
    <w:rsid w:val="003F1CCD"/>
    <w:rsid w:val="003F2161"/>
    <w:rsid w:val="003F272C"/>
    <w:rsid w:val="003F33CB"/>
    <w:rsid w:val="003F3F8A"/>
    <w:rsid w:val="003F46D0"/>
    <w:rsid w:val="003F50B7"/>
    <w:rsid w:val="003F571F"/>
    <w:rsid w:val="003F64AD"/>
    <w:rsid w:val="003F7745"/>
    <w:rsid w:val="003F7936"/>
    <w:rsid w:val="004001BB"/>
    <w:rsid w:val="004001E2"/>
    <w:rsid w:val="004008AF"/>
    <w:rsid w:val="00400965"/>
    <w:rsid w:val="00400B71"/>
    <w:rsid w:val="00402082"/>
    <w:rsid w:val="00402A26"/>
    <w:rsid w:val="00402E1F"/>
    <w:rsid w:val="00404E9F"/>
    <w:rsid w:val="004073AF"/>
    <w:rsid w:val="004077CE"/>
    <w:rsid w:val="004079BA"/>
    <w:rsid w:val="004108D4"/>
    <w:rsid w:val="0041157F"/>
    <w:rsid w:val="0041160C"/>
    <w:rsid w:val="00412BB0"/>
    <w:rsid w:val="00415B88"/>
    <w:rsid w:val="00415BE9"/>
    <w:rsid w:val="004167F1"/>
    <w:rsid w:val="00416D80"/>
    <w:rsid w:val="00417B8F"/>
    <w:rsid w:val="00420591"/>
    <w:rsid w:val="004208CC"/>
    <w:rsid w:val="00420900"/>
    <w:rsid w:val="00421196"/>
    <w:rsid w:val="00421919"/>
    <w:rsid w:val="00421E8F"/>
    <w:rsid w:val="0042269A"/>
    <w:rsid w:val="004229A0"/>
    <w:rsid w:val="00422D32"/>
    <w:rsid w:val="00423F96"/>
    <w:rsid w:val="0042419B"/>
    <w:rsid w:val="0042469F"/>
    <w:rsid w:val="004248AF"/>
    <w:rsid w:val="00425F98"/>
    <w:rsid w:val="00427805"/>
    <w:rsid w:val="0042797B"/>
    <w:rsid w:val="0043024A"/>
    <w:rsid w:val="00430E7B"/>
    <w:rsid w:val="0043262F"/>
    <w:rsid w:val="0043401E"/>
    <w:rsid w:val="0043514F"/>
    <w:rsid w:val="00435537"/>
    <w:rsid w:val="00436E37"/>
    <w:rsid w:val="0043720D"/>
    <w:rsid w:val="00437DB0"/>
    <w:rsid w:val="00441BA6"/>
    <w:rsid w:val="00442A84"/>
    <w:rsid w:val="004431F0"/>
    <w:rsid w:val="004440C1"/>
    <w:rsid w:val="0044433A"/>
    <w:rsid w:val="00444739"/>
    <w:rsid w:val="00444E24"/>
    <w:rsid w:val="0044599C"/>
    <w:rsid w:val="00447020"/>
    <w:rsid w:val="0044768C"/>
    <w:rsid w:val="004503E9"/>
    <w:rsid w:val="0045095D"/>
    <w:rsid w:val="00450CEF"/>
    <w:rsid w:val="004514EE"/>
    <w:rsid w:val="00451812"/>
    <w:rsid w:val="004552DA"/>
    <w:rsid w:val="00455460"/>
    <w:rsid w:val="00455F44"/>
    <w:rsid w:val="004561F1"/>
    <w:rsid w:val="004567D2"/>
    <w:rsid w:val="00456818"/>
    <w:rsid w:val="00457456"/>
    <w:rsid w:val="004618CF"/>
    <w:rsid w:val="00461FEB"/>
    <w:rsid w:val="00463FCA"/>
    <w:rsid w:val="00464BCA"/>
    <w:rsid w:val="00464FC2"/>
    <w:rsid w:val="00470083"/>
    <w:rsid w:val="00470AD9"/>
    <w:rsid w:val="00470CC2"/>
    <w:rsid w:val="00470DD0"/>
    <w:rsid w:val="00471D94"/>
    <w:rsid w:val="00471F0D"/>
    <w:rsid w:val="00472824"/>
    <w:rsid w:val="004737CA"/>
    <w:rsid w:val="00473BF6"/>
    <w:rsid w:val="00480B9E"/>
    <w:rsid w:val="00480CCF"/>
    <w:rsid w:val="0048140A"/>
    <w:rsid w:val="00481847"/>
    <w:rsid w:val="00481882"/>
    <w:rsid w:val="004823C1"/>
    <w:rsid w:val="0048458F"/>
    <w:rsid w:val="00484F1C"/>
    <w:rsid w:val="00485CF0"/>
    <w:rsid w:val="00485D10"/>
    <w:rsid w:val="00486013"/>
    <w:rsid w:val="0048654E"/>
    <w:rsid w:val="00487868"/>
    <w:rsid w:val="00490028"/>
    <w:rsid w:val="00490D1F"/>
    <w:rsid w:val="0049247F"/>
    <w:rsid w:val="00492B60"/>
    <w:rsid w:val="004930C2"/>
    <w:rsid w:val="00493621"/>
    <w:rsid w:val="004951D8"/>
    <w:rsid w:val="00495CF0"/>
    <w:rsid w:val="00496E98"/>
    <w:rsid w:val="0049727A"/>
    <w:rsid w:val="004A18B1"/>
    <w:rsid w:val="004A1BFC"/>
    <w:rsid w:val="004A1CB6"/>
    <w:rsid w:val="004A51DF"/>
    <w:rsid w:val="004A60DB"/>
    <w:rsid w:val="004A6A52"/>
    <w:rsid w:val="004A777B"/>
    <w:rsid w:val="004B0E3A"/>
    <w:rsid w:val="004B20A7"/>
    <w:rsid w:val="004B26B0"/>
    <w:rsid w:val="004B459B"/>
    <w:rsid w:val="004B4F3C"/>
    <w:rsid w:val="004B6F1C"/>
    <w:rsid w:val="004B7B5C"/>
    <w:rsid w:val="004C05E3"/>
    <w:rsid w:val="004C075F"/>
    <w:rsid w:val="004C0C61"/>
    <w:rsid w:val="004C105C"/>
    <w:rsid w:val="004C1780"/>
    <w:rsid w:val="004C1C70"/>
    <w:rsid w:val="004C287B"/>
    <w:rsid w:val="004C2C29"/>
    <w:rsid w:val="004C3944"/>
    <w:rsid w:val="004C3B62"/>
    <w:rsid w:val="004C3C8A"/>
    <w:rsid w:val="004C3F0D"/>
    <w:rsid w:val="004C529E"/>
    <w:rsid w:val="004C6A62"/>
    <w:rsid w:val="004D01B4"/>
    <w:rsid w:val="004D03AD"/>
    <w:rsid w:val="004D09DA"/>
    <w:rsid w:val="004D2D17"/>
    <w:rsid w:val="004D469C"/>
    <w:rsid w:val="004D6615"/>
    <w:rsid w:val="004D6B60"/>
    <w:rsid w:val="004D796F"/>
    <w:rsid w:val="004E0094"/>
    <w:rsid w:val="004E0491"/>
    <w:rsid w:val="004E08B8"/>
    <w:rsid w:val="004E0EA0"/>
    <w:rsid w:val="004E1867"/>
    <w:rsid w:val="004E2236"/>
    <w:rsid w:val="004E23F9"/>
    <w:rsid w:val="004E295D"/>
    <w:rsid w:val="004E2FA4"/>
    <w:rsid w:val="004E3162"/>
    <w:rsid w:val="004E3D2E"/>
    <w:rsid w:val="004E3F5A"/>
    <w:rsid w:val="004E40CD"/>
    <w:rsid w:val="004E6453"/>
    <w:rsid w:val="004E6D64"/>
    <w:rsid w:val="004E70B4"/>
    <w:rsid w:val="004F13AE"/>
    <w:rsid w:val="004F14BD"/>
    <w:rsid w:val="004F1DDC"/>
    <w:rsid w:val="004F1FEB"/>
    <w:rsid w:val="004F2F10"/>
    <w:rsid w:val="004F3005"/>
    <w:rsid w:val="004F37DD"/>
    <w:rsid w:val="004F3B99"/>
    <w:rsid w:val="004F3E43"/>
    <w:rsid w:val="004F4741"/>
    <w:rsid w:val="004F4BC1"/>
    <w:rsid w:val="005008FA"/>
    <w:rsid w:val="00500D16"/>
    <w:rsid w:val="0050116C"/>
    <w:rsid w:val="00504157"/>
    <w:rsid w:val="005062B3"/>
    <w:rsid w:val="00506EB2"/>
    <w:rsid w:val="00507D9D"/>
    <w:rsid w:val="00507DA1"/>
    <w:rsid w:val="00510C20"/>
    <w:rsid w:val="00510D64"/>
    <w:rsid w:val="0051103C"/>
    <w:rsid w:val="00512185"/>
    <w:rsid w:val="00512445"/>
    <w:rsid w:val="005130F3"/>
    <w:rsid w:val="005135BD"/>
    <w:rsid w:val="0051457C"/>
    <w:rsid w:val="0051635E"/>
    <w:rsid w:val="00516772"/>
    <w:rsid w:val="00517C7F"/>
    <w:rsid w:val="00517F82"/>
    <w:rsid w:val="0052020B"/>
    <w:rsid w:val="0052057D"/>
    <w:rsid w:val="00520A9B"/>
    <w:rsid w:val="00521FAE"/>
    <w:rsid w:val="0052268B"/>
    <w:rsid w:val="0052348C"/>
    <w:rsid w:val="005236E2"/>
    <w:rsid w:val="0052574C"/>
    <w:rsid w:val="00525DD3"/>
    <w:rsid w:val="00530127"/>
    <w:rsid w:val="00530B55"/>
    <w:rsid w:val="00530EDB"/>
    <w:rsid w:val="00530F88"/>
    <w:rsid w:val="005322E9"/>
    <w:rsid w:val="00532D9B"/>
    <w:rsid w:val="00533284"/>
    <w:rsid w:val="005332B9"/>
    <w:rsid w:val="00533BBF"/>
    <w:rsid w:val="00535292"/>
    <w:rsid w:val="00535844"/>
    <w:rsid w:val="00536FA2"/>
    <w:rsid w:val="005371D1"/>
    <w:rsid w:val="00537767"/>
    <w:rsid w:val="00537A0A"/>
    <w:rsid w:val="005431D7"/>
    <w:rsid w:val="005438A4"/>
    <w:rsid w:val="0054423C"/>
    <w:rsid w:val="005457A9"/>
    <w:rsid w:val="005464C2"/>
    <w:rsid w:val="00547268"/>
    <w:rsid w:val="005478BB"/>
    <w:rsid w:val="00547C7A"/>
    <w:rsid w:val="005503B9"/>
    <w:rsid w:val="005508AB"/>
    <w:rsid w:val="00550B9E"/>
    <w:rsid w:val="00551907"/>
    <w:rsid w:val="00551CEC"/>
    <w:rsid w:val="0055303F"/>
    <w:rsid w:val="00553147"/>
    <w:rsid w:val="005549BA"/>
    <w:rsid w:val="005553E8"/>
    <w:rsid w:val="00556F27"/>
    <w:rsid w:val="005602E5"/>
    <w:rsid w:val="00560A06"/>
    <w:rsid w:val="0056135C"/>
    <w:rsid w:val="005628E6"/>
    <w:rsid w:val="00563046"/>
    <w:rsid w:val="005632EE"/>
    <w:rsid w:val="00564CA2"/>
    <w:rsid w:val="00564F53"/>
    <w:rsid w:val="00567E08"/>
    <w:rsid w:val="00571174"/>
    <w:rsid w:val="005713E6"/>
    <w:rsid w:val="00571584"/>
    <w:rsid w:val="00571587"/>
    <w:rsid w:val="00574ECB"/>
    <w:rsid w:val="0057557A"/>
    <w:rsid w:val="00576C47"/>
    <w:rsid w:val="00580DDB"/>
    <w:rsid w:val="00580FD3"/>
    <w:rsid w:val="00581053"/>
    <w:rsid w:val="00583F15"/>
    <w:rsid w:val="00584071"/>
    <w:rsid w:val="00584825"/>
    <w:rsid w:val="00584A46"/>
    <w:rsid w:val="00584D69"/>
    <w:rsid w:val="00585AE2"/>
    <w:rsid w:val="005868B4"/>
    <w:rsid w:val="00586953"/>
    <w:rsid w:val="00587DBF"/>
    <w:rsid w:val="00590100"/>
    <w:rsid w:val="00591192"/>
    <w:rsid w:val="0059127C"/>
    <w:rsid w:val="00591AD8"/>
    <w:rsid w:val="00591FA5"/>
    <w:rsid w:val="00594113"/>
    <w:rsid w:val="00594461"/>
    <w:rsid w:val="0059450C"/>
    <w:rsid w:val="00594B5A"/>
    <w:rsid w:val="00594C54"/>
    <w:rsid w:val="00595CFB"/>
    <w:rsid w:val="0059723F"/>
    <w:rsid w:val="005979C1"/>
    <w:rsid w:val="005A0FF1"/>
    <w:rsid w:val="005A18F8"/>
    <w:rsid w:val="005A1ECC"/>
    <w:rsid w:val="005A301E"/>
    <w:rsid w:val="005A3070"/>
    <w:rsid w:val="005A3163"/>
    <w:rsid w:val="005A36BB"/>
    <w:rsid w:val="005A3FB0"/>
    <w:rsid w:val="005A4DA8"/>
    <w:rsid w:val="005A5C65"/>
    <w:rsid w:val="005A5D48"/>
    <w:rsid w:val="005A686E"/>
    <w:rsid w:val="005A7E10"/>
    <w:rsid w:val="005B049A"/>
    <w:rsid w:val="005B1F3A"/>
    <w:rsid w:val="005B3F53"/>
    <w:rsid w:val="005B494A"/>
    <w:rsid w:val="005B4FDF"/>
    <w:rsid w:val="005B518B"/>
    <w:rsid w:val="005B538E"/>
    <w:rsid w:val="005B5754"/>
    <w:rsid w:val="005B5855"/>
    <w:rsid w:val="005B5F03"/>
    <w:rsid w:val="005B6088"/>
    <w:rsid w:val="005B7802"/>
    <w:rsid w:val="005C05A2"/>
    <w:rsid w:val="005C0D29"/>
    <w:rsid w:val="005C120C"/>
    <w:rsid w:val="005C2EEA"/>
    <w:rsid w:val="005C37FC"/>
    <w:rsid w:val="005C3EF2"/>
    <w:rsid w:val="005C4A80"/>
    <w:rsid w:val="005C4BD3"/>
    <w:rsid w:val="005C53AD"/>
    <w:rsid w:val="005C7A99"/>
    <w:rsid w:val="005D1110"/>
    <w:rsid w:val="005D1F39"/>
    <w:rsid w:val="005D2022"/>
    <w:rsid w:val="005D275B"/>
    <w:rsid w:val="005D2F02"/>
    <w:rsid w:val="005D4410"/>
    <w:rsid w:val="005D4458"/>
    <w:rsid w:val="005D51A6"/>
    <w:rsid w:val="005D5269"/>
    <w:rsid w:val="005D67A2"/>
    <w:rsid w:val="005D6D72"/>
    <w:rsid w:val="005E16A1"/>
    <w:rsid w:val="005E2280"/>
    <w:rsid w:val="005E23AB"/>
    <w:rsid w:val="005E2F97"/>
    <w:rsid w:val="005E3136"/>
    <w:rsid w:val="005E4773"/>
    <w:rsid w:val="005E648A"/>
    <w:rsid w:val="005E75B9"/>
    <w:rsid w:val="005E7896"/>
    <w:rsid w:val="005F043E"/>
    <w:rsid w:val="005F081C"/>
    <w:rsid w:val="005F0D38"/>
    <w:rsid w:val="005F1A28"/>
    <w:rsid w:val="005F1CDC"/>
    <w:rsid w:val="005F1F1C"/>
    <w:rsid w:val="005F20B5"/>
    <w:rsid w:val="005F2B5E"/>
    <w:rsid w:val="005F2E8A"/>
    <w:rsid w:val="005F32CF"/>
    <w:rsid w:val="005F3F23"/>
    <w:rsid w:val="005F5231"/>
    <w:rsid w:val="005F52B8"/>
    <w:rsid w:val="005F58C1"/>
    <w:rsid w:val="005F59F0"/>
    <w:rsid w:val="0060016A"/>
    <w:rsid w:val="006008C9"/>
    <w:rsid w:val="00600E09"/>
    <w:rsid w:val="00602D9B"/>
    <w:rsid w:val="00602F57"/>
    <w:rsid w:val="00603B30"/>
    <w:rsid w:val="006060C5"/>
    <w:rsid w:val="00606274"/>
    <w:rsid w:val="006071F7"/>
    <w:rsid w:val="006077BB"/>
    <w:rsid w:val="00607814"/>
    <w:rsid w:val="00611831"/>
    <w:rsid w:val="00612174"/>
    <w:rsid w:val="006128C0"/>
    <w:rsid w:val="00614A07"/>
    <w:rsid w:val="00615282"/>
    <w:rsid w:val="006165A0"/>
    <w:rsid w:val="006170FA"/>
    <w:rsid w:val="006201A1"/>
    <w:rsid w:val="00620980"/>
    <w:rsid w:val="00621271"/>
    <w:rsid w:val="006213E9"/>
    <w:rsid w:val="006219F2"/>
    <w:rsid w:val="006238CB"/>
    <w:rsid w:val="006239BB"/>
    <w:rsid w:val="00624A78"/>
    <w:rsid w:val="00624ABD"/>
    <w:rsid w:val="0062538B"/>
    <w:rsid w:val="00626206"/>
    <w:rsid w:val="00626681"/>
    <w:rsid w:val="00626912"/>
    <w:rsid w:val="00627128"/>
    <w:rsid w:val="00627459"/>
    <w:rsid w:val="006305AF"/>
    <w:rsid w:val="00631624"/>
    <w:rsid w:val="00631A0D"/>
    <w:rsid w:val="00632590"/>
    <w:rsid w:val="00633DD0"/>
    <w:rsid w:val="0063411E"/>
    <w:rsid w:val="00634799"/>
    <w:rsid w:val="00634DC3"/>
    <w:rsid w:val="00635347"/>
    <w:rsid w:val="006353FF"/>
    <w:rsid w:val="0063580A"/>
    <w:rsid w:val="00635CC6"/>
    <w:rsid w:val="00635E04"/>
    <w:rsid w:val="00636150"/>
    <w:rsid w:val="00636DC3"/>
    <w:rsid w:val="00636F7C"/>
    <w:rsid w:val="00642E50"/>
    <w:rsid w:val="006430CA"/>
    <w:rsid w:val="00643348"/>
    <w:rsid w:val="006445C8"/>
    <w:rsid w:val="0064550A"/>
    <w:rsid w:val="00645AF7"/>
    <w:rsid w:val="00645E64"/>
    <w:rsid w:val="00645EC0"/>
    <w:rsid w:val="006463C4"/>
    <w:rsid w:val="006465D2"/>
    <w:rsid w:val="0064727D"/>
    <w:rsid w:val="0064729C"/>
    <w:rsid w:val="006504AD"/>
    <w:rsid w:val="006541B0"/>
    <w:rsid w:val="00654870"/>
    <w:rsid w:val="006549A5"/>
    <w:rsid w:val="006549BA"/>
    <w:rsid w:val="006568AB"/>
    <w:rsid w:val="0066117B"/>
    <w:rsid w:val="0066311D"/>
    <w:rsid w:val="00663579"/>
    <w:rsid w:val="00663B38"/>
    <w:rsid w:val="0066405C"/>
    <w:rsid w:val="00664C2F"/>
    <w:rsid w:val="00664FAE"/>
    <w:rsid w:val="006652A7"/>
    <w:rsid w:val="00665E5D"/>
    <w:rsid w:val="00666588"/>
    <w:rsid w:val="00667360"/>
    <w:rsid w:val="00667C34"/>
    <w:rsid w:val="00670911"/>
    <w:rsid w:val="00670B7A"/>
    <w:rsid w:val="00671858"/>
    <w:rsid w:val="00674784"/>
    <w:rsid w:val="00676DEC"/>
    <w:rsid w:val="006775C1"/>
    <w:rsid w:val="00677980"/>
    <w:rsid w:val="00677B11"/>
    <w:rsid w:val="006807BB"/>
    <w:rsid w:val="006810CF"/>
    <w:rsid w:val="00681497"/>
    <w:rsid w:val="00681CA7"/>
    <w:rsid w:val="0068437F"/>
    <w:rsid w:val="00685986"/>
    <w:rsid w:val="00686486"/>
    <w:rsid w:val="006865C6"/>
    <w:rsid w:val="0068684D"/>
    <w:rsid w:val="00686B03"/>
    <w:rsid w:val="0069067A"/>
    <w:rsid w:val="006907B0"/>
    <w:rsid w:val="00691579"/>
    <w:rsid w:val="00692A05"/>
    <w:rsid w:val="00693ACF"/>
    <w:rsid w:val="00693B4D"/>
    <w:rsid w:val="00694551"/>
    <w:rsid w:val="00695135"/>
    <w:rsid w:val="006966F1"/>
    <w:rsid w:val="00697378"/>
    <w:rsid w:val="00697427"/>
    <w:rsid w:val="006975EB"/>
    <w:rsid w:val="00697814"/>
    <w:rsid w:val="006A0DAE"/>
    <w:rsid w:val="006A32B3"/>
    <w:rsid w:val="006A3BFE"/>
    <w:rsid w:val="006A511D"/>
    <w:rsid w:val="006A551F"/>
    <w:rsid w:val="006A6010"/>
    <w:rsid w:val="006A7E41"/>
    <w:rsid w:val="006B01FE"/>
    <w:rsid w:val="006B1985"/>
    <w:rsid w:val="006B4FBF"/>
    <w:rsid w:val="006B51EE"/>
    <w:rsid w:val="006B5A8E"/>
    <w:rsid w:val="006B79BF"/>
    <w:rsid w:val="006C076D"/>
    <w:rsid w:val="006C0A85"/>
    <w:rsid w:val="006C21E1"/>
    <w:rsid w:val="006C23D3"/>
    <w:rsid w:val="006C3A6D"/>
    <w:rsid w:val="006C4D84"/>
    <w:rsid w:val="006C4DFC"/>
    <w:rsid w:val="006C7026"/>
    <w:rsid w:val="006C727E"/>
    <w:rsid w:val="006C77B9"/>
    <w:rsid w:val="006C77EA"/>
    <w:rsid w:val="006D056C"/>
    <w:rsid w:val="006D3DA5"/>
    <w:rsid w:val="006D3EA0"/>
    <w:rsid w:val="006D4683"/>
    <w:rsid w:val="006D5AFD"/>
    <w:rsid w:val="006D5B37"/>
    <w:rsid w:val="006D61AF"/>
    <w:rsid w:val="006D6C01"/>
    <w:rsid w:val="006E016D"/>
    <w:rsid w:val="006E0BFF"/>
    <w:rsid w:val="006E157B"/>
    <w:rsid w:val="006E1754"/>
    <w:rsid w:val="006E3591"/>
    <w:rsid w:val="006E3CC5"/>
    <w:rsid w:val="006E421A"/>
    <w:rsid w:val="006E4499"/>
    <w:rsid w:val="006E53FC"/>
    <w:rsid w:val="006E5800"/>
    <w:rsid w:val="006E6AA3"/>
    <w:rsid w:val="006F17B9"/>
    <w:rsid w:val="006F1F36"/>
    <w:rsid w:val="006F1FBC"/>
    <w:rsid w:val="006F2A96"/>
    <w:rsid w:val="006F352A"/>
    <w:rsid w:val="006F51ED"/>
    <w:rsid w:val="006F5A5F"/>
    <w:rsid w:val="006F5D8E"/>
    <w:rsid w:val="006F6F5B"/>
    <w:rsid w:val="006F7680"/>
    <w:rsid w:val="00700D88"/>
    <w:rsid w:val="007025C5"/>
    <w:rsid w:val="0070315D"/>
    <w:rsid w:val="00703458"/>
    <w:rsid w:val="00703BDF"/>
    <w:rsid w:val="00704936"/>
    <w:rsid w:val="007058EF"/>
    <w:rsid w:val="0070609A"/>
    <w:rsid w:val="007060D7"/>
    <w:rsid w:val="00706966"/>
    <w:rsid w:val="00707399"/>
    <w:rsid w:val="007074BF"/>
    <w:rsid w:val="0071186A"/>
    <w:rsid w:val="00713E21"/>
    <w:rsid w:val="00714A45"/>
    <w:rsid w:val="00716CDD"/>
    <w:rsid w:val="00717923"/>
    <w:rsid w:val="00720038"/>
    <w:rsid w:val="00720365"/>
    <w:rsid w:val="00720EC7"/>
    <w:rsid w:val="00721BFA"/>
    <w:rsid w:val="0072200D"/>
    <w:rsid w:val="007221FE"/>
    <w:rsid w:val="00722F6A"/>
    <w:rsid w:val="00723E28"/>
    <w:rsid w:val="00724317"/>
    <w:rsid w:val="007278C8"/>
    <w:rsid w:val="00727CCB"/>
    <w:rsid w:val="007301A7"/>
    <w:rsid w:val="00730EFB"/>
    <w:rsid w:val="00732576"/>
    <w:rsid w:val="00732B3F"/>
    <w:rsid w:val="00733075"/>
    <w:rsid w:val="00733E31"/>
    <w:rsid w:val="00735540"/>
    <w:rsid w:val="0073571C"/>
    <w:rsid w:val="00735CE8"/>
    <w:rsid w:val="0073709E"/>
    <w:rsid w:val="007377F8"/>
    <w:rsid w:val="00740C97"/>
    <w:rsid w:val="007415ED"/>
    <w:rsid w:val="00741BFC"/>
    <w:rsid w:val="00741C32"/>
    <w:rsid w:val="00742D22"/>
    <w:rsid w:val="00742D2B"/>
    <w:rsid w:val="007435F9"/>
    <w:rsid w:val="00744481"/>
    <w:rsid w:val="0074448B"/>
    <w:rsid w:val="007452DA"/>
    <w:rsid w:val="007456FB"/>
    <w:rsid w:val="0074747A"/>
    <w:rsid w:val="007512C7"/>
    <w:rsid w:val="0075166E"/>
    <w:rsid w:val="00752356"/>
    <w:rsid w:val="00752DFD"/>
    <w:rsid w:val="00752E5C"/>
    <w:rsid w:val="00753E9D"/>
    <w:rsid w:val="0075417D"/>
    <w:rsid w:val="00754FD4"/>
    <w:rsid w:val="0075566A"/>
    <w:rsid w:val="0075596D"/>
    <w:rsid w:val="00755BE3"/>
    <w:rsid w:val="0075617A"/>
    <w:rsid w:val="0076092E"/>
    <w:rsid w:val="007630D3"/>
    <w:rsid w:val="007643B2"/>
    <w:rsid w:val="00764F69"/>
    <w:rsid w:val="00765F37"/>
    <w:rsid w:val="00767807"/>
    <w:rsid w:val="007704DE"/>
    <w:rsid w:val="00774A75"/>
    <w:rsid w:val="007754D7"/>
    <w:rsid w:val="007770D9"/>
    <w:rsid w:val="0077712D"/>
    <w:rsid w:val="007772A5"/>
    <w:rsid w:val="00780BAA"/>
    <w:rsid w:val="00780D04"/>
    <w:rsid w:val="00780DFB"/>
    <w:rsid w:val="0078138A"/>
    <w:rsid w:val="007821F4"/>
    <w:rsid w:val="00784200"/>
    <w:rsid w:val="00784310"/>
    <w:rsid w:val="00784B2B"/>
    <w:rsid w:val="007862DC"/>
    <w:rsid w:val="00786FBC"/>
    <w:rsid w:val="00787C1F"/>
    <w:rsid w:val="007902E7"/>
    <w:rsid w:val="007916EA"/>
    <w:rsid w:val="00792678"/>
    <w:rsid w:val="00792E4A"/>
    <w:rsid w:val="00794710"/>
    <w:rsid w:val="00794EB5"/>
    <w:rsid w:val="0079544B"/>
    <w:rsid w:val="007958D4"/>
    <w:rsid w:val="00795B48"/>
    <w:rsid w:val="00797915"/>
    <w:rsid w:val="007A05F0"/>
    <w:rsid w:val="007A09A4"/>
    <w:rsid w:val="007A0E55"/>
    <w:rsid w:val="007A1A9A"/>
    <w:rsid w:val="007A1FD2"/>
    <w:rsid w:val="007A23FF"/>
    <w:rsid w:val="007A4045"/>
    <w:rsid w:val="007A4B0D"/>
    <w:rsid w:val="007A50E0"/>
    <w:rsid w:val="007A59B8"/>
    <w:rsid w:val="007B16AA"/>
    <w:rsid w:val="007B3583"/>
    <w:rsid w:val="007B5344"/>
    <w:rsid w:val="007B73F8"/>
    <w:rsid w:val="007B79C4"/>
    <w:rsid w:val="007C0406"/>
    <w:rsid w:val="007C2B16"/>
    <w:rsid w:val="007C2FA7"/>
    <w:rsid w:val="007C33F3"/>
    <w:rsid w:val="007C3EF7"/>
    <w:rsid w:val="007C4941"/>
    <w:rsid w:val="007C4DAF"/>
    <w:rsid w:val="007C50DC"/>
    <w:rsid w:val="007C632D"/>
    <w:rsid w:val="007C71EF"/>
    <w:rsid w:val="007D15FC"/>
    <w:rsid w:val="007D28C9"/>
    <w:rsid w:val="007D2D9E"/>
    <w:rsid w:val="007D2FEB"/>
    <w:rsid w:val="007D33FB"/>
    <w:rsid w:val="007D385F"/>
    <w:rsid w:val="007D3A13"/>
    <w:rsid w:val="007D4297"/>
    <w:rsid w:val="007D4543"/>
    <w:rsid w:val="007D487F"/>
    <w:rsid w:val="007D51D9"/>
    <w:rsid w:val="007D6995"/>
    <w:rsid w:val="007D744F"/>
    <w:rsid w:val="007D7472"/>
    <w:rsid w:val="007D74D5"/>
    <w:rsid w:val="007E2DC9"/>
    <w:rsid w:val="007E3236"/>
    <w:rsid w:val="007E3554"/>
    <w:rsid w:val="007E447D"/>
    <w:rsid w:val="007E54D9"/>
    <w:rsid w:val="007E559C"/>
    <w:rsid w:val="007E62EB"/>
    <w:rsid w:val="007E796A"/>
    <w:rsid w:val="007F09CE"/>
    <w:rsid w:val="007F0E39"/>
    <w:rsid w:val="007F12B3"/>
    <w:rsid w:val="007F158E"/>
    <w:rsid w:val="007F1FF1"/>
    <w:rsid w:val="007F4C67"/>
    <w:rsid w:val="007F5BBB"/>
    <w:rsid w:val="007F6198"/>
    <w:rsid w:val="007F75F7"/>
    <w:rsid w:val="007F7D3B"/>
    <w:rsid w:val="008000D6"/>
    <w:rsid w:val="00800139"/>
    <w:rsid w:val="00800F33"/>
    <w:rsid w:val="00801AB1"/>
    <w:rsid w:val="00802FD3"/>
    <w:rsid w:val="008031D7"/>
    <w:rsid w:val="0080327D"/>
    <w:rsid w:val="0080489D"/>
    <w:rsid w:val="00804A04"/>
    <w:rsid w:val="0080665B"/>
    <w:rsid w:val="00806995"/>
    <w:rsid w:val="00810A39"/>
    <w:rsid w:val="00810D5B"/>
    <w:rsid w:val="008116CA"/>
    <w:rsid w:val="0081176A"/>
    <w:rsid w:val="00812619"/>
    <w:rsid w:val="00814629"/>
    <w:rsid w:val="00814FF3"/>
    <w:rsid w:val="0081545D"/>
    <w:rsid w:val="0081620E"/>
    <w:rsid w:val="00817EF9"/>
    <w:rsid w:val="008201DE"/>
    <w:rsid w:val="00820E7F"/>
    <w:rsid w:val="00821AC2"/>
    <w:rsid w:val="00825222"/>
    <w:rsid w:val="0082552D"/>
    <w:rsid w:val="00826CD8"/>
    <w:rsid w:val="00832CCB"/>
    <w:rsid w:val="00832EDF"/>
    <w:rsid w:val="00832F21"/>
    <w:rsid w:val="0083400E"/>
    <w:rsid w:val="00834011"/>
    <w:rsid w:val="00835F5B"/>
    <w:rsid w:val="00836878"/>
    <w:rsid w:val="00840507"/>
    <w:rsid w:val="00840C89"/>
    <w:rsid w:val="008411BA"/>
    <w:rsid w:val="00843425"/>
    <w:rsid w:val="00843CC8"/>
    <w:rsid w:val="00843CE9"/>
    <w:rsid w:val="00843F47"/>
    <w:rsid w:val="00844360"/>
    <w:rsid w:val="008446B9"/>
    <w:rsid w:val="008448E5"/>
    <w:rsid w:val="00845DFB"/>
    <w:rsid w:val="008469AF"/>
    <w:rsid w:val="00847B89"/>
    <w:rsid w:val="00847FDE"/>
    <w:rsid w:val="008502F3"/>
    <w:rsid w:val="00850E6F"/>
    <w:rsid w:val="00851479"/>
    <w:rsid w:val="00851B96"/>
    <w:rsid w:val="0085273D"/>
    <w:rsid w:val="008536C6"/>
    <w:rsid w:val="00853DA4"/>
    <w:rsid w:val="0085485C"/>
    <w:rsid w:val="00855A0C"/>
    <w:rsid w:val="00857899"/>
    <w:rsid w:val="00857E0F"/>
    <w:rsid w:val="0086246F"/>
    <w:rsid w:val="00862B15"/>
    <w:rsid w:val="008632D4"/>
    <w:rsid w:val="0086433F"/>
    <w:rsid w:val="008643D6"/>
    <w:rsid w:val="00864934"/>
    <w:rsid w:val="0086566E"/>
    <w:rsid w:val="00866312"/>
    <w:rsid w:val="008674E4"/>
    <w:rsid w:val="00867B0B"/>
    <w:rsid w:val="00870758"/>
    <w:rsid w:val="00870AB3"/>
    <w:rsid w:val="00872402"/>
    <w:rsid w:val="00872F06"/>
    <w:rsid w:val="0087357A"/>
    <w:rsid w:val="00873942"/>
    <w:rsid w:val="00873A6A"/>
    <w:rsid w:val="008740CE"/>
    <w:rsid w:val="00874380"/>
    <w:rsid w:val="00874650"/>
    <w:rsid w:val="008765CF"/>
    <w:rsid w:val="008767AB"/>
    <w:rsid w:val="00877023"/>
    <w:rsid w:val="0087728C"/>
    <w:rsid w:val="00877B02"/>
    <w:rsid w:val="00880E77"/>
    <w:rsid w:val="008815F3"/>
    <w:rsid w:val="00881AC1"/>
    <w:rsid w:val="00881D3F"/>
    <w:rsid w:val="00884489"/>
    <w:rsid w:val="008844BB"/>
    <w:rsid w:val="00884543"/>
    <w:rsid w:val="008845D1"/>
    <w:rsid w:val="00886419"/>
    <w:rsid w:val="00887626"/>
    <w:rsid w:val="00890A02"/>
    <w:rsid w:val="00892596"/>
    <w:rsid w:val="00892C4C"/>
    <w:rsid w:val="00893679"/>
    <w:rsid w:val="00893BE3"/>
    <w:rsid w:val="00893F3A"/>
    <w:rsid w:val="00896288"/>
    <w:rsid w:val="008A07FB"/>
    <w:rsid w:val="008A1421"/>
    <w:rsid w:val="008A1643"/>
    <w:rsid w:val="008A17C4"/>
    <w:rsid w:val="008A18D2"/>
    <w:rsid w:val="008A25B0"/>
    <w:rsid w:val="008A3A58"/>
    <w:rsid w:val="008A3B4B"/>
    <w:rsid w:val="008A3EAE"/>
    <w:rsid w:val="008A4363"/>
    <w:rsid w:val="008A52D1"/>
    <w:rsid w:val="008A58B8"/>
    <w:rsid w:val="008A5950"/>
    <w:rsid w:val="008A6AE2"/>
    <w:rsid w:val="008A76F4"/>
    <w:rsid w:val="008A7CB0"/>
    <w:rsid w:val="008B0252"/>
    <w:rsid w:val="008B247D"/>
    <w:rsid w:val="008B5519"/>
    <w:rsid w:val="008B5DD3"/>
    <w:rsid w:val="008B72D0"/>
    <w:rsid w:val="008C0979"/>
    <w:rsid w:val="008C0F57"/>
    <w:rsid w:val="008C11EE"/>
    <w:rsid w:val="008C34E9"/>
    <w:rsid w:val="008C3E0D"/>
    <w:rsid w:val="008C5534"/>
    <w:rsid w:val="008C57F6"/>
    <w:rsid w:val="008C5937"/>
    <w:rsid w:val="008C6042"/>
    <w:rsid w:val="008C7ADA"/>
    <w:rsid w:val="008D1BF9"/>
    <w:rsid w:val="008D2388"/>
    <w:rsid w:val="008D2487"/>
    <w:rsid w:val="008D28CA"/>
    <w:rsid w:val="008D39A5"/>
    <w:rsid w:val="008D3F62"/>
    <w:rsid w:val="008D4426"/>
    <w:rsid w:val="008D4DB6"/>
    <w:rsid w:val="008D5516"/>
    <w:rsid w:val="008D65BB"/>
    <w:rsid w:val="008E0006"/>
    <w:rsid w:val="008E0423"/>
    <w:rsid w:val="008E15E9"/>
    <w:rsid w:val="008E1AB3"/>
    <w:rsid w:val="008E35F9"/>
    <w:rsid w:val="008E36B8"/>
    <w:rsid w:val="008E61C9"/>
    <w:rsid w:val="008F0A25"/>
    <w:rsid w:val="008F0A9C"/>
    <w:rsid w:val="008F0B7A"/>
    <w:rsid w:val="008F2B6B"/>
    <w:rsid w:val="008F2EB8"/>
    <w:rsid w:val="008F4FF3"/>
    <w:rsid w:val="008F628C"/>
    <w:rsid w:val="008F677A"/>
    <w:rsid w:val="00901051"/>
    <w:rsid w:val="009011ED"/>
    <w:rsid w:val="0090120C"/>
    <w:rsid w:val="0090296B"/>
    <w:rsid w:val="009033CA"/>
    <w:rsid w:val="009048B1"/>
    <w:rsid w:val="00905B73"/>
    <w:rsid w:val="009063B8"/>
    <w:rsid w:val="0090641E"/>
    <w:rsid w:val="0090699F"/>
    <w:rsid w:val="009072E2"/>
    <w:rsid w:val="009074B6"/>
    <w:rsid w:val="00907D37"/>
    <w:rsid w:val="00910176"/>
    <w:rsid w:val="0091092D"/>
    <w:rsid w:val="00911C60"/>
    <w:rsid w:val="00911CE0"/>
    <w:rsid w:val="009129F2"/>
    <w:rsid w:val="00913AF3"/>
    <w:rsid w:val="00913BDC"/>
    <w:rsid w:val="009158F4"/>
    <w:rsid w:val="00915C11"/>
    <w:rsid w:val="00916045"/>
    <w:rsid w:val="00916B96"/>
    <w:rsid w:val="0091730E"/>
    <w:rsid w:val="00917B1A"/>
    <w:rsid w:val="00917F1E"/>
    <w:rsid w:val="009209A0"/>
    <w:rsid w:val="0092206A"/>
    <w:rsid w:val="00923896"/>
    <w:rsid w:val="009269FC"/>
    <w:rsid w:val="009274F9"/>
    <w:rsid w:val="00927F1F"/>
    <w:rsid w:val="00930CF4"/>
    <w:rsid w:val="00930E67"/>
    <w:rsid w:val="0093168E"/>
    <w:rsid w:val="009318F4"/>
    <w:rsid w:val="009328F9"/>
    <w:rsid w:val="00932E10"/>
    <w:rsid w:val="0093415B"/>
    <w:rsid w:val="00934B72"/>
    <w:rsid w:val="009356F2"/>
    <w:rsid w:val="009377C4"/>
    <w:rsid w:val="00937CFC"/>
    <w:rsid w:val="00941A63"/>
    <w:rsid w:val="00941B10"/>
    <w:rsid w:val="009440A8"/>
    <w:rsid w:val="00944C52"/>
    <w:rsid w:val="00945257"/>
    <w:rsid w:val="009464C1"/>
    <w:rsid w:val="00946974"/>
    <w:rsid w:val="00946DF0"/>
    <w:rsid w:val="00946EA9"/>
    <w:rsid w:val="00954048"/>
    <w:rsid w:val="00955ADD"/>
    <w:rsid w:val="00956FC1"/>
    <w:rsid w:val="00957021"/>
    <w:rsid w:val="00957841"/>
    <w:rsid w:val="00961805"/>
    <w:rsid w:val="00962362"/>
    <w:rsid w:val="0096263F"/>
    <w:rsid w:val="00962BBF"/>
    <w:rsid w:val="009636D7"/>
    <w:rsid w:val="00963B11"/>
    <w:rsid w:val="00963FF6"/>
    <w:rsid w:val="00964000"/>
    <w:rsid w:val="009674C2"/>
    <w:rsid w:val="0096757A"/>
    <w:rsid w:val="00970384"/>
    <w:rsid w:val="009726F0"/>
    <w:rsid w:val="00973179"/>
    <w:rsid w:val="00973447"/>
    <w:rsid w:val="00975049"/>
    <w:rsid w:val="00975FE6"/>
    <w:rsid w:val="009802F1"/>
    <w:rsid w:val="009807FD"/>
    <w:rsid w:val="00981925"/>
    <w:rsid w:val="00984E4F"/>
    <w:rsid w:val="00986052"/>
    <w:rsid w:val="00986239"/>
    <w:rsid w:val="00986264"/>
    <w:rsid w:val="00986393"/>
    <w:rsid w:val="00987981"/>
    <w:rsid w:val="00991187"/>
    <w:rsid w:val="00991452"/>
    <w:rsid w:val="0099271E"/>
    <w:rsid w:val="00992AEB"/>
    <w:rsid w:val="00992DA6"/>
    <w:rsid w:val="009930BD"/>
    <w:rsid w:val="00993A2D"/>
    <w:rsid w:val="00994491"/>
    <w:rsid w:val="0099465D"/>
    <w:rsid w:val="00995D07"/>
    <w:rsid w:val="00997AD3"/>
    <w:rsid w:val="009A0637"/>
    <w:rsid w:val="009A0CC1"/>
    <w:rsid w:val="009A1A1B"/>
    <w:rsid w:val="009A273C"/>
    <w:rsid w:val="009A3803"/>
    <w:rsid w:val="009A4D09"/>
    <w:rsid w:val="009A5B93"/>
    <w:rsid w:val="009A5ED4"/>
    <w:rsid w:val="009B0871"/>
    <w:rsid w:val="009B248B"/>
    <w:rsid w:val="009B38CF"/>
    <w:rsid w:val="009B4104"/>
    <w:rsid w:val="009B4AF9"/>
    <w:rsid w:val="009B6A2B"/>
    <w:rsid w:val="009B6A2F"/>
    <w:rsid w:val="009B6D2E"/>
    <w:rsid w:val="009B7033"/>
    <w:rsid w:val="009B73FF"/>
    <w:rsid w:val="009C107A"/>
    <w:rsid w:val="009C11A5"/>
    <w:rsid w:val="009C132C"/>
    <w:rsid w:val="009C25AA"/>
    <w:rsid w:val="009C3D19"/>
    <w:rsid w:val="009C3D86"/>
    <w:rsid w:val="009C422B"/>
    <w:rsid w:val="009C4C37"/>
    <w:rsid w:val="009C557B"/>
    <w:rsid w:val="009C7813"/>
    <w:rsid w:val="009D0330"/>
    <w:rsid w:val="009D051D"/>
    <w:rsid w:val="009D1588"/>
    <w:rsid w:val="009D236E"/>
    <w:rsid w:val="009D23DC"/>
    <w:rsid w:val="009D28E8"/>
    <w:rsid w:val="009D2C5D"/>
    <w:rsid w:val="009D2FDB"/>
    <w:rsid w:val="009D3908"/>
    <w:rsid w:val="009D3C38"/>
    <w:rsid w:val="009D4E2C"/>
    <w:rsid w:val="009E0492"/>
    <w:rsid w:val="009E4481"/>
    <w:rsid w:val="009E461D"/>
    <w:rsid w:val="009E4A9B"/>
    <w:rsid w:val="009E59D0"/>
    <w:rsid w:val="009E5ED3"/>
    <w:rsid w:val="009E714D"/>
    <w:rsid w:val="009E7A4D"/>
    <w:rsid w:val="009E7C4E"/>
    <w:rsid w:val="009E7D89"/>
    <w:rsid w:val="009E7E38"/>
    <w:rsid w:val="009F0C36"/>
    <w:rsid w:val="009F0D12"/>
    <w:rsid w:val="009F0D73"/>
    <w:rsid w:val="009F11EC"/>
    <w:rsid w:val="009F1950"/>
    <w:rsid w:val="009F203A"/>
    <w:rsid w:val="009F2813"/>
    <w:rsid w:val="009F3A3B"/>
    <w:rsid w:val="009F3B1E"/>
    <w:rsid w:val="009F3F0F"/>
    <w:rsid w:val="009F6861"/>
    <w:rsid w:val="009F6E76"/>
    <w:rsid w:val="009F7585"/>
    <w:rsid w:val="009F796F"/>
    <w:rsid w:val="009F7C50"/>
    <w:rsid w:val="00A00B0F"/>
    <w:rsid w:val="00A02F74"/>
    <w:rsid w:val="00A02FA7"/>
    <w:rsid w:val="00A03EB2"/>
    <w:rsid w:val="00A042FA"/>
    <w:rsid w:val="00A05715"/>
    <w:rsid w:val="00A05FBF"/>
    <w:rsid w:val="00A066C8"/>
    <w:rsid w:val="00A101A6"/>
    <w:rsid w:val="00A12046"/>
    <w:rsid w:val="00A12067"/>
    <w:rsid w:val="00A1309D"/>
    <w:rsid w:val="00A1398A"/>
    <w:rsid w:val="00A13C81"/>
    <w:rsid w:val="00A148B9"/>
    <w:rsid w:val="00A149DA"/>
    <w:rsid w:val="00A16B1C"/>
    <w:rsid w:val="00A2035F"/>
    <w:rsid w:val="00A20BDA"/>
    <w:rsid w:val="00A220DE"/>
    <w:rsid w:val="00A23390"/>
    <w:rsid w:val="00A234C7"/>
    <w:rsid w:val="00A23CA1"/>
    <w:rsid w:val="00A23F05"/>
    <w:rsid w:val="00A242B8"/>
    <w:rsid w:val="00A24BC3"/>
    <w:rsid w:val="00A24D97"/>
    <w:rsid w:val="00A252D1"/>
    <w:rsid w:val="00A260E7"/>
    <w:rsid w:val="00A26A5F"/>
    <w:rsid w:val="00A27B50"/>
    <w:rsid w:val="00A31038"/>
    <w:rsid w:val="00A31068"/>
    <w:rsid w:val="00A31093"/>
    <w:rsid w:val="00A313B2"/>
    <w:rsid w:val="00A320B9"/>
    <w:rsid w:val="00A32100"/>
    <w:rsid w:val="00A331CA"/>
    <w:rsid w:val="00A338E6"/>
    <w:rsid w:val="00A3423B"/>
    <w:rsid w:val="00A34497"/>
    <w:rsid w:val="00A344D6"/>
    <w:rsid w:val="00A34503"/>
    <w:rsid w:val="00A35EAF"/>
    <w:rsid w:val="00A3636B"/>
    <w:rsid w:val="00A36831"/>
    <w:rsid w:val="00A3756C"/>
    <w:rsid w:val="00A37DB2"/>
    <w:rsid w:val="00A41CED"/>
    <w:rsid w:val="00A42FF4"/>
    <w:rsid w:val="00A47F15"/>
    <w:rsid w:val="00A504B9"/>
    <w:rsid w:val="00A5168C"/>
    <w:rsid w:val="00A52B1B"/>
    <w:rsid w:val="00A532BE"/>
    <w:rsid w:val="00A53562"/>
    <w:rsid w:val="00A53F8A"/>
    <w:rsid w:val="00A53FDC"/>
    <w:rsid w:val="00A546C0"/>
    <w:rsid w:val="00A55893"/>
    <w:rsid w:val="00A56855"/>
    <w:rsid w:val="00A57364"/>
    <w:rsid w:val="00A573A3"/>
    <w:rsid w:val="00A57816"/>
    <w:rsid w:val="00A601AD"/>
    <w:rsid w:val="00A613A1"/>
    <w:rsid w:val="00A619E2"/>
    <w:rsid w:val="00A61A50"/>
    <w:rsid w:val="00A62A12"/>
    <w:rsid w:val="00A62D72"/>
    <w:rsid w:val="00A633CD"/>
    <w:rsid w:val="00A63AFA"/>
    <w:rsid w:val="00A63DFE"/>
    <w:rsid w:val="00A6618B"/>
    <w:rsid w:val="00A66555"/>
    <w:rsid w:val="00A6682F"/>
    <w:rsid w:val="00A727AD"/>
    <w:rsid w:val="00A734FE"/>
    <w:rsid w:val="00A737AA"/>
    <w:rsid w:val="00A74813"/>
    <w:rsid w:val="00A76506"/>
    <w:rsid w:val="00A779BA"/>
    <w:rsid w:val="00A80B3D"/>
    <w:rsid w:val="00A821CB"/>
    <w:rsid w:val="00A82E91"/>
    <w:rsid w:val="00A84101"/>
    <w:rsid w:val="00A852B1"/>
    <w:rsid w:val="00A8559D"/>
    <w:rsid w:val="00A8758E"/>
    <w:rsid w:val="00A90FB3"/>
    <w:rsid w:val="00A91416"/>
    <w:rsid w:val="00A91778"/>
    <w:rsid w:val="00A917D1"/>
    <w:rsid w:val="00A91DAB"/>
    <w:rsid w:val="00A91FF3"/>
    <w:rsid w:val="00A92E67"/>
    <w:rsid w:val="00A92F7F"/>
    <w:rsid w:val="00A93AB8"/>
    <w:rsid w:val="00A94160"/>
    <w:rsid w:val="00A95180"/>
    <w:rsid w:val="00A95186"/>
    <w:rsid w:val="00A96CF6"/>
    <w:rsid w:val="00AA1FD5"/>
    <w:rsid w:val="00AA2ADF"/>
    <w:rsid w:val="00AA2B26"/>
    <w:rsid w:val="00AA313A"/>
    <w:rsid w:val="00AA4174"/>
    <w:rsid w:val="00AA5606"/>
    <w:rsid w:val="00AA5D8B"/>
    <w:rsid w:val="00AA60DE"/>
    <w:rsid w:val="00AA6A69"/>
    <w:rsid w:val="00AA7481"/>
    <w:rsid w:val="00AA7BC5"/>
    <w:rsid w:val="00AA7C9D"/>
    <w:rsid w:val="00AB0802"/>
    <w:rsid w:val="00AB1E36"/>
    <w:rsid w:val="00AB2A90"/>
    <w:rsid w:val="00AB57AB"/>
    <w:rsid w:val="00AB6165"/>
    <w:rsid w:val="00AB62FA"/>
    <w:rsid w:val="00AB6914"/>
    <w:rsid w:val="00AB6A88"/>
    <w:rsid w:val="00AB73BE"/>
    <w:rsid w:val="00AB7F13"/>
    <w:rsid w:val="00AC019F"/>
    <w:rsid w:val="00AC0F5F"/>
    <w:rsid w:val="00AC1186"/>
    <w:rsid w:val="00AC19EB"/>
    <w:rsid w:val="00AC263F"/>
    <w:rsid w:val="00AC2746"/>
    <w:rsid w:val="00AC27D3"/>
    <w:rsid w:val="00AC2E23"/>
    <w:rsid w:val="00AC390F"/>
    <w:rsid w:val="00AC3DC6"/>
    <w:rsid w:val="00AC4627"/>
    <w:rsid w:val="00AC506D"/>
    <w:rsid w:val="00AC5406"/>
    <w:rsid w:val="00AC7069"/>
    <w:rsid w:val="00AC7329"/>
    <w:rsid w:val="00AD0033"/>
    <w:rsid w:val="00AD1499"/>
    <w:rsid w:val="00AD1F55"/>
    <w:rsid w:val="00AD21A4"/>
    <w:rsid w:val="00AD7374"/>
    <w:rsid w:val="00AD76C1"/>
    <w:rsid w:val="00AD7977"/>
    <w:rsid w:val="00AE0274"/>
    <w:rsid w:val="00AE0408"/>
    <w:rsid w:val="00AE0B30"/>
    <w:rsid w:val="00AE1DA9"/>
    <w:rsid w:val="00AE2CD4"/>
    <w:rsid w:val="00AE410B"/>
    <w:rsid w:val="00AE4DDF"/>
    <w:rsid w:val="00AE5BCD"/>
    <w:rsid w:val="00AE6AAD"/>
    <w:rsid w:val="00AE6E96"/>
    <w:rsid w:val="00AE722B"/>
    <w:rsid w:val="00AE7558"/>
    <w:rsid w:val="00AF07CE"/>
    <w:rsid w:val="00AF0820"/>
    <w:rsid w:val="00AF0CE8"/>
    <w:rsid w:val="00AF27D0"/>
    <w:rsid w:val="00AF3A8B"/>
    <w:rsid w:val="00AF3C80"/>
    <w:rsid w:val="00AF4F78"/>
    <w:rsid w:val="00AF500A"/>
    <w:rsid w:val="00AF57AB"/>
    <w:rsid w:val="00AF6A74"/>
    <w:rsid w:val="00B00EE7"/>
    <w:rsid w:val="00B01520"/>
    <w:rsid w:val="00B01C2E"/>
    <w:rsid w:val="00B020CC"/>
    <w:rsid w:val="00B0221D"/>
    <w:rsid w:val="00B02741"/>
    <w:rsid w:val="00B03530"/>
    <w:rsid w:val="00B03FE0"/>
    <w:rsid w:val="00B04D79"/>
    <w:rsid w:val="00B05DE2"/>
    <w:rsid w:val="00B0630B"/>
    <w:rsid w:val="00B068E0"/>
    <w:rsid w:val="00B10015"/>
    <w:rsid w:val="00B103CB"/>
    <w:rsid w:val="00B13207"/>
    <w:rsid w:val="00B141B6"/>
    <w:rsid w:val="00B1496D"/>
    <w:rsid w:val="00B15201"/>
    <w:rsid w:val="00B15B2B"/>
    <w:rsid w:val="00B15D2C"/>
    <w:rsid w:val="00B17EBB"/>
    <w:rsid w:val="00B21518"/>
    <w:rsid w:val="00B215E8"/>
    <w:rsid w:val="00B223A1"/>
    <w:rsid w:val="00B24EE7"/>
    <w:rsid w:val="00B30747"/>
    <w:rsid w:val="00B31D10"/>
    <w:rsid w:val="00B32AFD"/>
    <w:rsid w:val="00B33285"/>
    <w:rsid w:val="00B334B0"/>
    <w:rsid w:val="00B33C82"/>
    <w:rsid w:val="00B35463"/>
    <w:rsid w:val="00B37266"/>
    <w:rsid w:val="00B373CA"/>
    <w:rsid w:val="00B40317"/>
    <w:rsid w:val="00B4084A"/>
    <w:rsid w:val="00B40ABD"/>
    <w:rsid w:val="00B4265C"/>
    <w:rsid w:val="00B42677"/>
    <w:rsid w:val="00B434EE"/>
    <w:rsid w:val="00B443E9"/>
    <w:rsid w:val="00B44649"/>
    <w:rsid w:val="00B448AC"/>
    <w:rsid w:val="00B46DA9"/>
    <w:rsid w:val="00B5075D"/>
    <w:rsid w:val="00B50DE8"/>
    <w:rsid w:val="00B53236"/>
    <w:rsid w:val="00B54FD9"/>
    <w:rsid w:val="00B55903"/>
    <w:rsid w:val="00B560F9"/>
    <w:rsid w:val="00B578AF"/>
    <w:rsid w:val="00B5794F"/>
    <w:rsid w:val="00B601A3"/>
    <w:rsid w:val="00B607EA"/>
    <w:rsid w:val="00B609A3"/>
    <w:rsid w:val="00B60F1A"/>
    <w:rsid w:val="00B62018"/>
    <w:rsid w:val="00B62206"/>
    <w:rsid w:val="00B62B5C"/>
    <w:rsid w:val="00B63B87"/>
    <w:rsid w:val="00B63DFC"/>
    <w:rsid w:val="00B6445E"/>
    <w:rsid w:val="00B64C10"/>
    <w:rsid w:val="00B658C4"/>
    <w:rsid w:val="00B66A61"/>
    <w:rsid w:val="00B66CF6"/>
    <w:rsid w:val="00B67AD9"/>
    <w:rsid w:val="00B702B3"/>
    <w:rsid w:val="00B71CEA"/>
    <w:rsid w:val="00B73313"/>
    <w:rsid w:val="00B73375"/>
    <w:rsid w:val="00B75392"/>
    <w:rsid w:val="00B76007"/>
    <w:rsid w:val="00B7625C"/>
    <w:rsid w:val="00B7771C"/>
    <w:rsid w:val="00B77DA1"/>
    <w:rsid w:val="00B77F02"/>
    <w:rsid w:val="00B80C74"/>
    <w:rsid w:val="00B83BF3"/>
    <w:rsid w:val="00B841BB"/>
    <w:rsid w:val="00B854C6"/>
    <w:rsid w:val="00B85879"/>
    <w:rsid w:val="00B86ACF"/>
    <w:rsid w:val="00B92255"/>
    <w:rsid w:val="00B93A1F"/>
    <w:rsid w:val="00B93D9E"/>
    <w:rsid w:val="00B93E26"/>
    <w:rsid w:val="00B9441F"/>
    <w:rsid w:val="00B945F6"/>
    <w:rsid w:val="00B9520F"/>
    <w:rsid w:val="00B96516"/>
    <w:rsid w:val="00B977F0"/>
    <w:rsid w:val="00B97810"/>
    <w:rsid w:val="00BA13CC"/>
    <w:rsid w:val="00BA28EB"/>
    <w:rsid w:val="00BA2958"/>
    <w:rsid w:val="00BA299C"/>
    <w:rsid w:val="00BA4A19"/>
    <w:rsid w:val="00BA5034"/>
    <w:rsid w:val="00BA569B"/>
    <w:rsid w:val="00BA60C8"/>
    <w:rsid w:val="00BA61F7"/>
    <w:rsid w:val="00BA67FD"/>
    <w:rsid w:val="00BA6D28"/>
    <w:rsid w:val="00BB16F6"/>
    <w:rsid w:val="00BB395F"/>
    <w:rsid w:val="00BB3D40"/>
    <w:rsid w:val="00BB4852"/>
    <w:rsid w:val="00BB5253"/>
    <w:rsid w:val="00BB5630"/>
    <w:rsid w:val="00BB6F36"/>
    <w:rsid w:val="00BB7008"/>
    <w:rsid w:val="00BB7240"/>
    <w:rsid w:val="00BB7310"/>
    <w:rsid w:val="00BC046A"/>
    <w:rsid w:val="00BC0CC6"/>
    <w:rsid w:val="00BC2BCF"/>
    <w:rsid w:val="00BC3DF6"/>
    <w:rsid w:val="00BC3F8E"/>
    <w:rsid w:val="00BC4ACB"/>
    <w:rsid w:val="00BC6B17"/>
    <w:rsid w:val="00BC7A04"/>
    <w:rsid w:val="00BD0223"/>
    <w:rsid w:val="00BD08D2"/>
    <w:rsid w:val="00BD0E4B"/>
    <w:rsid w:val="00BD1046"/>
    <w:rsid w:val="00BD11E1"/>
    <w:rsid w:val="00BD18F2"/>
    <w:rsid w:val="00BD19E6"/>
    <w:rsid w:val="00BD1AC1"/>
    <w:rsid w:val="00BD2577"/>
    <w:rsid w:val="00BD354A"/>
    <w:rsid w:val="00BD5102"/>
    <w:rsid w:val="00BE0A80"/>
    <w:rsid w:val="00BE28D2"/>
    <w:rsid w:val="00BE34CB"/>
    <w:rsid w:val="00BE484E"/>
    <w:rsid w:val="00BF2899"/>
    <w:rsid w:val="00BF37C9"/>
    <w:rsid w:val="00BF3CDC"/>
    <w:rsid w:val="00BF4ADE"/>
    <w:rsid w:val="00BF4FD0"/>
    <w:rsid w:val="00BF5189"/>
    <w:rsid w:val="00BF5CEB"/>
    <w:rsid w:val="00BF7B0C"/>
    <w:rsid w:val="00C00B6F"/>
    <w:rsid w:val="00C00B9D"/>
    <w:rsid w:val="00C01749"/>
    <w:rsid w:val="00C01C93"/>
    <w:rsid w:val="00C02BFD"/>
    <w:rsid w:val="00C07E8A"/>
    <w:rsid w:val="00C10AFB"/>
    <w:rsid w:val="00C10F57"/>
    <w:rsid w:val="00C117D5"/>
    <w:rsid w:val="00C1195F"/>
    <w:rsid w:val="00C11BE1"/>
    <w:rsid w:val="00C12150"/>
    <w:rsid w:val="00C123A8"/>
    <w:rsid w:val="00C12A17"/>
    <w:rsid w:val="00C12C01"/>
    <w:rsid w:val="00C13E1E"/>
    <w:rsid w:val="00C152CB"/>
    <w:rsid w:val="00C15CB7"/>
    <w:rsid w:val="00C16466"/>
    <w:rsid w:val="00C175D8"/>
    <w:rsid w:val="00C17948"/>
    <w:rsid w:val="00C20528"/>
    <w:rsid w:val="00C2062D"/>
    <w:rsid w:val="00C2260F"/>
    <w:rsid w:val="00C2297E"/>
    <w:rsid w:val="00C2406F"/>
    <w:rsid w:val="00C2418D"/>
    <w:rsid w:val="00C24D24"/>
    <w:rsid w:val="00C25551"/>
    <w:rsid w:val="00C26F75"/>
    <w:rsid w:val="00C32319"/>
    <w:rsid w:val="00C4002C"/>
    <w:rsid w:val="00C406E4"/>
    <w:rsid w:val="00C40A60"/>
    <w:rsid w:val="00C42EE0"/>
    <w:rsid w:val="00C43377"/>
    <w:rsid w:val="00C4389F"/>
    <w:rsid w:val="00C43F4A"/>
    <w:rsid w:val="00C442F8"/>
    <w:rsid w:val="00C44B5B"/>
    <w:rsid w:val="00C45862"/>
    <w:rsid w:val="00C4586B"/>
    <w:rsid w:val="00C45C2A"/>
    <w:rsid w:val="00C46CEF"/>
    <w:rsid w:val="00C47E95"/>
    <w:rsid w:val="00C51E51"/>
    <w:rsid w:val="00C5207B"/>
    <w:rsid w:val="00C525F1"/>
    <w:rsid w:val="00C531E6"/>
    <w:rsid w:val="00C54112"/>
    <w:rsid w:val="00C541BF"/>
    <w:rsid w:val="00C5459C"/>
    <w:rsid w:val="00C54DD7"/>
    <w:rsid w:val="00C56022"/>
    <w:rsid w:val="00C57647"/>
    <w:rsid w:val="00C60AB8"/>
    <w:rsid w:val="00C63535"/>
    <w:rsid w:val="00C65045"/>
    <w:rsid w:val="00C65124"/>
    <w:rsid w:val="00C65A69"/>
    <w:rsid w:val="00C6714C"/>
    <w:rsid w:val="00C673E3"/>
    <w:rsid w:val="00C67A3C"/>
    <w:rsid w:val="00C67D6C"/>
    <w:rsid w:val="00C71B06"/>
    <w:rsid w:val="00C7268F"/>
    <w:rsid w:val="00C72CB1"/>
    <w:rsid w:val="00C735C4"/>
    <w:rsid w:val="00C73E2A"/>
    <w:rsid w:val="00C77D7E"/>
    <w:rsid w:val="00C77EA8"/>
    <w:rsid w:val="00C821EB"/>
    <w:rsid w:val="00C82FD6"/>
    <w:rsid w:val="00C84C51"/>
    <w:rsid w:val="00C8562D"/>
    <w:rsid w:val="00C85BAE"/>
    <w:rsid w:val="00C8647A"/>
    <w:rsid w:val="00C870B2"/>
    <w:rsid w:val="00C87552"/>
    <w:rsid w:val="00C9281D"/>
    <w:rsid w:val="00C94224"/>
    <w:rsid w:val="00C96F01"/>
    <w:rsid w:val="00CA01AF"/>
    <w:rsid w:val="00CA0301"/>
    <w:rsid w:val="00CA06B7"/>
    <w:rsid w:val="00CA242B"/>
    <w:rsid w:val="00CA2E62"/>
    <w:rsid w:val="00CA303E"/>
    <w:rsid w:val="00CA3397"/>
    <w:rsid w:val="00CA4229"/>
    <w:rsid w:val="00CA4829"/>
    <w:rsid w:val="00CA6355"/>
    <w:rsid w:val="00CA6753"/>
    <w:rsid w:val="00CA7BB9"/>
    <w:rsid w:val="00CB00AC"/>
    <w:rsid w:val="00CB0898"/>
    <w:rsid w:val="00CB1F46"/>
    <w:rsid w:val="00CB2C99"/>
    <w:rsid w:val="00CB30B8"/>
    <w:rsid w:val="00CB38EB"/>
    <w:rsid w:val="00CB3D52"/>
    <w:rsid w:val="00CB4494"/>
    <w:rsid w:val="00CB5027"/>
    <w:rsid w:val="00CB6C82"/>
    <w:rsid w:val="00CC08EF"/>
    <w:rsid w:val="00CC091B"/>
    <w:rsid w:val="00CC1C02"/>
    <w:rsid w:val="00CC241C"/>
    <w:rsid w:val="00CC3001"/>
    <w:rsid w:val="00CC3D90"/>
    <w:rsid w:val="00CC4795"/>
    <w:rsid w:val="00CC4821"/>
    <w:rsid w:val="00CC4B74"/>
    <w:rsid w:val="00CC4C5D"/>
    <w:rsid w:val="00CC4E5C"/>
    <w:rsid w:val="00CC54D7"/>
    <w:rsid w:val="00CC59EC"/>
    <w:rsid w:val="00CC5B17"/>
    <w:rsid w:val="00CC6825"/>
    <w:rsid w:val="00CC72DF"/>
    <w:rsid w:val="00CC7B44"/>
    <w:rsid w:val="00CD1482"/>
    <w:rsid w:val="00CD1956"/>
    <w:rsid w:val="00CD2163"/>
    <w:rsid w:val="00CD228F"/>
    <w:rsid w:val="00CD2705"/>
    <w:rsid w:val="00CD2B6A"/>
    <w:rsid w:val="00CD3788"/>
    <w:rsid w:val="00CD3A3C"/>
    <w:rsid w:val="00CD4D18"/>
    <w:rsid w:val="00CD4E54"/>
    <w:rsid w:val="00CD620B"/>
    <w:rsid w:val="00CD6250"/>
    <w:rsid w:val="00CD7B9E"/>
    <w:rsid w:val="00CF035E"/>
    <w:rsid w:val="00CF3BE7"/>
    <w:rsid w:val="00CF4735"/>
    <w:rsid w:val="00CF5F3D"/>
    <w:rsid w:val="00CF7D93"/>
    <w:rsid w:val="00D00BE5"/>
    <w:rsid w:val="00D02E25"/>
    <w:rsid w:val="00D03CAA"/>
    <w:rsid w:val="00D03F4E"/>
    <w:rsid w:val="00D0452E"/>
    <w:rsid w:val="00D05160"/>
    <w:rsid w:val="00D0632A"/>
    <w:rsid w:val="00D10235"/>
    <w:rsid w:val="00D11457"/>
    <w:rsid w:val="00D1403A"/>
    <w:rsid w:val="00D14777"/>
    <w:rsid w:val="00D152D8"/>
    <w:rsid w:val="00D161CA"/>
    <w:rsid w:val="00D16317"/>
    <w:rsid w:val="00D167C4"/>
    <w:rsid w:val="00D17355"/>
    <w:rsid w:val="00D17912"/>
    <w:rsid w:val="00D2121A"/>
    <w:rsid w:val="00D2147F"/>
    <w:rsid w:val="00D22169"/>
    <w:rsid w:val="00D22AF4"/>
    <w:rsid w:val="00D22B8B"/>
    <w:rsid w:val="00D234C1"/>
    <w:rsid w:val="00D25E53"/>
    <w:rsid w:val="00D2766C"/>
    <w:rsid w:val="00D3108F"/>
    <w:rsid w:val="00D32C80"/>
    <w:rsid w:val="00D337E6"/>
    <w:rsid w:val="00D33D36"/>
    <w:rsid w:val="00D344C3"/>
    <w:rsid w:val="00D354F4"/>
    <w:rsid w:val="00D3607F"/>
    <w:rsid w:val="00D36237"/>
    <w:rsid w:val="00D36252"/>
    <w:rsid w:val="00D40BF5"/>
    <w:rsid w:val="00D418FD"/>
    <w:rsid w:val="00D47ABD"/>
    <w:rsid w:val="00D47B92"/>
    <w:rsid w:val="00D47F13"/>
    <w:rsid w:val="00D51370"/>
    <w:rsid w:val="00D51CAC"/>
    <w:rsid w:val="00D51CD8"/>
    <w:rsid w:val="00D52FF6"/>
    <w:rsid w:val="00D5414D"/>
    <w:rsid w:val="00D56133"/>
    <w:rsid w:val="00D5665D"/>
    <w:rsid w:val="00D567F6"/>
    <w:rsid w:val="00D56A9A"/>
    <w:rsid w:val="00D57362"/>
    <w:rsid w:val="00D57550"/>
    <w:rsid w:val="00D57A9D"/>
    <w:rsid w:val="00D604A6"/>
    <w:rsid w:val="00D6077B"/>
    <w:rsid w:val="00D608E0"/>
    <w:rsid w:val="00D60AA1"/>
    <w:rsid w:val="00D60D8F"/>
    <w:rsid w:val="00D61F87"/>
    <w:rsid w:val="00D62A90"/>
    <w:rsid w:val="00D6523D"/>
    <w:rsid w:val="00D659BF"/>
    <w:rsid w:val="00D65CF4"/>
    <w:rsid w:val="00D67048"/>
    <w:rsid w:val="00D715E5"/>
    <w:rsid w:val="00D71EBB"/>
    <w:rsid w:val="00D72426"/>
    <w:rsid w:val="00D72782"/>
    <w:rsid w:val="00D73823"/>
    <w:rsid w:val="00D7413D"/>
    <w:rsid w:val="00D751D3"/>
    <w:rsid w:val="00D7574E"/>
    <w:rsid w:val="00D76118"/>
    <w:rsid w:val="00D77774"/>
    <w:rsid w:val="00D77CAD"/>
    <w:rsid w:val="00D800D0"/>
    <w:rsid w:val="00D80398"/>
    <w:rsid w:val="00D82520"/>
    <w:rsid w:val="00D833F1"/>
    <w:rsid w:val="00D84169"/>
    <w:rsid w:val="00D86214"/>
    <w:rsid w:val="00D86262"/>
    <w:rsid w:val="00D8741D"/>
    <w:rsid w:val="00D877F9"/>
    <w:rsid w:val="00D912F6"/>
    <w:rsid w:val="00D91BE8"/>
    <w:rsid w:val="00D920AE"/>
    <w:rsid w:val="00D92554"/>
    <w:rsid w:val="00D96644"/>
    <w:rsid w:val="00D968D4"/>
    <w:rsid w:val="00D9794D"/>
    <w:rsid w:val="00D97D5A"/>
    <w:rsid w:val="00DA09A2"/>
    <w:rsid w:val="00DA101D"/>
    <w:rsid w:val="00DA170A"/>
    <w:rsid w:val="00DA1BA0"/>
    <w:rsid w:val="00DA1D51"/>
    <w:rsid w:val="00DA231F"/>
    <w:rsid w:val="00DA2868"/>
    <w:rsid w:val="00DA30D0"/>
    <w:rsid w:val="00DA496F"/>
    <w:rsid w:val="00DA5056"/>
    <w:rsid w:val="00DA59CB"/>
    <w:rsid w:val="00DA6682"/>
    <w:rsid w:val="00DA7418"/>
    <w:rsid w:val="00DB1458"/>
    <w:rsid w:val="00DB1DC7"/>
    <w:rsid w:val="00DB2351"/>
    <w:rsid w:val="00DB25E6"/>
    <w:rsid w:val="00DB30C6"/>
    <w:rsid w:val="00DB3396"/>
    <w:rsid w:val="00DB3F14"/>
    <w:rsid w:val="00DB56AE"/>
    <w:rsid w:val="00DB64E6"/>
    <w:rsid w:val="00DB6C37"/>
    <w:rsid w:val="00DB7290"/>
    <w:rsid w:val="00DB77E0"/>
    <w:rsid w:val="00DB77F9"/>
    <w:rsid w:val="00DC04E7"/>
    <w:rsid w:val="00DC0FDF"/>
    <w:rsid w:val="00DC2685"/>
    <w:rsid w:val="00DC2998"/>
    <w:rsid w:val="00DC3ED7"/>
    <w:rsid w:val="00DC4690"/>
    <w:rsid w:val="00DC4F76"/>
    <w:rsid w:val="00DC598F"/>
    <w:rsid w:val="00DC5F05"/>
    <w:rsid w:val="00DC61FF"/>
    <w:rsid w:val="00DC6851"/>
    <w:rsid w:val="00DC6876"/>
    <w:rsid w:val="00DD021B"/>
    <w:rsid w:val="00DD2AA8"/>
    <w:rsid w:val="00DD547F"/>
    <w:rsid w:val="00DD65AE"/>
    <w:rsid w:val="00DD6DDF"/>
    <w:rsid w:val="00DE00C4"/>
    <w:rsid w:val="00DE0A2D"/>
    <w:rsid w:val="00DE1409"/>
    <w:rsid w:val="00DE1782"/>
    <w:rsid w:val="00DE1AA2"/>
    <w:rsid w:val="00DE20A9"/>
    <w:rsid w:val="00DE21D5"/>
    <w:rsid w:val="00DE2C89"/>
    <w:rsid w:val="00DE3439"/>
    <w:rsid w:val="00DE499A"/>
    <w:rsid w:val="00DE5F6A"/>
    <w:rsid w:val="00DE6750"/>
    <w:rsid w:val="00DF2FB7"/>
    <w:rsid w:val="00DF3473"/>
    <w:rsid w:val="00DF495D"/>
    <w:rsid w:val="00DF4A29"/>
    <w:rsid w:val="00DF4D38"/>
    <w:rsid w:val="00DF5F39"/>
    <w:rsid w:val="00DF61DA"/>
    <w:rsid w:val="00DF638A"/>
    <w:rsid w:val="00DF723A"/>
    <w:rsid w:val="00DF76A0"/>
    <w:rsid w:val="00DF7830"/>
    <w:rsid w:val="00DF7C40"/>
    <w:rsid w:val="00E003D2"/>
    <w:rsid w:val="00E02022"/>
    <w:rsid w:val="00E03C62"/>
    <w:rsid w:val="00E05429"/>
    <w:rsid w:val="00E0590B"/>
    <w:rsid w:val="00E05A44"/>
    <w:rsid w:val="00E05C13"/>
    <w:rsid w:val="00E07EAA"/>
    <w:rsid w:val="00E12291"/>
    <w:rsid w:val="00E13482"/>
    <w:rsid w:val="00E14045"/>
    <w:rsid w:val="00E14AFF"/>
    <w:rsid w:val="00E14FD7"/>
    <w:rsid w:val="00E15F97"/>
    <w:rsid w:val="00E17311"/>
    <w:rsid w:val="00E17624"/>
    <w:rsid w:val="00E17E47"/>
    <w:rsid w:val="00E20127"/>
    <w:rsid w:val="00E2083A"/>
    <w:rsid w:val="00E2126F"/>
    <w:rsid w:val="00E24A02"/>
    <w:rsid w:val="00E255ED"/>
    <w:rsid w:val="00E260D5"/>
    <w:rsid w:val="00E270B1"/>
    <w:rsid w:val="00E27196"/>
    <w:rsid w:val="00E314C0"/>
    <w:rsid w:val="00E31574"/>
    <w:rsid w:val="00E3264B"/>
    <w:rsid w:val="00E331BE"/>
    <w:rsid w:val="00E34232"/>
    <w:rsid w:val="00E34B4F"/>
    <w:rsid w:val="00E35C88"/>
    <w:rsid w:val="00E35E0F"/>
    <w:rsid w:val="00E362D1"/>
    <w:rsid w:val="00E400D4"/>
    <w:rsid w:val="00E40124"/>
    <w:rsid w:val="00E40842"/>
    <w:rsid w:val="00E425A1"/>
    <w:rsid w:val="00E43878"/>
    <w:rsid w:val="00E44C31"/>
    <w:rsid w:val="00E44D1B"/>
    <w:rsid w:val="00E50691"/>
    <w:rsid w:val="00E51BF3"/>
    <w:rsid w:val="00E51DDD"/>
    <w:rsid w:val="00E54210"/>
    <w:rsid w:val="00E54788"/>
    <w:rsid w:val="00E569C4"/>
    <w:rsid w:val="00E57F18"/>
    <w:rsid w:val="00E60457"/>
    <w:rsid w:val="00E60AEB"/>
    <w:rsid w:val="00E61495"/>
    <w:rsid w:val="00E61A3B"/>
    <w:rsid w:val="00E62159"/>
    <w:rsid w:val="00E62B7F"/>
    <w:rsid w:val="00E637A5"/>
    <w:rsid w:val="00E63C65"/>
    <w:rsid w:val="00E66AE5"/>
    <w:rsid w:val="00E6703B"/>
    <w:rsid w:val="00E70701"/>
    <w:rsid w:val="00E709F0"/>
    <w:rsid w:val="00E7126B"/>
    <w:rsid w:val="00E712D0"/>
    <w:rsid w:val="00E71981"/>
    <w:rsid w:val="00E73443"/>
    <w:rsid w:val="00E747A3"/>
    <w:rsid w:val="00E74B67"/>
    <w:rsid w:val="00E74B7C"/>
    <w:rsid w:val="00E760FD"/>
    <w:rsid w:val="00E772FD"/>
    <w:rsid w:val="00E77D7F"/>
    <w:rsid w:val="00E8145E"/>
    <w:rsid w:val="00E819A0"/>
    <w:rsid w:val="00E83CD4"/>
    <w:rsid w:val="00E84ABC"/>
    <w:rsid w:val="00E9047A"/>
    <w:rsid w:val="00E90664"/>
    <w:rsid w:val="00E9167B"/>
    <w:rsid w:val="00E929F0"/>
    <w:rsid w:val="00E935C6"/>
    <w:rsid w:val="00E93EB1"/>
    <w:rsid w:val="00E93F27"/>
    <w:rsid w:val="00E95D6E"/>
    <w:rsid w:val="00E96456"/>
    <w:rsid w:val="00E96E07"/>
    <w:rsid w:val="00E977BE"/>
    <w:rsid w:val="00EA4768"/>
    <w:rsid w:val="00EA49ED"/>
    <w:rsid w:val="00EA6094"/>
    <w:rsid w:val="00EA6B46"/>
    <w:rsid w:val="00EA7666"/>
    <w:rsid w:val="00EA7B2E"/>
    <w:rsid w:val="00EB0616"/>
    <w:rsid w:val="00EB083A"/>
    <w:rsid w:val="00EB185B"/>
    <w:rsid w:val="00EB198A"/>
    <w:rsid w:val="00EB1BFB"/>
    <w:rsid w:val="00EB20B2"/>
    <w:rsid w:val="00EB2C05"/>
    <w:rsid w:val="00EB2C5D"/>
    <w:rsid w:val="00EB30EB"/>
    <w:rsid w:val="00EB338B"/>
    <w:rsid w:val="00EB3CD6"/>
    <w:rsid w:val="00EB60B3"/>
    <w:rsid w:val="00EB62F3"/>
    <w:rsid w:val="00EB6715"/>
    <w:rsid w:val="00EB7F8E"/>
    <w:rsid w:val="00EC0F0A"/>
    <w:rsid w:val="00EC1C22"/>
    <w:rsid w:val="00EC2B6D"/>
    <w:rsid w:val="00EC30A9"/>
    <w:rsid w:val="00EC326B"/>
    <w:rsid w:val="00EC3754"/>
    <w:rsid w:val="00EC3B02"/>
    <w:rsid w:val="00EC48DE"/>
    <w:rsid w:val="00EC623E"/>
    <w:rsid w:val="00EC6827"/>
    <w:rsid w:val="00EC69A0"/>
    <w:rsid w:val="00EC6B61"/>
    <w:rsid w:val="00EC6E61"/>
    <w:rsid w:val="00EC72E9"/>
    <w:rsid w:val="00EC783D"/>
    <w:rsid w:val="00ED093E"/>
    <w:rsid w:val="00ED09C5"/>
    <w:rsid w:val="00ED345C"/>
    <w:rsid w:val="00ED5C8D"/>
    <w:rsid w:val="00ED672A"/>
    <w:rsid w:val="00ED7342"/>
    <w:rsid w:val="00ED7E16"/>
    <w:rsid w:val="00EE1585"/>
    <w:rsid w:val="00EE1C4E"/>
    <w:rsid w:val="00EE1FD9"/>
    <w:rsid w:val="00EE4ABB"/>
    <w:rsid w:val="00EE534F"/>
    <w:rsid w:val="00EE5C0F"/>
    <w:rsid w:val="00EE6520"/>
    <w:rsid w:val="00EE6890"/>
    <w:rsid w:val="00EE7202"/>
    <w:rsid w:val="00EE7C57"/>
    <w:rsid w:val="00EF0EDE"/>
    <w:rsid w:val="00EF195C"/>
    <w:rsid w:val="00EF3901"/>
    <w:rsid w:val="00EF48B6"/>
    <w:rsid w:val="00EF5BFB"/>
    <w:rsid w:val="00EF5F52"/>
    <w:rsid w:val="00EF620D"/>
    <w:rsid w:val="00F0270B"/>
    <w:rsid w:val="00F02DCF"/>
    <w:rsid w:val="00F0429F"/>
    <w:rsid w:val="00F04AE5"/>
    <w:rsid w:val="00F050F0"/>
    <w:rsid w:val="00F05686"/>
    <w:rsid w:val="00F05C0B"/>
    <w:rsid w:val="00F05F4C"/>
    <w:rsid w:val="00F06F4A"/>
    <w:rsid w:val="00F0740D"/>
    <w:rsid w:val="00F10285"/>
    <w:rsid w:val="00F10744"/>
    <w:rsid w:val="00F11416"/>
    <w:rsid w:val="00F13150"/>
    <w:rsid w:val="00F13873"/>
    <w:rsid w:val="00F14572"/>
    <w:rsid w:val="00F14E59"/>
    <w:rsid w:val="00F160B7"/>
    <w:rsid w:val="00F164E0"/>
    <w:rsid w:val="00F16A1B"/>
    <w:rsid w:val="00F17099"/>
    <w:rsid w:val="00F173D9"/>
    <w:rsid w:val="00F205B9"/>
    <w:rsid w:val="00F20DEB"/>
    <w:rsid w:val="00F2221C"/>
    <w:rsid w:val="00F225E7"/>
    <w:rsid w:val="00F22E6D"/>
    <w:rsid w:val="00F239A7"/>
    <w:rsid w:val="00F24927"/>
    <w:rsid w:val="00F259B3"/>
    <w:rsid w:val="00F25E24"/>
    <w:rsid w:val="00F26A3C"/>
    <w:rsid w:val="00F30208"/>
    <w:rsid w:val="00F30DDA"/>
    <w:rsid w:val="00F3132B"/>
    <w:rsid w:val="00F32310"/>
    <w:rsid w:val="00F351DB"/>
    <w:rsid w:val="00F359A7"/>
    <w:rsid w:val="00F36DEC"/>
    <w:rsid w:val="00F373FA"/>
    <w:rsid w:val="00F400C0"/>
    <w:rsid w:val="00F406EE"/>
    <w:rsid w:val="00F41A88"/>
    <w:rsid w:val="00F41EA9"/>
    <w:rsid w:val="00F42032"/>
    <w:rsid w:val="00F4292B"/>
    <w:rsid w:val="00F446BD"/>
    <w:rsid w:val="00F44F04"/>
    <w:rsid w:val="00F4525A"/>
    <w:rsid w:val="00F45FC6"/>
    <w:rsid w:val="00F50B64"/>
    <w:rsid w:val="00F51578"/>
    <w:rsid w:val="00F52263"/>
    <w:rsid w:val="00F53987"/>
    <w:rsid w:val="00F53B04"/>
    <w:rsid w:val="00F53C1C"/>
    <w:rsid w:val="00F56B7E"/>
    <w:rsid w:val="00F57027"/>
    <w:rsid w:val="00F57627"/>
    <w:rsid w:val="00F57A6F"/>
    <w:rsid w:val="00F57B01"/>
    <w:rsid w:val="00F6637B"/>
    <w:rsid w:val="00F67CE6"/>
    <w:rsid w:val="00F67D0D"/>
    <w:rsid w:val="00F67E9C"/>
    <w:rsid w:val="00F67FD4"/>
    <w:rsid w:val="00F7180B"/>
    <w:rsid w:val="00F7489F"/>
    <w:rsid w:val="00F74D06"/>
    <w:rsid w:val="00F74DEE"/>
    <w:rsid w:val="00F7633C"/>
    <w:rsid w:val="00F779DA"/>
    <w:rsid w:val="00F77E53"/>
    <w:rsid w:val="00F77FBC"/>
    <w:rsid w:val="00F8091A"/>
    <w:rsid w:val="00F818BB"/>
    <w:rsid w:val="00F82F60"/>
    <w:rsid w:val="00F86555"/>
    <w:rsid w:val="00F86A48"/>
    <w:rsid w:val="00F8729B"/>
    <w:rsid w:val="00F873D2"/>
    <w:rsid w:val="00F874D0"/>
    <w:rsid w:val="00F92380"/>
    <w:rsid w:val="00F937A6"/>
    <w:rsid w:val="00F93EF7"/>
    <w:rsid w:val="00F9445F"/>
    <w:rsid w:val="00F9464F"/>
    <w:rsid w:val="00F958B4"/>
    <w:rsid w:val="00F95999"/>
    <w:rsid w:val="00F95AEB"/>
    <w:rsid w:val="00F95DAF"/>
    <w:rsid w:val="00F96718"/>
    <w:rsid w:val="00F96D41"/>
    <w:rsid w:val="00F97B02"/>
    <w:rsid w:val="00FA011B"/>
    <w:rsid w:val="00FA047A"/>
    <w:rsid w:val="00FA07D5"/>
    <w:rsid w:val="00FA1EEC"/>
    <w:rsid w:val="00FA26A8"/>
    <w:rsid w:val="00FA2B70"/>
    <w:rsid w:val="00FA2F6F"/>
    <w:rsid w:val="00FA34F2"/>
    <w:rsid w:val="00FA383F"/>
    <w:rsid w:val="00FA3A4A"/>
    <w:rsid w:val="00FA4478"/>
    <w:rsid w:val="00FA484C"/>
    <w:rsid w:val="00FA55A1"/>
    <w:rsid w:val="00FA5EDE"/>
    <w:rsid w:val="00FA794F"/>
    <w:rsid w:val="00FB1E39"/>
    <w:rsid w:val="00FB22D5"/>
    <w:rsid w:val="00FB2431"/>
    <w:rsid w:val="00FB32A7"/>
    <w:rsid w:val="00FB3306"/>
    <w:rsid w:val="00FB3F68"/>
    <w:rsid w:val="00FB43EE"/>
    <w:rsid w:val="00FB44B7"/>
    <w:rsid w:val="00FB46FA"/>
    <w:rsid w:val="00FB490C"/>
    <w:rsid w:val="00FB4E49"/>
    <w:rsid w:val="00FC1C9E"/>
    <w:rsid w:val="00FC2C87"/>
    <w:rsid w:val="00FC3120"/>
    <w:rsid w:val="00FC32DB"/>
    <w:rsid w:val="00FC54E6"/>
    <w:rsid w:val="00FC5997"/>
    <w:rsid w:val="00FC5C3C"/>
    <w:rsid w:val="00FC624D"/>
    <w:rsid w:val="00FC63A9"/>
    <w:rsid w:val="00FC7639"/>
    <w:rsid w:val="00FC7DFD"/>
    <w:rsid w:val="00FD1E86"/>
    <w:rsid w:val="00FD2081"/>
    <w:rsid w:val="00FD36B2"/>
    <w:rsid w:val="00FD4622"/>
    <w:rsid w:val="00FD529C"/>
    <w:rsid w:val="00FD537D"/>
    <w:rsid w:val="00FD5FC1"/>
    <w:rsid w:val="00FD7664"/>
    <w:rsid w:val="00FE03D3"/>
    <w:rsid w:val="00FE0B13"/>
    <w:rsid w:val="00FE16E6"/>
    <w:rsid w:val="00FE1AF5"/>
    <w:rsid w:val="00FE7172"/>
    <w:rsid w:val="00FE72A4"/>
    <w:rsid w:val="00FF0876"/>
    <w:rsid w:val="00FF181B"/>
    <w:rsid w:val="00FF32E1"/>
    <w:rsid w:val="00FF37B6"/>
    <w:rsid w:val="00FF39C4"/>
    <w:rsid w:val="00FF3A0F"/>
    <w:rsid w:val="00FF3E3E"/>
    <w:rsid w:val="00FF62D1"/>
    <w:rsid w:val="00FF676F"/>
    <w:rsid w:val="00FF69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7B52A8"/>
  <w15:docId w15:val="{457B5AA5-07C6-4396-A82E-46B49393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uiPriority w:val="9"/>
    <w:qFormat/>
    <w:rsid w:val="006F1F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F1F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F1FB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4C2C29"/>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6F1FB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FA5EDE"/>
    <w:rPr>
      <w:sz w:val="20"/>
      <w:szCs w:val="20"/>
    </w:rPr>
  </w:style>
  <w:style w:type="paragraph" w:styleId="Prrafodelista">
    <w:name w:val="List Paragraph"/>
    <w:aliases w:val="Footnote,TEXTO GENERAL SENTENCIAS,Párrafo de lista1,List Paragraph1,Colorful List - Accent 11,Cita texto,Cuadrícula clara - Énfasis 31,Cuadr’cula clara - ƒnfasis 31,Lista vistosa - Énfasis 11,Párrafo de lista2,Trascripción,Dot pt"/>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Piedepagina"/>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paragraph" w:customStyle="1" w:styleId="Piedepagina">
    <w:name w:val="Pie de pagina"/>
    <w:basedOn w:val="Normal"/>
    <w:link w:val="Refdenotaalpie"/>
    <w:rsid w:val="00F96D41"/>
    <w:pPr>
      <w:spacing w:after="160" w:line="240" w:lineRule="exact"/>
    </w:pPr>
    <w:rPr>
      <w:rFonts w:asciiTheme="minorHAnsi" w:eastAsiaTheme="minorHAnsi" w:hAnsiTheme="minorHAnsi" w:cstheme="minorBidi"/>
      <w:sz w:val="22"/>
      <w:szCs w:val="22"/>
      <w:vertAlign w:val="superscript"/>
      <w:lang w:val="es-MX" w:eastAsia="en-US"/>
    </w:rPr>
  </w:style>
  <w:style w:type="character" w:customStyle="1" w:styleId="PrrafodelistaCar">
    <w:name w:val="Párrafo de lista Car"/>
    <w:aliases w:val="Footnote Car,TEXTO GENERAL SENTENCIAS Car,Párrafo de lista1 Car,List Paragraph1 Car,Colorful List - Accent 11 Car,Cita texto Car,Cuadrícula clara - Énfasis 31 Car,Cuadr’cula clara - ƒnfasis 31 Car,Lista vistosa - Énfasis 11 Car"/>
    <w:link w:val="Prrafodelista"/>
    <w:uiPriority w:val="34"/>
    <w:qFormat/>
    <w:rsid w:val="00F96D41"/>
    <w:rPr>
      <w:rFonts w:ascii="Times New Roman" w:eastAsia="Times New Roman" w:hAnsi="Times New Roman" w:cs="Times New Roman"/>
      <w:sz w:val="20"/>
      <w:szCs w:val="20"/>
      <w:lang w:val="es-ES_tradnl" w:eastAsia="es-MX"/>
    </w:rPr>
  </w:style>
  <w:style w:type="character" w:customStyle="1" w:styleId="Ttulo1Car">
    <w:name w:val="Título 1 Car"/>
    <w:basedOn w:val="Fuentedeprrafopredeter"/>
    <w:link w:val="Ttulo1"/>
    <w:uiPriority w:val="9"/>
    <w:rsid w:val="006F1FBC"/>
    <w:rPr>
      <w:rFonts w:asciiTheme="majorHAnsi" w:eastAsiaTheme="majorEastAsia" w:hAnsiTheme="majorHAnsi" w:cstheme="majorBidi"/>
      <w:color w:val="2E74B5" w:themeColor="accent1" w:themeShade="BF"/>
      <w:sz w:val="32"/>
      <w:szCs w:val="32"/>
      <w:lang w:val="es-ES_tradnl" w:eastAsia="es-MX"/>
    </w:rPr>
  </w:style>
  <w:style w:type="character" w:customStyle="1" w:styleId="Ttulo3Car">
    <w:name w:val="Título 3 Car"/>
    <w:basedOn w:val="Fuentedeprrafopredeter"/>
    <w:link w:val="Ttulo3"/>
    <w:uiPriority w:val="9"/>
    <w:rsid w:val="006F1FBC"/>
    <w:rPr>
      <w:rFonts w:asciiTheme="majorHAnsi" w:eastAsiaTheme="majorEastAsia" w:hAnsiTheme="majorHAnsi" w:cstheme="majorBidi"/>
      <w:color w:val="1F4D78" w:themeColor="accent1" w:themeShade="7F"/>
      <w:sz w:val="24"/>
      <w:szCs w:val="24"/>
      <w:lang w:val="es-ES_tradnl" w:eastAsia="es-MX"/>
    </w:rPr>
  </w:style>
  <w:style w:type="paragraph" w:styleId="Sangradetextonormal">
    <w:name w:val="Body Text Indent"/>
    <w:basedOn w:val="Normal"/>
    <w:link w:val="SangradetextonormalCar"/>
    <w:uiPriority w:val="99"/>
    <w:semiHidden/>
    <w:unhideWhenUsed/>
    <w:rsid w:val="006F1FBC"/>
    <w:pPr>
      <w:spacing w:after="120"/>
      <w:ind w:left="283"/>
    </w:pPr>
  </w:style>
  <w:style w:type="character" w:customStyle="1" w:styleId="SangradetextonormalCar">
    <w:name w:val="Sangría de texto normal Car"/>
    <w:basedOn w:val="Fuentedeprrafopredeter"/>
    <w:link w:val="Sangradetextonormal"/>
    <w:uiPriority w:val="99"/>
    <w:semiHidden/>
    <w:rsid w:val="006F1FBC"/>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iPriority w:val="99"/>
    <w:unhideWhenUsed/>
    <w:rsid w:val="006F1FB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F1FBC"/>
    <w:rPr>
      <w:rFonts w:ascii="Times New Roman" w:eastAsia="Times New Roman" w:hAnsi="Times New Roman" w:cs="Times New Roman"/>
      <w:sz w:val="20"/>
      <w:szCs w:val="20"/>
      <w:lang w:val="es-ES_tradnl" w:eastAsia="es-MX"/>
    </w:rPr>
  </w:style>
  <w:style w:type="character" w:customStyle="1" w:styleId="Ttulo2Car">
    <w:name w:val="Título 2 Car"/>
    <w:basedOn w:val="Fuentedeprrafopredeter"/>
    <w:link w:val="Ttulo2"/>
    <w:uiPriority w:val="9"/>
    <w:rsid w:val="006F1FBC"/>
    <w:rPr>
      <w:rFonts w:asciiTheme="majorHAnsi" w:eastAsiaTheme="majorEastAsia" w:hAnsiTheme="majorHAnsi" w:cstheme="majorBidi"/>
      <w:color w:val="2E74B5" w:themeColor="accent1" w:themeShade="BF"/>
      <w:sz w:val="26"/>
      <w:szCs w:val="26"/>
      <w:lang w:val="es-ES_tradnl" w:eastAsia="es-MX"/>
    </w:rPr>
  </w:style>
  <w:style w:type="character" w:customStyle="1" w:styleId="Ttulo6Car">
    <w:name w:val="Título 6 Car"/>
    <w:basedOn w:val="Fuentedeprrafopredeter"/>
    <w:link w:val="Ttulo6"/>
    <w:uiPriority w:val="9"/>
    <w:rsid w:val="006F1FBC"/>
    <w:rPr>
      <w:rFonts w:asciiTheme="majorHAnsi" w:eastAsiaTheme="majorEastAsia" w:hAnsiTheme="majorHAnsi" w:cstheme="majorBidi"/>
      <w:color w:val="1F4D78" w:themeColor="accent1" w:themeShade="7F"/>
      <w:sz w:val="20"/>
      <w:szCs w:val="20"/>
      <w:lang w:val="es-ES_tradnl" w:eastAsia="es-MX"/>
    </w:rPr>
  </w:style>
  <w:style w:type="paragraph" w:styleId="Lista">
    <w:name w:val="List"/>
    <w:basedOn w:val="Normal"/>
    <w:uiPriority w:val="99"/>
    <w:unhideWhenUsed/>
    <w:rsid w:val="006F1FBC"/>
    <w:pPr>
      <w:ind w:left="283" w:hanging="283"/>
      <w:contextualSpacing/>
    </w:pPr>
  </w:style>
  <w:style w:type="paragraph" w:styleId="NormalWeb">
    <w:name w:val="Normal (Web)"/>
    <w:basedOn w:val="Normal"/>
    <w:uiPriority w:val="99"/>
    <w:semiHidden/>
    <w:unhideWhenUsed/>
    <w:rsid w:val="00AC0F5F"/>
    <w:rPr>
      <w:sz w:val="24"/>
      <w:szCs w:val="24"/>
    </w:rPr>
  </w:style>
  <w:style w:type="paragraph" w:customStyle="1" w:styleId="Estilo">
    <w:name w:val="Estilo"/>
    <w:basedOn w:val="Sinespaciado"/>
    <w:link w:val="EstiloCar"/>
    <w:qFormat/>
    <w:rsid w:val="00753E9D"/>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753E9D"/>
    <w:rPr>
      <w:rFonts w:ascii="Arial" w:hAnsi="Arial"/>
      <w:sz w:val="24"/>
    </w:rPr>
  </w:style>
  <w:style w:type="paragraph" w:styleId="Sinespaciado">
    <w:name w:val="No Spacing"/>
    <w:uiPriority w:val="1"/>
    <w:qFormat/>
    <w:rsid w:val="00753E9D"/>
    <w:pPr>
      <w:spacing w:after="0" w:line="240" w:lineRule="auto"/>
    </w:pPr>
    <w:rPr>
      <w:rFonts w:ascii="Times New Roman" w:eastAsia="Times New Roman" w:hAnsi="Times New Roman" w:cs="Times New Roman"/>
      <w:sz w:val="20"/>
      <w:szCs w:val="20"/>
      <w:lang w:val="es-ES_tradnl" w:eastAsia="es-MX"/>
    </w:rPr>
  </w:style>
  <w:style w:type="character" w:styleId="Hipervnculo">
    <w:name w:val="Hyperlink"/>
    <w:basedOn w:val="Fuentedeprrafopredeter"/>
    <w:uiPriority w:val="99"/>
    <w:unhideWhenUsed/>
    <w:rsid w:val="0044433A"/>
    <w:rPr>
      <w:color w:val="0563C1" w:themeColor="hyperlink"/>
      <w:u w:val="single"/>
    </w:rPr>
  </w:style>
  <w:style w:type="character" w:styleId="Mencinsinresolver">
    <w:name w:val="Unresolved Mention"/>
    <w:basedOn w:val="Fuentedeprrafopredeter"/>
    <w:uiPriority w:val="99"/>
    <w:semiHidden/>
    <w:unhideWhenUsed/>
    <w:rsid w:val="0044433A"/>
    <w:rPr>
      <w:color w:val="605E5C"/>
      <w:shd w:val="clear" w:color="auto" w:fill="E1DFDD"/>
    </w:rPr>
  </w:style>
  <w:style w:type="paragraph" w:customStyle="1" w:styleId="CuerpoA">
    <w:name w:val="Cuerpo A"/>
    <w:rsid w:val="0043720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ES_tradnl" w:eastAsia="es-MX"/>
    </w:rPr>
  </w:style>
  <w:style w:type="numbering" w:customStyle="1" w:styleId="Estiloimportado1">
    <w:name w:val="Estilo importado 1"/>
    <w:rsid w:val="0043720D"/>
    <w:pPr>
      <w:numPr>
        <w:numId w:val="31"/>
      </w:numPr>
    </w:pPr>
  </w:style>
  <w:style w:type="character" w:styleId="Refdecomentario">
    <w:name w:val="annotation reference"/>
    <w:basedOn w:val="Fuentedeprrafopredeter"/>
    <w:uiPriority w:val="99"/>
    <w:semiHidden/>
    <w:unhideWhenUsed/>
    <w:rsid w:val="00E14AFF"/>
    <w:rPr>
      <w:sz w:val="16"/>
      <w:szCs w:val="16"/>
    </w:rPr>
  </w:style>
  <w:style w:type="paragraph" w:styleId="Textocomentario">
    <w:name w:val="annotation text"/>
    <w:basedOn w:val="Normal"/>
    <w:link w:val="TextocomentarioCar"/>
    <w:uiPriority w:val="99"/>
    <w:semiHidden/>
    <w:unhideWhenUsed/>
    <w:rsid w:val="00E14AFF"/>
  </w:style>
  <w:style w:type="character" w:customStyle="1" w:styleId="TextocomentarioCar">
    <w:name w:val="Texto comentario Car"/>
    <w:basedOn w:val="Fuentedeprrafopredeter"/>
    <w:link w:val="Textocomentario"/>
    <w:uiPriority w:val="99"/>
    <w:semiHidden/>
    <w:rsid w:val="00E14AFF"/>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E14AFF"/>
    <w:rPr>
      <w:b/>
      <w:bCs/>
    </w:rPr>
  </w:style>
  <w:style w:type="character" w:customStyle="1" w:styleId="AsuntodelcomentarioCar">
    <w:name w:val="Asunto del comentario Car"/>
    <w:basedOn w:val="TextocomentarioCar"/>
    <w:link w:val="Asuntodelcomentario"/>
    <w:uiPriority w:val="99"/>
    <w:semiHidden/>
    <w:rsid w:val="00E14AFF"/>
    <w:rPr>
      <w:rFonts w:ascii="Times New Roman" w:eastAsia="Times New Roman" w:hAnsi="Times New Roman" w:cs="Times New Roman"/>
      <w:b/>
      <w:bCs/>
      <w:sz w:val="20"/>
      <w:szCs w:val="20"/>
      <w:lang w:val="es-ES_tradnl" w:eastAsia="es-MX"/>
    </w:rPr>
  </w:style>
  <w:style w:type="character" w:customStyle="1" w:styleId="Ttulo5Car">
    <w:name w:val="Título 5 Car"/>
    <w:basedOn w:val="Fuentedeprrafopredeter"/>
    <w:link w:val="Ttulo5"/>
    <w:uiPriority w:val="9"/>
    <w:semiHidden/>
    <w:rsid w:val="004C2C29"/>
    <w:rPr>
      <w:rFonts w:asciiTheme="majorHAnsi" w:eastAsiaTheme="majorEastAsia" w:hAnsiTheme="majorHAnsi" w:cstheme="majorBidi"/>
      <w:color w:val="2E74B5" w:themeColor="accent1" w:themeShade="BF"/>
      <w:sz w:val="20"/>
      <w:szCs w:val="20"/>
      <w:lang w:val="es-ES_tradnl" w:eastAsia="es-MX"/>
    </w:rPr>
  </w:style>
  <w:style w:type="paragraph" w:customStyle="1" w:styleId="temp">
    <w:name w:val="temp"/>
    <w:basedOn w:val="Normal"/>
    <w:rsid w:val="006F1F36"/>
    <w:pPr>
      <w:spacing w:before="100" w:beforeAutospacing="1" w:after="100" w:afterAutospacing="1"/>
    </w:pPr>
    <w:rPr>
      <w:sz w:val="24"/>
      <w:szCs w:val="24"/>
      <w:lang w:val="es-MX"/>
    </w:rPr>
  </w:style>
  <w:style w:type="character" w:customStyle="1" w:styleId="bold">
    <w:name w:val="bold"/>
    <w:basedOn w:val="Fuentedeprrafopredeter"/>
    <w:rsid w:val="006F1F36"/>
  </w:style>
  <w:style w:type="character" w:customStyle="1" w:styleId="ng-star-inserted">
    <w:name w:val="ng-star-inserted"/>
    <w:basedOn w:val="Fuentedeprrafopredeter"/>
    <w:rsid w:val="006F1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1767">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439449446">
      <w:bodyDiv w:val="1"/>
      <w:marLeft w:val="0"/>
      <w:marRight w:val="0"/>
      <w:marTop w:val="0"/>
      <w:marBottom w:val="0"/>
      <w:divBdr>
        <w:top w:val="none" w:sz="0" w:space="0" w:color="auto"/>
        <w:left w:val="none" w:sz="0" w:space="0" w:color="auto"/>
        <w:bottom w:val="none" w:sz="0" w:space="0" w:color="auto"/>
        <w:right w:val="none" w:sz="0" w:space="0" w:color="auto"/>
      </w:divBdr>
      <w:divsChild>
        <w:div w:id="784925640">
          <w:marLeft w:val="0"/>
          <w:marRight w:val="0"/>
          <w:marTop w:val="0"/>
          <w:marBottom w:val="0"/>
          <w:divBdr>
            <w:top w:val="none" w:sz="0" w:space="0" w:color="auto"/>
            <w:left w:val="none" w:sz="0" w:space="0" w:color="auto"/>
            <w:bottom w:val="none" w:sz="0" w:space="0" w:color="auto"/>
            <w:right w:val="none" w:sz="0" w:space="0" w:color="auto"/>
          </w:divBdr>
          <w:divsChild>
            <w:div w:id="1511137684">
              <w:marLeft w:val="0"/>
              <w:marRight w:val="0"/>
              <w:marTop w:val="0"/>
              <w:marBottom w:val="0"/>
              <w:divBdr>
                <w:top w:val="none" w:sz="0" w:space="0" w:color="auto"/>
                <w:left w:val="none" w:sz="0" w:space="0" w:color="auto"/>
                <w:bottom w:val="none" w:sz="0" w:space="0" w:color="auto"/>
                <w:right w:val="none" w:sz="0" w:space="0" w:color="auto"/>
              </w:divBdr>
              <w:divsChild>
                <w:div w:id="919557775">
                  <w:marLeft w:val="0"/>
                  <w:marRight w:val="0"/>
                  <w:marTop w:val="0"/>
                  <w:marBottom w:val="0"/>
                  <w:divBdr>
                    <w:top w:val="none" w:sz="0" w:space="0" w:color="auto"/>
                    <w:left w:val="none" w:sz="0" w:space="0" w:color="auto"/>
                    <w:bottom w:val="none" w:sz="0" w:space="0" w:color="auto"/>
                    <w:right w:val="none" w:sz="0" w:space="0" w:color="auto"/>
                  </w:divBdr>
                  <w:divsChild>
                    <w:div w:id="1993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25338">
      <w:bodyDiv w:val="1"/>
      <w:marLeft w:val="0"/>
      <w:marRight w:val="0"/>
      <w:marTop w:val="0"/>
      <w:marBottom w:val="0"/>
      <w:divBdr>
        <w:top w:val="none" w:sz="0" w:space="0" w:color="auto"/>
        <w:left w:val="none" w:sz="0" w:space="0" w:color="auto"/>
        <w:bottom w:val="none" w:sz="0" w:space="0" w:color="auto"/>
        <w:right w:val="none" w:sz="0" w:space="0" w:color="auto"/>
      </w:divBdr>
    </w:div>
    <w:div w:id="802507651">
      <w:bodyDiv w:val="1"/>
      <w:marLeft w:val="0"/>
      <w:marRight w:val="0"/>
      <w:marTop w:val="0"/>
      <w:marBottom w:val="0"/>
      <w:divBdr>
        <w:top w:val="none" w:sz="0" w:space="0" w:color="auto"/>
        <w:left w:val="none" w:sz="0" w:space="0" w:color="auto"/>
        <w:bottom w:val="none" w:sz="0" w:space="0" w:color="auto"/>
        <w:right w:val="none" w:sz="0" w:space="0" w:color="auto"/>
      </w:divBdr>
    </w:div>
    <w:div w:id="876236014">
      <w:bodyDiv w:val="1"/>
      <w:marLeft w:val="0"/>
      <w:marRight w:val="0"/>
      <w:marTop w:val="0"/>
      <w:marBottom w:val="0"/>
      <w:divBdr>
        <w:top w:val="none" w:sz="0" w:space="0" w:color="auto"/>
        <w:left w:val="none" w:sz="0" w:space="0" w:color="auto"/>
        <w:bottom w:val="none" w:sz="0" w:space="0" w:color="auto"/>
        <w:right w:val="none" w:sz="0" w:space="0" w:color="auto"/>
      </w:divBdr>
      <w:divsChild>
        <w:div w:id="1305547628">
          <w:marLeft w:val="0"/>
          <w:marRight w:val="0"/>
          <w:marTop w:val="0"/>
          <w:marBottom w:val="0"/>
          <w:divBdr>
            <w:top w:val="none" w:sz="0" w:space="0" w:color="auto"/>
            <w:left w:val="none" w:sz="0" w:space="0" w:color="auto"/>
            <w:bottom w:val="none" w:sz="0" w:space="0" w:color="auto"/>
            <w:right w:val="none" w:sz="0" w:space="0" w:color="auto"/>
          </w:divBdr>
          <w:divsChild>
            <w:div w:id="1122528846">
              <w:marLeft w:val="0"/>
              <w:marRight w:val="0"/>
              <w:marTop w:val="0"/>
              <w:marBottom w:val="0"/>
              <w:divBdr>
                <w:top w:val="none" w:sz="0" w:space="0" w:color="auto"/>
                <w:left w:val="none" w:sz="0" w:space="0" w:color="auto"/>
                <w:bottom w:val="none" w:sz="0" w:space="0" w:color="auto"/>
                <w:right w:val="none" w:sz="0" w:space="0" w:color="auto"/>
              </w:divBdr>
              <w:divsChild>
                <w:div w:id="10914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29254">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110473112">
      <w:bodyDiv w:val="1"/>
      <w:marLeft w:val="0"/>
      <w:marRight w:val="0"/>
      <w:marTop w:val="0"/>
      <w:marBottom w:val="0"/>
      <w:divBdr>
        <w:top w:val="none" w:sz="0" w:space="0" w:color="auto"/>
        <w:left w:val="none" w:sz="0" w:space="0" w:color="auto"/>
        <w:bottom w:val="none" w:sz="0" w:space="0" w:color="auto"/>
        <w:right w:val="none" w:sz="0" w:space="0" w:color="auto"/>
      </w:divBdr>
      <w:divsChild>
        <w:div w:id="589196809">
          <w:marLeft w:val="0"/>
          <w:marRight w:val="0"/>
          <w:marTop w:val="0"/>
          <w:marBottom w:val="0"/>
          <w:divBdr>
            <w:top w:val="none" w:sz="0" w:space="0" w:color="auto"/>
            <w:left w:val="none" w:sz="0" w:space="0" w:color="auto"/>
            <w:bottom w:val="none" w:sz="0" w:space="0" w:color="auto"/>
            <w:right w:val="none" w:sz="0" w:space="0" w:color="auto"/>
          </w:divBdr>
          <w:divsChild>
            <w:div w:id="62676976">
              <w:marLeft w:val="0"/>
              <w:marRight w:val="0"/>
              <w:marTop w:val="0"/>
              <w:marBottom w:val="0"/>
              <w:divBdr>
                <w:top w:val="none" w:sz="0" w:space="0" w:color="auto"/>
                <w:left w:val="none" w:sz="0" w:space="0" w:color="auto"/>
                <w:bottom w:val="none" w:sz="0" w:space="0" w:color="auto"/>
                <w:right w:val="none" w:sz="0" w:space="0" w:color="auto"/>
              </w:divBdr>
            </w:div>
          </w:divsChild>
        </w:div>
        <w:div w:id="252200515">
          <w:marLeft w:val="0"/>
          <w:marRight w:val="0"/>
          <w:marTop w:val="0"/>
          <w:marBottom w:val="0"/>
          <w:divBdr>
            <w:top w:val="none" w:sz="0" w:space="0" w:color="auto"/>
            <w:left w:val="none" w:sz="0" w:space="0" w:color="auto"/>
            <w:bottom w:val="none" w:sz="0" w:space="0" w:color="auto"/>
            <w:right w:val="none" w:sz="0" w:space="0" w:color="auto"/>
          </w:divBdr>
          <w:divsChild>
            <w:div w:id="98260254">
              <w:marLeft w:val="0"/>
              <w:marRight w:val="0"/>
              <w:marTop w:val="0"/>
              <w:marBottom w:val="0"/>
              <w:divBdr>
                <w:top w:val="none" w:sz="0" w:space="0" w:color="auto"/>
                <w:left w:val="none" w:sz="0" w:space="0" w:color="auto"/>
                <w:bottom w:val="none" w:sz="0" w:space="0" w:color="auto"/>
                <w:right w:val="none" w:sz="0" w:space="0" w:color="auto"/>
              </w:divBdr>
            </w:div>
            <w:div w:id="326984353">
              <w:marLeft w:val="0"/>
              <w:marRight w:val="0"/>
              <w:marTop w:val="0"/>
              <w:marBottom w:val="0"/>
              <w:divBdr>
                <w:top w:val="none" w:sz="0" w:space="0" w:color="auto"/>
                <w:left w:val="none" w:sz="0" w:space="0" w:color="auto"/>
                <w:bottom w:val="none" w:sz="0" w:space="0" w:color="auto"/>
                <w:right w:val="none" w:sz="0" w:space="0" w:color="auto"/>
              </w:divBdr>
            </w:div>
            <w:div w:id="1668707910">
              <w:marLeft w:val="0"/>
              <w:marRight w:val="0"/>
              <w:marTop w:val="0"/>
              <w:marBottom w:val="0"/>
              <w:divBdr>
                <w:top w:val="none" w:sz="0" w:space="0" w:color="auto"/>
                <w:left w:val="none" w:sz="0" w:space="0" w:color="auto"/>
                <w:bottom w:val="none" w:sz="0" w:space="0" w:color="auto"/>
                <w:right w:val="none" w:sz="0" w:space="0" w:color="auto"/>
              </w:divBdr>
            </w:div>
          </w:divsChild>
        </w:div>
        <w:div w:id="1916743154">
          <w:marLeft w:val="0"/>
          <w:marRight w:val="0"/>
          <w:marTop w:val="0"/>
          <w:marBottom w:val="0"/>
          <w:divBdr>
            <w:top w:val="none" w:sz="0" w:space="0" w:color="auto"/>
            <w:left w:val="none" w:sz="0" w:space="0" w:color="auto"/>
            <w:bottom w:val="none" w:sz="0" w:space="0" w:color="auto"/>
            <w:right w:val="none" w:sz="0" w:space="0" w:color="auto"/>
          </w:divBdr>
          <w:divsChild>
            <w:div w:id="402029053">
              <w:marLeft w:val="0"/>
              <w:marRight w:val="0"/>
              <w:marTop w:val="0"/>
              <w:marBottom w:val="0"/>
              <w:divBdr>
                <w:top w:val="none" w:sz="0" w:space="0" w:color="auto"/>
                <w:left w:val="none" w:sz="0" w:space="0" w:color="auto"/>
                <w:bottom w:val="none" w:sz="0" w:space="0" w:color="auto"/>
                <w:right w:val="none" w:sz="0" w:space="0" w:color="auto"/>
              </w:divBdr>
            </w:div>
            <w:div w:id="277102902">
              <w:marLeft w:val="0"/>
              <w:marRight w:val="0"/>
              <w:marTop w:val="0"/>
              <w:marBottom w:val="0"/>
              <w:divBdr>
                <w:top w:val="none" w:sz="0" w:space="0" w:color="auto"/>
                <w:left w:val="none" w:sz="0" w:space="0" w:color="auto"/>
                <w:bottom w:val="none" w:sz="0" w:space="0" w:color="auto"/>
                <w:right w:val="none" w:sz="0" w:space="0" w:color="auto"/>
              </w:divBdr>
            </w:div>
            <w:div w:id="13055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845702887">
      <w:bodyDiv w:val="1"/>
      <w:marLeft w:val="0"/>
      <w:marRight w:val="0"/>
      <w:marTop w:val="0"/>
      <w:marBottom w:val="0"/>
      <w:divBdr>
        <w:top w:val="none" w:sz="0" w:space="0" w:color="auto"/>
        <w:left w:val="none" w:sz="0" w:space="0" w:color="auto"/>
        <w:bottom w:val="none" w:sz="0" w:space="0" w:color="auto"/>
        <w:right w:val="none" w:sz="0" w:space="0" w:color="auto"/>
      </w:divBdr>
      <w:divsChild>
        <w:div w:id="789324685">
          <w:marLeft w:val="0"/>
          <w:marRight w:val="0"/>
          <w:marTop w:val="0"/>
          <w:marBottom w:val="0"/>
          <w:divBdr>
            <w:top w:val="none" w:sz="0" w:space="0" w:color="auto"/>
            <w:left w:val="none" w:sz="0" w:space="0" w:color="auto"/>
            <w:bottom w:val="none" w:sz="0" w:space="0" w:color="auto"/>
            <w:right w:val="none" w:sz="0" w:space="0" w:color="auto"/>
          </w:divBdr>
          <w:divsChild>
            <w:div w:id="1361472601">
              <w:marLeft w:val="0"/>
              <w:marRight w:val="0"/>
              <w:marTop w:val="0"/>
              <w:marBottom w:val="0"/>
              <w:divBdr>
                <w:top w:val="none" w:sz="0" w:space="0" w:color="auto"/>
                <w:left w:val="none" w:sz="0" w:space="0" w:color="auto"/>
                <w:bottom w:val="none" w:sz="0" w:space="0" w:color="auto"/>
                <w:right w:val="none" w:sz="0" w:space="0" w:color="auto"/>
              </w:divBdr>
              <w:divsChild>
                <w:div w:id="1062212364">
                  <w:marLeft w:val="0"/>
                  <w:marRight w:val="0"/>
                  <w:marTop w:val="0"/>
                  <w:marBottom w:val="0"/>
                  <w:divBdr>
                    <w:top w:val="none" w:sz="0" w:space="0" w:color="auto"/>
                    <w:left w:val="none" w:sz="0" w:space="0" w:color="auto"/>
                    <w:bottom w:val="none" w:sz="0" w:space="0" w:color="auto"/>
                    <w:right w:val="none" w:sz="0" w:space="0" w:color="auto"/>
                  </w:divBdr>
                  <w:divsChild>
                    <w:div w:id="12416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49001">
      <w:bodyDiv w:val="1"/>
      <w:marLeft w:val="0"/>
      <w:marRight w:val="0"/>
      <w:marTop w:val="0"/>
      <w:marBottom w:val="0"/>
      <w:divBdr>
        <w:top w:val="none" w:sz="0" w:space="0" w:color="auto"/>
        <w:left w:val="none" w:sz="0" w:space="0" w:color="auto"/>
        <w:bottom w:val="none" w:sz="0" w:space="0" w:color="auto"/>
        <w:right w:val="none" w:sz="0" w:space="0" w:color="auto"/>
      </w:divBdr>
      <w:divsChild>
        <w:div w:id="610090942">
          <w:marLeft w:val="0"/>
          <w:marRight w:val="0"/>
          <w:marTop w:val="0"/>
          <w:marBottom w:val="0"/>
          <w:divBdr>
            <w:top w:val="none" w:sz="0" w:space="0" w:color="auto"/>
            <w:left w:val="none" w:sz="0" w:space="0" w:color="auto"/>
            <w:bottom w:val="none" w:sz="0" w:space="0" w:color="auto"/>
            <w:right w:val="none" w:sz="0" w:space="0" w:color="auto"/>
          </w:divBdr>
          <w:divsChild>
            <w:div w:id="790318013">
              <w:marLeft w:val="0"/>
              <w:marRight w:val="0"/>
              <w:marTop w:val="0"/>
              <w:marBottom w:val="0"/>
              <w:divBdr>
                <w:top w:val="none" w:sz="0" w:space="0" w:color="auto"/>
                <w:left w:val="none" w:sz="0" w:space="0" w:color="auto"/>
                <w:bottom w:val="none" w:sz="0" w:space="0" w:color="auto"/>
                <w:right w:val="none" w:sz="0" w:space="0" w:color="auto"/>
              </w:divBdr>
              <w:divsChild>
                <w:div w:id="6779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9083">
      <w:bodyDiv w:val="1"/>
      <w:marLeft w:val="0"/>
      <w:marRight w:val="0"/>
      <w:marTop w:val="0"/>
      <w:marBottom w:val="0"/>
      <w:divBdr>
        <w:top w:val="none" w:sz="0" w:space="0" w:color="auto"/>
        <w:left w:val="none" w:sz="0" w:space="0" w:color="auto"/>
        <w:bottom w:val="none" w:sz="0" w:space="0" w:color="auto"/>
        <w:right w:val="none" w:sz="0" w:space="0" w:color="auto"/>
      </w:divBdr>
      <w:divsChild>
        <w:div w:id="913323025">
          <w:marLeft w:val="0"/>
          <w:marRight w:val="0"/>
          <w:marTop w:val="0"/>
          <w:marBottom w:val="0"/>
          <w:divBdr>
            <w:top w:val="none" w:sz="0" w:space="0" w:color="auto"/>
            <w:left w:val="none" w:sz="0" w:space="0" w:color="auto"/>
            <w:bottom w:val="none" w:sz="0" w:space="0" w:color="auto"/>
            <w:right w:val="none" w:sz="0" w:space="0" w:color="auto"/>
          </w:divBdr>
          <w:divsChild>
            <w:div w:id="1693072937">
              <w:marLeft w:val="0"/>
              <w:marRight w:val="0"/>
              <w:marTop w:val="0"/>
              <w:marBottom w:val="0"/>
              <w:divBdr>
                <w:top w:val="none" w:sz="0" w:space="0" w:color="auto"/>
                <w:left w:val="none" w:sz="0" w:space="0" w:color="auto"/>
                <w:bottom w:val="none" w:sz="0" w:space="0" w:color="auto"/>
                <w:right w:val="none" w:sz="0" w:space="0" w:color="auto"/>
              </w:divBdr>
            </w:div>
          </w:divsChild>
        </w:div>
        <w:div w:id="1187403697">
          <w:marLeft w:val="0"/>
          <w:marRight w:val="0"/>
          <w:marTop w:val="0"/>
          <w:marBottom w:val="0"/>
          <w:divBdr>
            <w:top w:val="none" w:sz="0" w:space="0" w:color="auto"/>
            <w:left w:val="none" w:sz="0" w:space="0" w:color="auto"/>
            <w:bottom w:val="none" w:sz="0" w:space="0" w:color="auto"/>
            <w:right w:val="none" w:sz="0" w:space="0" w:color="auto"/>
          </w:divBdr>
          <w:divsChild>
            <w:div w:id="2046172912">
              <w:marLeft w:val="0"/>
              <w:marRight w:val="0"/>
              <w:marTop w:val="0"/>
              <w:marBottom w:val="0"/>
              <w:divBdr>
                <w:top w:val="none" w:sz="0" w:space="0" w:color="auto"/>
                <w:left w:val="none" w:sz="0" w:space="0" w:color="auto"/>
                <w:bottom w:val="none" w:sz="0" w:space="0" w:color="auto"/>
                <w:right w:val="none" w:sz="0" w:space="0" w:color="auto"/>
              </w:divBdr>
            </w:div>
            <w:div w:id="2039235564">
              <w:marLeft w:val="0"/>
              <w:marRight w:val="0"/>
              <w:marTop w:val="0"/>
              <w:marBottom w:val="0"/>
              <w:divBdr>
                <w:top w:val="none" w:sz="0" w:space="0" w:color="auto"/>
                <w:left w:val="none" w:sz="0" w:space="0" w:color="auto"/>
                <w:bottom w:val="none" w:sz="0" w:space="0" w:color="auto"/>
                <w:right w:val="none" w:sz="0" w:space="0" w:color="auto"/>
              </w:divBdr>
            </w:div>
            <w:div w:id="1556967300">
              <w:marLeft w:val="0"/>
              <w:marRight w:val="0"/>
              <w:marTop w:val="0"/>
              <w:marBottom w:val="0"/>
              <w:divBdr>
                <w:top w:val="none" w:sz="0" w:space="0" w:color="auto"/>
                <w:left w:val="none" w:sz="0" w:space="0" w:color="auto"/>
                <w:bottom w:val="none" w:sz="0" w:space="0" w:color="auto"/>
                <w:right w:val="none" w:sz="0" w:space="0" w:color="auto"/>
              </w:divBdr>
            </w:div>
          </w:divsChild>
        </w:div>
        <w:div w:id="1840270758">
          <w:marLeft w:val="0"/>
          <w:marRight w:val="0"/>
          <w:marTop w:val="0"/>
          <w:marBottom w:val="0"/>
          <w:divBdr>
            <w:top w:val="none" w:sz="0" w:space="0" w:color="auto"/>
            <w:left w:val="none" w:sz="0" w:space="0" w:color="auto"/>
            <w:bottom w:val="none" w:sz="0" w:space="0" w:color="auto"/>
            <w:right w:val="none" w:sz="0" w:space="0" w:color="auto"/>
          </w:divBdr>
          <w:divsChild>
            <w:div w:id="1079139837">
              <w:marLeft w:val="0"/>
              <w:marRight w:val="0"/>
              <w:marTop w:val="0"/>
              <w:marBottom w:val="0"/>
              <w:divBdr>
                <w:top w:val="none" w:sz="0" w:space="0" w:color="auto"/>
                <w:left w:val="none" w:sz="0" w:space="0" w:color="auto"/>
                <w:bottom w:val="none" w:sz="0" w:space="0" w:color="auto"/>
                <w:right w:val="none" w:sz="0" w:space="0" w:color="auto"/>
              </w:divBdr>
            </w:div>
            <w:div w:id="1504541337">
              <w:marLeft w:val="0"/>
              <w:marRight w:val="0"/>
              <w:marTop w:val="0"/>
              <w:marBottom w:val="0"/>
              <w:divBdr>
                <w:top w:val="none" w:sz="0" w:space="0" w:color="auto"/>
                <w:left w:val="none" w:sz="0" w:space="0" w:color="auto"/>
                <w:bottom w:val="none" w:sz="0" w:space="0" w:color="auto"/>
                <w:right w:val="none" w:sz="0" w:space="0" w:color="auto"/>
              </w:divBdr>
            </w:div>
            <w:div w:id="1933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ru.juridicas.unam.mx/xmlui/handle/123456789/111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OGarciaP\AppData\Local\Temp\Plantilla_301339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3.xml>��< ? x m l   v e r s i o n = " 1 . 0 "   e n c o d i n g = " u t f - 1 6 " ? > < E E x p e d i e n t e   x m l n s = " h t t p : / / s c h e m a s . o p e n x m l f o r m a t s . o r g / E x p e d i e n t e A c t u a l " > < A s u n t o I D > 3 0 1 3 3 9 < / A s u n t o I D > < E x p e d i e n t e > 4 2 6 1 / 2 0 2 2 < / E x p e d i e n t e > < A � o > 2 0 2 2 < / A � o > < C o n s e c u t i v o > 4 2 6 1 < / C o n s e c u t i v o > < T i p o A s u n t o I D > 1 0 < / T i p o A s u n t o I D > < T i p o A s u n t o > A M P A R O   D I R E C T O   E N   R E V I S I � N < / T i p o A s u n t o > < P e r t e n e n c i a I D > 1 < / P e r t e n e n c i a I D > < P e r t e n e n c i a > P R I M E R A   S A L A < / P e r t e n e n c i a > < P r o m o v e n t e s > Q U E J O S O :   S E R G I O   L � P E Z   A G U I L A R < / P r o m o v e n t e s > < E x p e d i e n t e T i p o A s u n t o > 4 2 6 1 / 2 0 2 2   A M P A R O   D I R E C T O   E N   R E V I S I � N < / E x p e d i e n t e T i p o A s u n t o > < S e c r e t a r i o > S E C R E T A R I A :   S O F � A   D E L   C A R M E N   T R E V I � O   F E R N � N D E Z < / S e c r e t a r i o > < S e s i o n e s / > < S e s i o n I D > 0 < / S e s i o n I D > < P e r t e n e n c i a A r t i c u l o I n i c i o > L a   P r i m e r a   S a l a < / P e r t e n e n c i a A r t i c u l o I n i c i o > < P e r t e n e n c i a A r t i c u l o > l a   P r i m e r a   S a l a < / P e r t e n e n c i a A r t i c u l o > < E s t a d o > J A L I S C O < / E s t a d o > < P r o m o v e n t e s S i n T i p o > S E R G I O   L � P E Z   A G U I L A R < / P r o m o v e n t e s S i n T i p o > < A u t o r i d a d R e s p o n s a b l e > O c t a v a   S a l a   D e l   S u p r e m o   T r i b u n a l   D e   J u s t i c i a   D e l   E s t a d o   D e   J a l i s c o < / A u t o r i d a d R e s p o n s a b l e > < P r e c e d e n t e s / > < P r e c e d e n t e I D > 0 < / P r e c e d e n t e I D > < A c t o R e c l a m a d o > l a   s e n t e n c i a   d e   0 8   d e   d i c i e m b r e   d e   2 0 2 1 ,   d i c t a d a   e n   e l   t o c a   2 0 9 / 2 0 2 1 < / A c t o R e c l a m a d o > < M i n i s t r o G e n e r o > M I N I S T R O   A L F R E D O   G U T I � R R E Z   O R T I Z   M E N A < / M i n i s t r o G e n e r o > < P r o m o v e n t e s M i n u s c u l a > S e r g i o   L � p e z   A g u i l a r < / P r o m o v e n t e s M i n u s c u l a > < F e c h a S e n t e n c i a I m p u g n a d a > s i e t e   d e   j u l i o   d e   d o s   m i l   v e i n t i d � s < / F e c h a S e n t e n c i a I m p u g n a d a > < O r g a n o S e n t e n c i a I m p u g n a d a > T e r c e r   T r i b u n a l   C o l e g i a d o   e n   M a t e r i a   C i v i l   d e l   T e r c e r   C i r c u i t o < / O r g a n o S e n t e n c i a I m p u g n a d a > < E x p e d i e n t e O r i g e n > A D . -   7 7 / 2 0 2 2 < / E x p e d i e n t e O r i g e n > < L i s t a A s u n t o O r g a n o > < E A s u n t o O r g a n o > < O r g a n o I D > - 6 2 7 < / O r g a n o I D > < O r g a n o > T E R C E R   T R I B U N A L   C O L E G I A D O   E N   M A T E R I A   C I V I L   D E L   T E R C E R   C I R C U I T O < / O r g a n o > < E x p e d i e n t e O r i g e n > A D . -   7 7 / 2 0 2 2 < / E x p e d i e n t e O r i g e n > < R e s o l u c i o n >   A M P A R A   < / R e s o l u c i o n > < F e c h a R e s o l u c i o n T e x t o > s i e t e   d e   j u l i o   d e   d o s   m i l   v e i n t i d � s < / F e c h a R e s o l u c i o n T e x t o > < I m p o r t a n c i a > 1 < / I m p o r t a n c i a > < / E A s u n t o O r g a n o > < / L i s t a A s u n t o O r g a n o > < M i n i s t r o E x p e d i e n t e > A L F R E D O   G U T I � R R E Z   O R T I Z   M E N A < / M i n i s t r o E x p e d i e n t e > < S e c r e t a r i o E x p e d i e n t e > T R E V I � O   F E R N � N D E Z   S O F � A   D E L   C A R M E N < / S e c r e t a r i o E x p e d i e n t e > < P a l a b r a s M i n u s c u l a s > E l , L a , L o s , L a s , U n , U n o , U n a , U n o s , U n a s , A , A l , D e l , D e , L o , Y , E n , P o r , S u , O t r o , O t r a , C o n , A n t e , B a j o , E n t r e , P a r a , C o n t r a < / P a l a b r a s M i n u s c u l a s > < L i s t a A c u e r d o s A d m i s i o n > < E A c u e r d o > < A c u e r d o I D > 1 2 1 0 6 8 8 < / A c u e r d o I D > < A c u e r d o > A D M I S I � N   Y   T U R N O ,   P A R A   C O N O C I M I E N T O ,   R E Q U E R I M I E N T O  
 I .   S e   t r a m i t a   e l   p r e s e n t e   a s u n t o   d e   a c u e r d o   c o n   l o s   d e c r e t o s   d e   r e f o r m a   c o n s t i t u c i o n a l   y   l e g a l   e n   l a   m a t e r i a ,   p u b l i c a d o s   e n   e l   D i a r i o   O f i c i a l   d e   l a   F e d e r a c i � n   e l   o n c e   d e   m a r z o   d e   d o s   m i l   v e i n t i u n o   y   s i e t e   d e   j u n i o   s i g u i e n t e ,   r e s p e c t i v a m e n t e ,   l o s   c u a l e s   e n t r a r o n   e n   v i g o r   a l   d � a   s i g u i e n t e   d e   d i c h a s   p u b l i c a c i o n e s ,   p o r   h a b e r s e   i n t e r p u e s t o   e l   r e c u r s o   d e s p u � s   d e   s u   e n t r a d a   e n   v i g o r   y   c o n   b a s e   e n   e l   a r t � c u l o   q u i n t o   t r a n s i t o r i o   d e l   � l t i m o   d e c r e t o   m e n c i o n a d o .    
 I I .   S e   a d m i t e   e l   r e c u r s o   d e   r e v i s i � n   q u e   h a c e   v a l e r   l a   p a r t e   t e r c e r a   i n t e r e s a d a   a l   r u b r o   m e n c i o n a d a .    
 I I I .   R e q u i � r a s e   a   t r a v � s   d e l   c i t a d o   M I N T E R S C J N   a l   P r e s i d e n t e   d e l   T r i b u n a l   C o l e g i a d o   d e l   c o n o c i m i e n t o   y   p o r   m e d i o   d e   o f i c i o   a   l a   a u t o r i d a d   r e s p o n s a b l e ,   p a r a   q u e ,   d e   t e n e r l o s   b a j o   s u   r e s g u a r d o ,   e n v � e n   l o s   a u t o s   d e l   j u i c i o   d e   a m p a r o   d i r e c t o   7 7 / 2 0 2 2 ;   a s �   c o m o   l o s   a u t o s   d e l   t o c a   d e   a p e l a c i � n   2 0 9 / 2 0 2 1 .  
 I V .   C o n   f u n d a m e n t o   e n   l o s   a r t � c u l o s   8 1 ,   p � r r a f o   p r i m e r o ,   y   8 6 ,   p � r r a f o   p r i m e r o ,   d e l   R e g l a m e n t o   I n t e r i o r   d e   l a   S u p r e m a   C o r t e   d e   J u s t i c i a   d e   l a   N a c i � n ,   m o d i f i c a d o   m e d i a n t e   i n s t r u m e n t o   n o r m a t i v o   p u b l i c a d o   e n   e l   D i a r i o   O f i c i a l   d e   l a   F e d e r a c i � n   e l   d o s   d e   f e b r e r o   d e   d o s   m i l   d o c e ,   t � r n e s e   e l   e x p e d i e n t e   p a r a   s u   e s t u d i o ,   a l   M i n i s t r o   A l f r e d o   G u t i � r r e z   O r t i z   M e n a ,   i n t e g r a n t e   d e   l a   P r i m e r a   S a l a ,   y   r a d � q u e s e   e n   � s t a ,   e n   v i r t u d   d e   q u e   e l   a c t o   r e c l a m a d o   e n   e s t e   j u i c i o   d e   a m p a r o ,   t r a s c i e n d e   a   l a   m a t e r i a   d e   s u   e s p e c i a l i d a d ;   d e b i � n d o s e   e n t r e g a r   f � s i c a m e n t e   e n   l a   p o n e n c i a   h a s t a   q u e   e s t �   d e b i d a m e n t e   i n t e g r a d o   c o n   l o s   e x p e d i e n t e s   q u e   s e   s o l i c i t a n   p o r   l o   q u e   s e r �   h a s t a   e s e   m o m e n t o   q u e   s e   r e f l e j a r �   e n   e l l a ,   e n   l a   i n t e l i g e n c i a   d e   q u e   e l   e x p e d i e n t e   e l e c t r � n i c o ,   s e r �   c o n s u l t a b l e   p o r   e l   c o o r d i n a d o r   d e   l a   p o n e n c i a   y   p o r   l o s   d e m � s   s e r v i d o r e s   p � b l i c o s   d e   l a   m i s m a   q u e   a q u � l   a u t o r i c e ,   u n a   v e z   q u e   e s t e   p r o v e � d o   s e a   a g r e g a d o   a   l a   l i s t a   d e   n o t i f i c a c i � n   r e s p e c t i v a ;   p o r   o t r a   p a r t e ,   a l   t e n o r   d e   l o   p r e v i s t o   e n   e l   a r t � c u l o   t e r c e r o   t r a n s i t o r i o   d e l   A G P   9 / 2 0 2 0   s e   e s t i m a   q u e   e l   p r e s e n t e   a s u n t o   s e   e n c u e n t r a   d e b i d a m e n t e   i n t e g r a d o .  
 V .   H e c h o   l o   a n t e r i o r ,   s i   s e   c o n s i d e r a   n e c e s a r i a   l a   i n t e r v e n c i � n   d e l   P l e n o   d e   e s t e   A l t o   T r i b u n a l ,   c o n   f u n d a m e n t o   e n   e l   n u m e r a l   8 7   d e l   r e f e r i d o   R e g l a m e n t o ,   p r e v i o   d i c t a m e n   o   a c u e r d o   q u e   s e   e m i t a ,   r e c i b i d o   e l   a s u n t o   e n   l a   s u b s e c r e t a r � a   g e n e r a l   d e   a c u e r d o s ,   c o n   l a   c e r t i f i c a c i � n   d e l   t i t u l a r   d e   � s t a ,   r a d � q u e s e   e n   P l e n o   y   r e m � t a s e   a l   M i n i s t r o   d e s i g n a d o   p o n e n t e   p a r a   l o s   e f e c t o s   l e g a l e s   c o r r e s p o n d i e n t e s ;   m i s m o   p r o c e d i m i e n t o   d e b e   l l e v a r s e   a   c a b o   e n   e l   c a s o   d e   q u e   e l   e x p e d i e n t e   y a   s e   e n c u e n t r e   r a d i c a d o   e n   P l e n o   y   s e   s o l i c i t e   q u e   l o   r e s u e l v a   l a   S a l a   d e   s u   a d s c r i p c i � n .  
 V I .   L a s   p e r s o n a s   q u e   t e n g a n   r e c o n o c i d o   e l   c a r � c t e r   d e   p a r t e s   e n   e l   j u i c i o   d e   a m p a r o   d e l   q u e   d e r i v a   e l   p r e s e n t e   a s u n t o ,   p o r   s �   o   p o r   c o n d u c t o   d e   s u s   r e p r e s e n t a n t e s   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 V I I . 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 V I I I .   T o d a   v e z   q u e ,   d e   o f i c i o ,   s e   a d v i e r t e   q u e   e l   p r e s e n t e   a s u n t o   g u a r d a   r e l a c i � n   c o n   u n   s u p u e s t o   d e   d a t o s   s e n s i b l e s   e n   t � r m i n o s   d e l   c i t a d o   A G P   1 1 / 2 0 1 7 ,   e n   l a   v e r s i � n   p � b l i c a   d e   e s t e   p r o v e � d o   y   e n   l a   l i s t a   d e   n o t i f i c a c i � n   r e s p e c t i v a    c o m o   e n   c u a l q u i e r   d o c u m e n t o   q u e   s e   g e n e r e   c o n   m o t i v o   d e l   t r � m i t e   y   r e s o l u c i � n   d e l   p r e s e n t e   a s u n t o  ,   s e   d e b e r � n   o m i t i r   y / o   s u p r i m i r   e l   n o m b r e   y   d e m � s   d a t o s   p e r s o n a l e s   o   c u a l q u i e r   o t r a   d e n o m i n a c i � n   q u e   i d e n t i f i q u e   o   h a g a   i d e n t i f i c a b l e   a   c u a l q u i e r a   d e   l a s   p a r t e s   e n   e l   p r e s e n t e   a s u n t o ,   s a l v o   l o s   d a t o s   q u e   c o r r e s p o n d a n   a   � r g a n o s   d e l   E s t a d o   y / o   s e r v i d o r e s   p � b l i c o s .  
 I X .   C o n   f u n d a m e n t o   e n   l a   � l t i m a   p a r t e   d e l   p � r r a f o   s e g u n d o   d e l   a r t � c u l o   1 2   d e   l a   L e y   d e   A m p a r o ,   s e   t i e n e n   c o m o   a u t o r i z a d a s   � n i c a m e n t e   p a r a   o � r   y   r e c i b i r   n o t i f i c a c i o n e s   e   i m p o n e r s e   d e   l o s   a u t o s   a   l a s   p e r s o n a s   q u e   m e n c i o n a   l a   p a r t e   t e r c e r a   i n t e r e s a d a   e n   e l   e s c r i t o   d e   e x p r e s i � n   d e   a g r a v i o s ;   y   c o n   b a s e   e n   e l   n u m e r a l   3 0 5   d e l   C � d i g o   F e d e r a l   d e   P r o c e d i m i e n t o s   C i v i l e s ,   d e   a p l i c a c i � n   s u p l e t o r i a ,   t � n g a s e   c o m o   d o m i c i l i o   p a r a   e l   e f e c t o   d e   o � r   y   r e c i b i r   n o t i f i c a c i o n e s   e l   l u g a r   q u e   i n d i c a   e n   s u   e s c r i t o   d e   a g r a v i o s .  
 X .   C o n   f u n d a m e n t o   e n   l o   d i s p u e s t o   e n   e l   a r t � c u l o   d � c i m o   s e x t o   d e l   A c u e r d o   G e n e r a l   d e   A d m i n i s t r a c i � n   n � m e r o   I I / 2 0 2 0 ,   d e l   P r e s i d e n t e   d e   l a   S u p r e m a   C o r t e   d e   J u s t i c i a   d e   l a   N a c i � n ,   m i s m o   q u e   r e s p o n d i �   a   l a   n e c e s i d a d   d e   p r o t e g e r   l o s   d e r e c h o s   a   l a   s a l u d   y   a   l a   v i d a   t a n t o   d e   l a s   p e r s o n a s   j u s t i c i a b l e s   c o m o   d e   l o s   s e r v i d o r e s   p � b l i c o s   d e l   A l t o   T r i b u n a l ,   y   d a r   e f i c a c i a   a l   d e r e c h o   d e   a c c e s o   a   l a   j u s t i c i a   r e c o n o c i d o   e n   e l   a r t � c u l o   1 7   d e   l a   C o n s t i t u c i � n   P o l � t i c a   d e   l o s   E s t a d o s   U n i d o s   M e x i c a n o s ;     m i e n t r a s   s u b s i s t a n   l a s   c o r r e s p o n d i e n t e s   m e d i d a s   d e   p r o t e c c i � n   a   l a   s a l u d   a h �   s e � a l a d a s ,   l a s   n o t i f i c a c i o n e s   r e a l i z a d a s   p o r   l i s t a   o   p o r   r o t u l � n   e l e c t r � n i c o s ,   v i s i b l e s   e n   e l   P o r t a l   d e   I n t e r n e t   d e   e s t e   A l t o   T r i b u n a l ,   t e n d r � n   l o s   m i s m o s   e f e c t o s   q u e   l a s   l l e v a d a s   a   c a b o   m e d i a n t e   l a   p u b l i c a c i � n   e n   l o s   e s t r a d o s   d e   l a s   l i s t a s   y   d e   l o s   r o t u l o n e s   i m p r e s o s .  
 X I .   N o t i f � q u e s e   p o r   l i s t a   e l e c t r � n i c a ;   h a c i � n d o l o   p o r   m e d i o   d e   o f i c i o   a   l a   a u t o r i d a d   r e s p o n s a b l e ,   p o r   c o n d u c t o   d e l   T r i b u n a l   C o l e g i a d o   d e l   c o n o c i m i e n t o ;   y ,   c o n   f u n d a m e n t o   e n   l o s   a r t � c u l o s   2 6 ,   f r a c c i � n   I I ,   i n c i s o   c ) ,   d e   l a   L e y   d e   A m p a r o ,   y   1 0 7 ,   f r a c c i � n   X V ,   d e   l a   C o n s t i t u c i � n   P o l � t i c a   d e   l o s   E s t a d o s   U n i d o s   M e x i c a n o s ,   p o r   o f i c i o   e l e c t r � n i c o   a   l a   F i s c a l � a   G e n e r a l   d e   l a   R e p � b l i c a ,   e n   l a   i n t e l i g e n c i a   d e   q u e   d i c h o   o f i c i o   s e   l e   r e m i t i r �   p o r   e l   M I N T E R S C J N   y   d e   q u e   e n   t � r m i n o s   d e   l o   d i s p u e s t o   e n   e l   a r t � c u l o   1 6 ,   f r a c c i � n   I I ,   d e l   A c u e r d o   G e n e r a l   P l e n a r i o   1 2 / 2 0 1 4 ,   e l   a c u s e   d e   e n v � o   q u e   s e   g e n e r e   p o r   e l   c i t a d o   m � d u l o   d e   i n t e r c o m u n i c a c i � n   c o n   m o t i v o   d e   l a   r e m i s i � n     d e   l a   v e r s i � n   d i g i t a l   d e   e s t e   a c u e r d o ,   h a c e   l a s   v e c e s   d e l   r e s p e c t i v o   o f i c i o   d e   n o t i f i c a c i � n ,   p o r   l o   q u e ,   a t e n d i e n d o   a   l o   p r e v i s t o   e n   l a s   f r a c c i o n e s   I ,   I I I   y   I V ,   d e l   c i t a d o   a r t � c u l o   1 6 ,   d i c h a   n o t i f i c a c i � n   s e   t e n d r �   p o r   r e a l i z a d a   u n a   v e z   q u e   l a   d o c u m e n t a c i � n   r e m i t i d a   s e     r e c i b a   e n   e l   r e p o s i t o r i o   c o r r e s p o n d i e n t e ,   l o   q u e   d a r �   l u g a r   a   l a   g e n e r a c i � n   d e   l o s   r e s p e c t i v o s   a c u s e s   d e   e n v � o   y   d e   r e c i b o . 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A c u e r d o > < F e c h a A c u e r d o > 3 0 / 0 8 / 2 0 2 2   ( P L E N O ) < / F e c h a A c u e r d o > < F e c h a A c u e r d o T e x t o > t r e i n t a   d e   a g o s t o   d e   d o s   m i l   v e i n t i d � s < / F e c h a A c u e r d o T e x t o > < T i p o A c u e r d o > A D M I S I � N   Y   T U R N O ,   P A R A   C O N O C I M I E N T O ,   R E Q U E R I M I E N T O < / T i p o A c u e r d o > < T i p o A s u n t o E x p e d i e n t e > A m p a r o   D i r e c t o   E n   R e v i s i � n   4 2 6 1 / 2 0 2 2 < / T i p o A s u n t o E x p e d i e n t e > < P e r t e n e n c i a > P L E N O < / P e r t e n e n c i a > < E t i q u e t a P r e s i d e n t e P e r t e n e n c i a > l a   P r e s i d e n c i a < / E t i q u e t a P r e s i d e n t e P e r t e n e n c i a > < / E A c u e r d o > < / L i s t a A c u e r d o s A d m i s i o n > < L i s t a A c u e r d o s A v o c a m i e n t o > < E A c u e r d o > < A c u e r d o I D > 1 2 2 5 3 8 2 < / A c u e r d o I D > < A c u e r d o > A C U S E   D E   R E C I B O ,   A V O C A M I E N T O ,   T R � M I T E  
 A V O C A M I E N T O < / A c u e r d o > < F e c h a A c u e r d o > 1 9 / 1 0 / 2 0 2 2   ( P R I M E R A   S A L A ) < / F e c h a A c u e r d o > < F e c h a A c u e r d o T e x t o > d i e c i n u e v e   d e   o c t u b r e   d e   d o s   m i l   v e i n t i d � s < / F e c h a A c u e r d o T e x t o > < T i p o A c u e r d o > A C U S E   D E   R E C I B O ,   A V O C A M I E N T O ,   T R � M I T E < / T i p o A c u e r d o > < T i p o A s u n t o E x p e d i e n t e > A m p a r o   D i r e c t o   E n   R e v i s i � n   4 2 6 1 / 2 0 2 2 < / T i p o A s u n t o E x p e d i e n t e > < P e r t e n e n c i a > P R I M E R A   S A L A < / P e r t e n e n c i a > < E t i q u e t a P r e s i d e n t e P e r t e n e n c i a > l a   P r e s i d e n t a   d e   l a   P R I M E R A   S A L A < / E t i q u e t a P r e s i d e n t e P e r t e n e n c i a > < / E A c u e r d o > < / L i s t a A c u e r d o s A v o c a m i e n t o > < / E E x p e d i e n t e > 
</file>

<file path=customXml/item4.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E P l a n t i l l a   x m l n s = " h t t p : / / s c h e m a s . o p e n x m l f o r m a t s . o r g / P l a n t i l l a A c t u a l " > < P l a n t i l l a I D > 4 < / P l a n t i l l a I D > < N o m b r e > P l a n t i l l a   A D R < / N o m b r e > < D e s c r i p c i o n > P l a n t i l l a   p a r a   A D R < / D e s c r i p c i o n > < A c t i v o > t r u e < / A c t i v o > < R u t a P l a n t i l l a > \ \ s c s i j 0 4 . s c j n . P J F . g o b . m x \ F s _ W o r d S I J \ P l a n t i l l a s \ S e n t e n c i a \ P l a n t i l l a   A D R . d o t x < / R u t a P l a n t i l l a > < P r o c e d i m i e n t o C o n s u l t a > [ W o r d S I J ] . [ u s p _ I n f o r m a c i o n E x p e d i e n t e _ A D R ] < / P r o c e d i m i e n t o C o n s u l t a > < T i p o P l a n t i l l a I D > 1 < / T i p o P l a n t i l l a I D > < T i p o P l a n t i l l a > S E N T E N C I A < / T i p o P l a n t i l l a > < N o m b r e F o r m u l a r i o > W o r d S I J . F o r m u l a r i o s . P l a n t i l l a s . F r m I n f o r m a c i o n A D R < / N o m b r e F o r m u l a r i o > < / E P l a n t i l l a > 
</file>

<file path=customXml/item7.xml>��< ? x m l   v e r s i o n = " 1 . 0 "   e n c o d i n g = " u t f - 1 6 " ? > < E B u s q u e d a A s u n t o   x m l n s = " h t t p : / / s c h e m a s . o p e n x m l f o r m a t s . o r g / A s u n t o A c t u a l " > < C o n s e c u t i v o > 4 2 6 1 < / C o n s e c u t i v o > < A � o > 2 0 2 2 < / A � o > < T i p o A s u n t o I D > 1 0 < / T i p o A s u n t o I D > < A s u n t o I D > 3 0 1 3 3 9 < / A s u n t o I D > < E x p e d i e n t e > 4 2 6 1 / 2 0 2 2 < / E x p e d i e n t e > < T i p o A s u n t o > A M P A R O   D I R E C T O   E N   R E V I S I � N < / T i p o A s u n t o > < / E B u s q u e d a A s u n t o > 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3.xml><?xml version="1.0" encoding="utf-8"?>
<ds:datastoreItem xmlns:ds="http://schemas.openxmlformats.org/officeDocument/2006/customXml" ds:itemID="{3282D432-8A72-4FD8-9118-459D720BC4AC}">
  <ds:schemaRefs>
    <ds:schemaRef ds:uri="http://schemas.openxmlformats.org/ExpedienteActual"/>
  </ds:schemaRefs>
</ds:datastoreItem>
</file>

<file path=customXml/itemProps4.xml><?xml version="1.0" encoding="utf-8"?>
<ds:datastoreItem xmlns:ds="http://schemas.openxmlformats.org/officeDocument/2006/customXml" ds:itemID="{CC210E1C-A35C-4E86-8C93-4ECC3F00C1AC}">
  <ds:schemaRefs>
    <ds:schemaRef ds:uri="http://schemas.openxmlformats.org/RibbonEstatus"/>
  </ds:schemaRefs>
</ds:datastoreItem>
</file>

<file path=customXml/itemProps5.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6.xml><?xml version="1.0" encoding="utf-8"?>
<ds:datastoreItem xmlns:ds="http://schemas.openxmlformats.org/officeDocument/2006/customXml" ds:itemID="{9F7D6218-7DBD-4EE4-9EBC-6E747E780AE5}">
  <ds:schemaRefs>
    <ds:schemaRef ds:uri="http://schemas.openxmlformats.org/PlantillaActual"/>
  </ds:schemaRefs>
</ds:datastoreItem>
</file>

<file path=customXml/itemProps7.xml><?xml version="1.0" encoding="utf-8"?>
<ds:datastoreItem xmlns:ds="http://schemas.openxmlformats.org/officeDocument/2006/customXml" ds:itemID="{1D990A80-F5C9-4C5F-B62A-9D5404D05478}">
  <ds:schemaRefs>
    <ds:schemaRef ds:uri="http://schemas.openxmlformats.org/AsuntoActual"/>
  </ds:schemaRefs>
</ds:datastoreItem>
</file>

<file path=customXml/itemProps8.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9.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Plantilla_301339_4</Template>
  <TotalTime>25</TotalTime>
  <Pages>47</Pages>
  <Words>11974</Words>
  <Characters>65859</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77678</CharactersWithSpaces>
  <SharedDoc>false</SharedDoc>
  <HLinks>
    <vt:vector size="6" baseType="variant">
      <vt:variant>
        <vt:i4>5898314</vt:i4>
      </vt:variant>
      <vt:variant>
        <vt:i4>0</vt:i4>
      </vt:variant>
      <vt:variant>
        <vt:i4>0</vt:i4>
      </vt:variant>
      <vt:variant>
        <vt:i4>5</vt:i4>
      </vt:variant>
      <vt:variant>
        <vt:lpwstr>http://ru.juridicas.unam.mx/xmlui/handle/123456789/11168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OVDULIA GARCIA PINEDA</dc:creator>
  <cp:keywords/>
  <dc:description/>
  <cp:lastModifiedBy>OVDULIA GARCIA PINEDA</cp:lastModifiedBy>
  <cp:revision>18</cp:revision>
  <cp:lastPrinted>2019-11-28T23:24:00Z</cp:lastPrinted>
  <dcterms:created xsi:type="dcterms:W3CDTF">2023-07-14T20:58:00Z</dcterms:created>
  <dcterms:modified xsi:type="dcterms:W3CDTF">2023-07-14T21:24:00Z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y fmtid="{D5CDD505-2E9C-101B-9397-08002B2CF9AE}" pid="4" name="GrammarlyDocumentId">
    <vt:lpwstr>46849a797319cad1ad774aba492ada0ee4454238af3463ec58a017dcbd098de2</vt:lpwstr>
  </property>
</Properties>
</file>