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7BA29AD3" w:rsidR="001624A8" w:rsidRDefault="001624A8" w:rsidP="001624A8">
      <w:pPr>
        <w:shd w:val="clear" w:color="auto" w:fill="FFFFFF" w:themeFill="background1"/>
        <w:spacing w:after="0" w:line="240" w:lineRule="auto"/>
        <w:ind w:left="2410"/>
        <w:jc w:val="center"/>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281A8CE3" w14:textId="77777777" w:rsidR="00BE71DC" w:rsidRPr="00B64D08" w:rsidRDefault="00BE71DC" w:rsidP="001624A8">
      <w:pPr>
        <w:shd w:val="clear" w:color="auto" w:fill="FFFFFF" w:themeFill="background1"/>
        <w:spacing w:after="0" w:line="240" w:lineRule="auto"/>
        <w:ind w:left="2410"/>
        <w:jc w:val="center"/>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73CA32C6" w14:textId="49ED6E85" w:rsidR="00444CFB" w:rsidRDefault="00DC2D5D"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SOCIEDAD CONYUGAL.</w:t>
      </w:r>
      <w:r w:rsidR="00377550">
        <w:rPr>
          <w:rFonts w:ascii="Arial Nova" w:hAnsi="Arial Nova" w:cs="Times New Roman"/>
          <w:b/>
          <w:bCs/>
          <w:smallCaps/>
          <w:color w:val="002060"/>
        </w:rPr>
        <w:t xml:space="preserve"> </w:t>
      </w:r>
      <w:r w:rsidR="00A67889">
        <w:rPr>
          <w:rFonts w:ascii="Arial Nova" w:hAnsi="Arial Nova" w:cs="Times New Roman"/>
          <w:b/>
          <w:bCs/>
          <w:smallCaps/>
          <w:color w:val="002060"/>
        </w:rPr>
        <w:t>LA DISPOSICIÓN CONFORME A LA CUAL EL CONSORTE QUE HUBIERE OBRADO DE MALA FE DURANTE EL MATRIMONIO NO TENDRÁ PARTE EN LOS GANANCIALES DE LA SOCIEDAD</w:t>
      </w:r>
      <w:r>
        <w:rPr>
          <w:rFonts w:ascii="Arial Nova" w:hAnsi="Arial Nova" w:cs="Times New Roman"/>
          <w:b/>
          <w:bCs/>
          <w:smallCaps/>
          <w:color w:val="002060"/>
        </w:rPr>
        <w:t>, ES INCONSTITUCIONAL</w:t>
      </w:r>
      <w:r w:rsidR="00A67889">
        <w:rPr>
          <w:rFonts w:ascii="Arial Nova" w:hAnsi="Arial Nova" w:cs="Times New Roman"/>
          <w:b/>
          <w:bCs/>
          <w:smallCaps/>
          <w:color w:val="002060"/>
        </w:rPr>
        <w:t xml:space="preserve"> </w:t>
      </w:r>
    </w:p>
    <w:p w14:paraId="6FB7DAC2" w14:textId="5E448BDF" w:rsidR="001C01EC" w:rsidRDefault="001C01EC" w:rsidP="00F849EB">
      <w:pPr>
        <w:spacing w:after="0" w:line="240" w:lineRule="auto"/>
        <w:jc w:val="both"/>
        <w:rPr>
          <w:rFonts w:ascii="Arial Nova" w:hAnsi="Arial Nova" w:cs="Times New Roman"/>
          <w:sz w:val="18"/>
          <w:szCs w:val="18"/>
        </w:rPr>
      </w:pPr>
    </w:p>
    <w:p w14:paraId="06B6E4E6" w14:textId="77777777" w:rsidR="003F647B" w:rsidRDefault="003F647B" w:rsidP="00F849EB">
      <w:pPr>
        <w:spacing w:after="0" w:line="240" w:lineRule="auto"/>
        <w:jc w:val="both"/>
        <w:rPr>
          <w:rFonts w:ascii="Arial Nova" w:hAnsi="Arial Nova" w:cs="Times New Roman"/>
          <w:sz w:val="18"/>
          <w:szCs w:val="18"/>
        </w:rPr>
      </w:pPr>
    </w:p>
    <w:p w14:paraId="3D6CDE51" w14:textId="377D1FC5" w:rsidR="00832148" w:rsidRPr="001624A8" w:rsidRDefault="000018A2" w:rsidP="00F849EB">
      <w:pPr>
        <w:shd w:val="clear" w:color="auto" w:fill="E7E6E6" w:themeFill="background2"/>
        <w:spacing w:after="0" w:line="240" w:lineRule="auto"/>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A67889">
        <w:rPr>
          <w:rFonts w:ascii="Arial Nova" w:hAnsi="Arial Nova" w:cs="Times New Roman"/>
          <w:b/>
          <w:bCs/>
          <w:smallCaps/>
          <w:color w:val="002060"/>
        </w:rPr>
        <w:t>o Alfredo Gutiérrez Ortiz Mena</w:t>
      </w:r>
      <w:r w:rsidR="00B92B45" w:rsidRPr="001624A8">
        <w:rPr>
          <w:rFonts w:ascii="Arial Nova" w:hAnsi="Arial Nova" w:cs="Times New Roman"/>
          <w:smallCaps/>
          <w:color w:val="002060"/>
        </w:rPr>
        <w:t>.</w:t>
      </w:r>
    </w:p>
    <w:p w14:paraId="40946D9F" w14:textId="23692E59" w:rsidR="00F849EB" w:rsidRDefault="00F849EB" w:rsidP="00F849EB">
      <w:pPr>
        <w:shd w:val="clear" w:color="auto" w:fill="E7E6E6" w:themeFill="background2"/>
        <w:spacing w:after="0" w:line="240" w:lineRule="auto"/>
        <w:ind w:left="3402"/>
        <w:jc w:val="right"/>
        <w:rPr>
          <w:rFonts w:ascii="Arial Nova" w:hAnsi="Arial Nova" w:cs="Times New Roman"/>
          <w:smallCaps/>
          <w:color w:val="002060"/>
        </w:rPr>
      </w:pPr>
      <w:bookmarkStart w:id="2" w:name="_Hlk133506801"/>
      <w:bookmarkEnd w:id="0"/>
      <w:r>
        <w:rPr>
          <w:rFonts w:ascii="Arial Nova" w:hAnsi="Arial Nova" w:cs="Times New Roman"/>
          <w:smallCaps/>
          <w:color w:val="002060"/>
        </w:rPr>
        <w:t xml:space="preserve">   </w:t>
      </w:r>
      <w:r w:rsidR="000018A2" w:rsidRPr="001624A8">
        <w:rPr>
          <w:rFonts w:ascii="Arial Nova" w:hAnsi="Arial Nova" w:cs="Times New Roman"/>
          <w:smallCaps/>
          <w:color w:val="002060"/>
        </w:rPr>
        <w:t>Secretari</w:t>
      </w:r>
      <w:r w:rsidR="00A67889">
        <w:rPr>
          <w:rFonts w:ascii="Arial Nova" w:hAnsi="Arial Nova" w:cs="Times New Roman"/>
          <w:smallCaps/>
          <w:color w:val="002060"/>
        </w:rPr>
        <w:t>a: Sofía del Carmen Treviño Fernández</w:t>
      </w:r>
      <w:r w:rsidR="006B710C">
        <w:rPr>
          <w:rFonts w:ascii="Arial Nova" w:hAnsi="Arial Nova" w:cs="Times New Roman"/>
          <w:smallCaps/>
          <w:color w:val="002060"/>
        </w:rPr>
        <w:t>.</w:t>
      </w:r>
    </w:p>
    <w:p w14:paraId="1C0B4F90" w14:textId="092E87AB" w:rsidR="001C01EC" w:rsidRPr="004C2D17" w:rsidRDefault="00F849EB" w:rsidP="00F849EB">
      <w:pPr>
        <w:shd w:val="clear" w:color="auto" w:fill="E7E6E6" w:themeFill="background2"/>
        <w:spacing w:after="0" w:line="240" w:lineRule="auto"/>
        <w:ind w:left="3402"/>
        <w:jc w:val="right"/>
        <w:rPr>
          <w:rFonts w:ascii="Arial Nova" w:hAnsi="Arial Nova" w:cs="Times New Roman"/>
          <w:smallCaps/>
        </w:rPr>
      </w:pPr>
      <w:bookmarkStart w:id="3" w:name="_Hlk133506816"/>
      <w:bookmarkEnd w:id="2"/>
      <w:r>
        <w:rPr>
          <w:rFonts w:ascii="Arial Nova" w:hAnsi="Arial Nova" w:cs="Times New Roman"/>
          <w:smallCaps/>
          <w:color w:val="002060"/>
        </w:rPr>
        <w:t xml:space="preserve">     </w:t>
      </w:r>
      <w:r w:rsidR="001C01EC" w:rsidRPr="001624A8">
        <w:rPr>
          <w:rFonts w:ascii="Arial Nova" w:hAnsi="Arial Nova" w:cs="Times New Roman"/>
          <w:smallCaps/>
          <w:color w:val="002060"/>
        </w:rPr>
        <w:t>Expediente: Ampar</w:t>
      </w:r>
      <w:r w:rsidR="00F72AB2">
        <w:rPr>
          <w:rFonts w:ascii="Arial Nova" w:hAnsi="Arial Nova" w:cs="Times New Roman"/>
          <w:smallCaps/>
          <w:color w:val="002060"/>
        </w:rPr>
        <w:t>o</w:t>
      </w:r>
      <w:r w:rsidR="00377550">
        <w:rPr>
          <w:rFonts w:ascii="Arial Nova" w:hAnsi="Arial Nova" w:cs="Times New Roman"/>
          <w:smallCaps/>
          <w:color w:val="002060"/>
        </w:rPr>
        <w:t xml:space="preserve"> </w:t>
      </w:r>
      <w:r w:rsidR="003A69E4">
        <w:rPr>
          <w:rFonts w:ascii="Arial Nova" w:hAnsi="Arial Nova" w:cs="Times New Roman"/>
          <w:smallCaps/>
          <w:color w:val="002060"/>
        </w:rPr>
        <w:t xml:space="preserve">Directo </w:t>
      </w:r>
      <w:r w:rsidR="00D04554" w:rsidRPr="001624A8">
        <w:rPr>
          <w:rFonts w:ascii="Arial Nova" w:hAnsi="Arial Nova" w:cs="Times New Roman"/>
          <w:smallCaps/>
          <w:color w:val="002060"/>
        </w:rPr>
        <w:t xml:space="preserve">en </w:t>
      </w:r>
      <w:r w:rsidR="001C01EC" w:rsidRPr="001624A8">
        <w:rPr>
          <w:rFonts w:ascii="Arial Nova" w:hAnsi="Arial Nova" w:cs="Times New Roman"/>
          <w:smallCaps/>
          <w:color w:val="002060"/>
        </w:rPr>
        <w:t>Revisión</w:t>
      </w:r>
      <w:r w:rsidR="00377550">
        <w:rPr>
          <w:rFonts w:ascii="Arial Nova" w:hAnsi="Arial Nova" w:cs="Times New Roman"/>
          <w:smallCaps/>
          <w:color w:val="002060"/>
        </w:rPr>
        <w:t xml:space="preserve"> </w:t>
      </w:r>
      <w:r w:rsidR="00A67889">
        <w:rPr>
          <w:rFonts w:ascii="Arial Nova" w:hAnsi="Arial Nova" w:cs="Times New Roman"/>
          <w:smallCaps/>
          <w:color w:val="002060"/>
        </w:rPr>
        <w:t>4261</w:t>
      </w:r>
      <w:r w:rsidR="001C01EC" w:rsidRPr="001624A8">
        <w:rPr>
          <w:rFonts w:ascii="Arial Nova" w:hAnsi="Arial Nova" w:cs="Times New Roman"/>
          <w:smallCaps/>
          <w:color w:val="002060"/>
        </w:rPr>
        <w:t>/20</w:t>
      </w:r>
      <w:r w:rsidR="006B710C">
        <w:rPr>
          <w:rFonts w:ascii="Arial Nova" w:hAnsi="Arial Nova" w:cs="Times New Roman"/>
          <w:smallCaps/>
          <w:color w:val="002060"/>
        </w:rPr>
        <w:t>2</w:t>
      </w:r>
      <w:r w:rsidR="00A67889">
        <w:rPr>
          <w:rFonts w:ascii="Arial Nova" w:hAnsi="Arial Nova" w:cs="Times New Roman"/>
          <w:smallCaps/>
          <w:color w:val="002060"/>
        </w:rPr>
        <w:t>2</w:t>
      </w:r>
      <w:r w:rsidR="001C01EC" w:rsidRPr="004C2D17">
        <w:rPr>
          <w:rFonts w:ascii="Arial Nova" w:hAnsi="Arial Nova" w:cs="Times New Roman"/>
          <w:smallCaps/>
        </w:rPr>
        <w:t>.</w:t>
      </w:r>
      <w:bookmarkEnd w:id="1"/>
      <w:bookmarkEnd w:id="3"/>
    </w:p>
    <w:p w14:paraId="4ED83672" w14:textId="16646A47" w:rsidR="001C01EC" w:rsidRDefault="001C01EC" w:rsidP="001C01EC">
      <w:pPr>
        <w:spacing w:after="0" w:line="240" w:lineRule="auto"/>
        <w:jc w:val="center"/>
        <w:rPr>
          <w:rFonts w:ascii="Arial Nova" w:hAnsi="Arial Nova" w:cs="Times New Roman"/>
          <w:sz w:val="20"/>
          <w:szCs w:val="20"/>
        </w:rPr>
      </w:pPr>
    </w:p>
    <w:p w14:paraId="254DE4BC" w14:textId="77777777" w:rsidR="00BE71DC" w:rsidRDefault="00BE71DC"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1503FB" w14:paraId="0DC470A1" w14:textId="77777777" w:rsidTr="00DD01B8">
        <w:tc>
          <w:tcPr>
            <w:tcW w:w="880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1503FB" w:rsidRDefault="00E32435" w:rsidP="00C30AA0">
            <w:pPr>
              <w:jc w:val="both"/>
              <w:rPr>
                <w:rFonts w:ascii="Arial Nova" w:hAnsi="Arial Nova" w:cs="Times New Roman"/>
              </w:rPr>
            </w:pPr>
          </w:p>
          <w:p w14:paraId="213F2911" w14:textId="7AF32FF7" w:rsidR="00B65914" w:rsidRDefault="00B323DA" w:rsidP="00B65914">
            <w:pPr>
              <w:shd w:val="clear" w:color="auto" w:fill="FFFFFF" w:themeFill="background1"/>
              <w:spacing w:line="276" w:lineRule="auto"/>
              <w:rPr>
                <w:rFonts w:ascii="Arial Nova" w:hAnsi="Arial Nova" w:cs="Times New Roman"/>
                <w:b/>
                <w:bCs/>
                <w:smallCaps/>
                <w:color w:val="000F2E"/>
                <w:sz w:val="28"/>
                <w:szCs w:val="28"/>
              </w:rPr>
            </w:pPr>
            <w:r w:rsidRPr="00DD01B8">
              <w:rPr>
                <w:rFonts w:ascii="Arial Nova" w:hAnsi="Arial Nova" w:cs="Times New Roman"/>
                <w:b/>
                <w:bCs/>
                <w:smallCaps/>
                <w:color w:val="000F2E"/>
                <w:sz w:val="28"/>
                <w:szCs w:val="28"/>
              </w:rPr>
              <w:t>Resumen:</w:t>
            </w:r>
          </w:p>
          <w:p w14:paraId="01B37176" w14:textId="77777777" w:rsidR="00E02AFF" w:rsidRDefault="00E02AFF" w:rsidP="00E02AFF">
            <w:pPr>
              <w:pStyle w:val="Prrafodelista"/>
              <w:widowControl w:val="0"/>
              <w:autoSpaceDE w:val="0"/>
              <w:autoSpaceDN w:val="0"/>
              <w:adjustRightInd w:val="0"/>
              <w:ind w:left="0" w:right="49"/>
              <w:jc w:val="both"/>
              <w:rPr>
                <w:rFonts w:ascii="Arial Nova" w:hAnsi="Arial Nova" w:cs="Times New Roman"/>
              </w:rPr>
            </w:pPr>
          </w:p>
          <w:p w14:paraId="381189C6" w14:textId="505F5A53" w:rsidR="00A67889" w:rsidRPr="00A67889" w:rsidRDefault="00DC2D5D" w:rsidP="00A67889">
            <w:pPr>
              <w:tabs>
                <w:tab w:val="left" w:pos="0"/>
              </w:tabs>
              <w:contextualSpacing/>
              <w:jc w:val="both"/>
              <w:rPr>
                <w:rFonts w:ascii="Arial Nova" w:hAnsi="Arial Nova" w:cs="Times New Roman"/>
              </w:rPr>
            </w:pPr>
            <w:r>
              <w:rPr>
                <w:rFonts w:ascii="Arial Nova" w:hAnsi="Arial Nova" w:cs="Times New Roman"/>
              </w:rPr>
              <w:t>U</w:t>
            </w:r>
            <w:r w:rsidR="00A67889" w:rsidRPr="00A67889">
              <w:rPr>
                <w:rFonts w:ascii="Arial Nova" w:hAnsi="Arial Nova" w:cs="Times New Roman"/>
              </w:rPr>
              <w:t xml:space="preserve">na </w:t>
            </w:r>
            <w:r>
              <w:rPr>
                <w:rFonts w:ascii="Arial Nova" w:hAnsi="Arial Nova" w:cs="Times New Roman"/>
              </w:rPr>
              <w:t xml:space="preserve">mujer </w:t>
            </w:r>
            <w:r w:rsidR="00A67889" w:rsidRPr="00A67889">
              <w:rPr>
                <w:rFonts w:ascii="Arial Nova" w:hAnsi="Arial Nova" w:cs="Times New Roman"/>
              </w:rPr>
              <w:t>demand</w:t>
            </w:r>
            <w:r>
              <w:rPr>
                <w:rFonts w:ascii="Arial Nova" w:hAnsi="Arial Nova" w:cs="Times New Roman"/>
              </w:rPr>
              <w:t>ó</w:t>
            </w:r>
            <w:r w:rsidR="00A67889" w:rsidRPr="00A67889">
              <w:rPr>
                <w:rFonts w:ascii="Arial Nova" w:hAnsi="Arial Nova" w:cs="Times New Roman"/>
              </w:rPr>
              <w:t xml:space="preserve"> </w:t>
            </w:r>
            <w:r>
              <w:rPr>
                <w:rFonts w:ascii="Arial Nova" w:hAnsi="Arial Nova" w:cs="Times New Roman"/>
              </w:rPr>
              <w:t>la</w:t>
            </w:r>
            <w:r w:rsidR="00A67889" w:rsidRPr="00A67889">
              <w:rPr>
                <w:rFonts w:ascii="Arial Nova" w:hAnsi="Arial Nova" w:cs="Times New Roman"/>
              </w:rPr>
              <w:t xml:space="preserve"> nulidad del matrimonio</w:t>
            </w:r>
            <w:r>
              <w:rPr>
                <w:rFonts w:ascii="Arial Nova" w:hAnsi="Arial Nova" w:cs="Times New Roman"/>
              </w:rPr>
              <w:t xml:space="preserve"> que contrajo con su hasta entonces cónyuge</w:t>
            </w:r>
            <w:r w:rsidR="00A67889" w:rsidRPr="00A67889">
              <w:rPr>
                <w:rFonts w:ascii="Arial Nova" w:hAnsi="Arial Nova" w:cs="Times New Roman"/>
              </w:rPr>
              <w:t>, en la que solicitó que, conforme al artículo 336 del Código Civil del Estado de Jalisco, el demandado no tuviera parte en l</w:t>
            </w:r>
            <w:r w:rsidR="008E39AA">
              <w:rPr>
                <w:rFonts w:ascii="Arial Nova" w:hAnsi="Arial Nova" w:cs="Times New Roman"/>
              </w:rPr>
              <w:t>o</w:t>
            </w:r>
            <w:r w:rsidR="00A67889" w:rsidRPr="00A67889">
              <w:rPr>
                <w:rFonts w:ascii="Arial Nova" w:hAnsi="Arial Nova" w:cs="Times New Roman"/>
              </w:rPr>
              <w:t>s gananciales de la sociedad</w:t>
            </w:r>
            <w:r>
              <w:rPr>
                <w:rFonts w:ascii="Arial Nova" w:hAnsi="Arial Nova" w:cs="Times New Roman"/>
              </w:rPr>
              <w:t xml:space="preserve"> conyugal</w:t>
            </w:r>
            <w:r w:rsidR="00A67889" w:rsidRPr="00A67889">
              <w:rPr>
                <w:rFonts w:ascii="Arial Nova" w:hAnsi="Arial Nova" w:cs="Times New Roman"/>
              </w:rPr>
              <w:t>. Luego de un primer juicio de amparo</w:t>
            </w:r>
            <w:r w:rsidR="003F647B">
              <w:rPr>
                <w:rFonts w:ascii="Arial Nova" w:hAnsi="Arial Nova" w:cs="Times New Roman"/>
              </w:rPr>
              <w:t xml:space="preserve"> concedido en favor de la actora</w:t>
            </w:r>
            <w:r w:rsidR="00A67889" w:rsidRPr="00A67889">
              <w:rPr>
                <w:rFonts w:ascii="Arial Nova" w:hAnsi="Arial Nova" w:cs="Times New Roman"/>
              </w:rPr>
              <w:t>, la sala de apelación declaró la pérdida del</w:t>
            </w:r>
            <w:r>
              <w:rPr>
                <w:rFonts w:ascii="Arial Nova" w:hAnsi="Arial Nova" w:cs="Times New Roman"/>
              </w:rPr>
              <w:t xml:space="preserve"> derecho del </w:t>
            </w:r>
            <w:r w:rsidR="00A67889" w:rsidRPr="00A67889">
              <w:rPr>
                <w:rFonts w:ascii="Arial Nova" w:hAnsi="Arial Nova" w:cs="Times New Roman"/>
              </w:rPr>
              <w:t xml:space="preserve">demandado </w:t>
            </w:r>
            <w:r>
              <w:rPr>
                <w:rFonts w:ascii="Arial Nova" w:hAnsi="Arial Nova" w:cs="Times New Roman"/>
              </w:rPr>
              <w:t xml:space="preserve">para reclamar tales gananciales </w:t>
            </w:r>
            <w:r w:rsidR="00A67889" w:rsidRPr="00A67889">
              <w:rPr>
                <w:rFonts w:ascii="Arial Nova" w:hAnsi="Arial Nova" w:cs="Times New Roman"/>
              </w:rPr>
              <w:t>y lo condenó al pago de las costas judiciales correspondientes.</w:t>
            </w:r>
          </w:p>
          <w:p w14:paraId="13DF35CB" w14:textId="77777777" w:rsidR="00A67889" w:rsidRPr="00A67889" w:rsidRDefault="00A67889" w:rsidP="00A67889">
            <w:pPr>
              <w:tabs>
                <w:tab w:val="left" w:pos="0"/>
              </w:tabs>
              <w:contextualSpacing/>
              <w:jc w:val="both"/>
              <w:rPr>
                <w:rFonts w:ascii="Arial Nova" w:hAnsi="Arial Nova" w:cs="Times New Roman"/>
              </w:rPr>
            </w:pPr>
          </w:p>
          <w:p w14:paraId="751F5D72" w14:textId="0B8C078D" w:rsidR="00A67889" w:rsidRPr="00A67889" w:rsidRDefault="00A67889" w:rsidP="00A67889">
            <w:pPr>
              <w:tabs>
                <w:tab w:val="left" w:pos="0"/>
              </w:tabs>
              <w:contextualSpacing/>
              <w:jc w:val="both"/>
              <w:rPr>
                <w:rFonts w:ascii="Arial Nova" w:hAnsi="Arial Nova" w:cs="Times New Roman"/>
              </w:rPr>
            </w:pPr>
            <w:r w:rsidRPr="00A67889">
              <w:rPr>
                <w:rFonts w:ascii="Arial Nova" w:hAnsi="Arial Nova" w:cs="Times New Roman"/>
              </w:rPr>
              <w:t xml:space="preserve">En contra de esa resolución, el </w:t>
            </w:r>
            <w:r w:rsidR="00DC2D5D">
              <w:rPr>
                <w:rFonts w:ascii="Arial Nova" w:hAnsi="Arial Nova" w:cs="Times New Roman"/>
              </w:rPr>
              <w:t xml:space="preserve">demandado </w:t>
            </w:r>
            <w:r w:rsidRPr="00A67889">
              <w:rPr>
                <w:rFonts w:ascii="Arial Nova" w:hAnsi="Arial Nova" w:cs="Times New Roman"/>
              </w:rPr>
              <w:t xml:space="preserve">promovió </w:t>
            </w:r>
            <w:r w:rsidR="00DC2D5D">
              <w:rPr>
                <w:rFonts w:ascii="Arial Nova" w:hAnsi="Arial Nova" w:cs="Times New Roman"/>
              </w:rPr>
              <w:t>un juicio de amparo</w:t>
            </w:r>
            <w:r w:rsidRPr="00A67889">
              <w:rPr>
                <w:rFonts w:ascii="Arial Nova" w:hAnsi="Arial Nova" w:cs="Times New Roman"/>
              </w:rPr>
              <w:t xml:space="preserve"> </w:t>
            </w:r>
            <w:r w:rsidR="003F647B">
              <w:rPr>
                <w:rFonts w:ascii="Arial Nova" w:hAnsi="Arial Nova" w:cs="Times New Roman"/>
              </w:rPr>
              <w:t>en el que reclamó la inconstitucionalidad del precepto referido</w:t>
            </w:r>
            <w:r w:rsidR="00DC2D5D">
              <w:rPr>
                <w:rFonts w:ascii="Arial Nova" w:hAnsi="Arial Nova" w:cs="Times New Roman"/>
              </w:rPr>
              <w:t>, mismo que le fue concedido por e</w:t>
            </w:r>
            <w:r w:rsidRPr="00A67889">
              <w:rPr>
                <w:rFonts w:ascii="Arial Nova" w:hAnsi="Arial Nova" w:cs="Times New Roman"/>
              </w:rPr>
              <w:t xml:space="preserve">l </w:t>
            </w:r>
            <w:r w:rsidR="00DC2D5D" w:rsidRPr="00A67889">
              <w:rPr>
                <w:rFonts w:ascii="Arial Nova" w:hAnsi="Arial Nova" w:cs="Times New Roman"/>
              </w:rPr>
              <w:t>Tribunal Colegiado</w:t>
            </w:r>
            <w:r w:rsidRPr="00A67889">
              <w:rPr>
                <w:rFonts w:ascii="Arial Nova" w:hAnsi="Arial Nova" w:cs="Times New Roman"/>
              </w:rPr>
              <w:t xml:space="preserve"> </w:t>
            </w:r>
            <w:r w:rsidR="00DC2D5D">
              <w:rPr>
                <w:rFonts w:ascii="Arial Nova" w:hAnsi="Arial Nova" w:cs="Times New Roman"/>
              </w:rPr>
              <w:t xml:space="preserve">del conocimiento. Lo anterior, tras concluir </w:t>
            </w:r>
            <w:r w:rsidRPr="00A67889">
              <w:rPr>
                <w:rFonts w:ascii="Arial Nova" w:hAnsi="Arial Nova" w:cs="Times New Roman"/>
              </w:rPr>
              <w:t>que</w:t>
            </w:r>
            <w:r w:rsidR="003F647B">
              <w:rPr>
                <w:rFonts w:ascii="Arial Nova" w:hAnsi="Arial Nova" w:cs="Times New Roman"/>
              </w:rPr>
              <w:t>,</w:t>
            </w:r>
            <w:r w:rsidR="00DC2D5D">
              <w:rPr>
                <w:rFonts w:ascii="Arial Nova" w:hAnsi="Arial Nova" w:cs="Times New Roman"/>
              </w:rPr>
              <w:t xml:space="preserve"> </w:t>
            </w:r>
            <w:r w:rsidR="003F647B" w:rsidRPr="003F647B">
              <w:rPr>
                <w:rFonts w:ascii="Arial Nova" w:hAnsi="Arial Nova" w:cs="Times New Roman"/>
              </w:rPr>
              <w:t>aunque se encontraba probada la mala fe del demandado,</w:t>
            </w:r>
            <w:r w:rsidR="003F647B">
              <w:rPr>
                <w:rFonts w:ascii="Arial Nova" w:hAnsi="Arial Nova" w:cs="Times New Roman"/>
              </w:rPr>
              <w:t xml:space="preserve"> </w:t>
            </w:r>
            <w:r w:rsidRPr="00A67889">
              <w:rPr>
                <w:rFonts w:ascii="Arial Nova" w:hAnsi="Arial Nova" w:cs="Times New Roman"/>
              </w:rPr>
              <w:t>la sanción establecida en el artículo reclamado era inconstitucional por absoluta y excesiva.</w:t>
            </w:r>
            <w:r w:rsidR="003F647B">
              <w:rPr>
                <w:rFonts w:ascii="Arial Nova" w:hAnsi="Arial Nova" w:cs="Times New Roman"/>
              </w:rPr>
              <w:t xml:space="preserve"> En desacuerdo, la mujer interpuso un recurso de revisión.</w:t>
            </w:r>
          </w:p>
          <w:p w14:paraId="25634119" w14:textId="77777777" w:rsidR="008A3EA0" w:rsidRPr="008A3EA0" w:rsidRDefault="008A3EA0" w:rsidP="008A3EA0">
            <w:pPr>
              <w:tabs>
                <w:tab w:val="left" w:pos="0"/>
              </w:tabs>
              <w:contextualSpacing/>
              <w:jc w:val="both"/>
              <w:rPr>
                <w:rFonts w:ascii="Arial Nova" w:hAnsi="Arial Nova" w:cs="Times New Roman"/>
              </w:rPr>
            </w:pPr>
          </w:p>
          <w:p w14:paraId="1C02F4CB" w14:textId="399E9019" w:rsidR="00A67889" w:rsidRPr="00A67889" w:rsidRDefault="00A67889" w:rsidP="00A67889">
            <w:pPr>
              <w:tabs>
                <w:tab w:val="left" w:pos="0"/>
              </w:tabs>
              <w:spacing w:after="160"/>
              <w:contextualSpacing/>
              <w:jc w:val="both"/>
              <w:rPr>
                <w:rFonts w:ascii="Arial Nova" w:hAnsi="Arial Nova" w:cs="Times New Roman"/>
              </w:rPr>
            </w:pPr>
            <w:r w:rsidRPr="00A67889">
              <w:rPr>
                <w:rFonts w:ascii="Arial Nova" w:hAnsi="Arial Nova" w:cs="Times New Roman"/>
              </w:rPr>
              <w:t>Al resolver el asunto, la Primera Sala determinó la inconstitucionalidad del artículo 336 del Código Civil del Estado de Jalisco, conforme al cual se priva de tod</w:t>
            </w:r>
            <w:r w:rsidR="008E39AA">
              <w:rPr>
                <w:rFonts w:ascii="Arial Nova" w:hAnsi="Arial Nova" w:cs="Times New Roman"/>
              </w:rPr>
              <w:t>o</w:t>
            </w:r>
            <w:r w:rsidRPr="00A67889">
              <w:rPr>
                <w:rFonts w:ascii="Arial Nova" w:hAnsi="Arial Nova" w:cs="Times New Roman"/>
              </w:rPr>
              <w:t>s l</w:t>
            </w:r>
            <w:r w:rsidR="008E39AA">
              <w:rPr>
                <w:rFonts w:ascii="Arial Nova" w:hAnsi="Arial Nova" w:cs="Times New Roman"/>
              </w:rPr>
              <w:t>o</w:t>
            </w:r>
            <w:r w:rsidRPr="00A67889">
              <w:rPr>
                <w:rFonts w:ascii="Arial Nova" w:hAnsi="Arial Nova" w:cs="Times New Roman"/>
              </w:rPr>
              <w:t>s gananciales de la sociedad conyugal al cónyuge que actuó de mala fe.</w:t>
            </w:r>
          </w:p>
          <w:p w14:paraId="3875D08F" w14:textId="77777777" w:rsidR="00A67889" w:rsidRPr="00A67889" w:rsidRDefault="00A67889" w:rsidP="00A67889">
            <w:pPr>
              <w:tabs>
                <w:tab w:val="left" w:pos="0"/>
              </w:tabs>
              <w:ind w:right="49"/>
              <w:jc w:val="both"/>
              <w:rPr>
                <w:rFonts w:ascii="Arial Nova" w:hAnsi="Arial Nova" w:cs="Times New Roman"/>
              </w:rPr>
            </w:pPr>
          </w:p>
          <w:p w14:paraId="1ACEDC5D" w14:textId="47E37AD1" w:rsidR="00A67889" w:rsidRDefault="003F647B" w:rsidP="00A67889">
            <w:pPr>
              <w:tabs>
                <w:tab w:val="left" w:pos="0"/>
              </w:tabs>
              <w:ind w:right="49"/>
              <w:jc w:val="both"/>
              <w:rPr>
                <w:rFonts w:ascii="Arial Nova" w:hAnsi="Arial Nova" w:cs="Times New Roman"/>
              </w:rPr>
            </w:pPr>
            <w:r>
              <w:rPr>
                <w:rFonts w:ascii="Arial Nova" w:hAnsi="Arial Nova" w:cs="Times New Roman"/>
              </w:rPr>
              <w:t>Esto</w:t>
            </w:r>
            <w:r w:rsidR="00A67889" w:rsidRPr="00A67889">
              <w:rPr>
                <w:rFonts w:ascii="Arial Nova" w:hAnsi="Arial Nova" w:cs="Times New Roman"/>
              </w:rPr>
              <w:t xml:space="preserve">, </w:t>
            </w:r>
            <w:r>
              <w:rPr>
                <w:rFonts w:ascii="Arial Nova" w:hAnsi="Arial Nova" w:cs="Times New Roman"/>
              </w:rPr>
              <w:t>al advertir que</w:t>
            </w:r>
            <w:r w:rsidR="00A67889" w:rsidRPr="00A67889">
              <w:rPr>
                <w:rFonts w:ascii="Arial Nova" w:hAnsi="Arial Nova" w:cs="Times New Roman"/>
              </w:rPr>
              <w:t xml:space="preserve"> se trata de una sanción desproporcionada, que permite que la disolución del matrimonio constituya una causa de empobrecimiento para quienes lo integran y priva a una persona no sólo de su derecho a la propiedad, sino que podría repercutir en su posibilidad de llevar una subsistencia digna y autónoma con motivo de la declaración de nulidad del matrimonio.</w:t>
            </w:r>
          </w:p>
          <w:p w14:paraId="4023736D" w14:textId="77777777" w:rsidR="00A67889" w:rsidRPr="00A67889" w:rsidRDefault="00A67889" w:rsidP="00A67889">
            <w:pPr>
              <w:tabs>
                <w:tab w:val="left" w:pos="0"/>
              </w:tabs>
              <w:ind w:right="49"/>
              <w:jc w:val="both"/>
              <w:rPr>
                <w:rFonts w:ascii="Arial Nova" w:hAnsi="Arial Nova" w:cs="Times New Roman"/>
              </w:rPr>
            </w:pPr>
          </w:p>
          <w:p w14:paraId="068A96B6" w14:textId="4563AD7A" w:rsidR="0043637B" w:rsidRPr="001503FB" w:rsidRDefault="0043637B" w:rsidP="008A3EA0">
            <w:pPr>
              <w:tabs>
                <w:tab w:val="left" w:pos="0"/>
              </w:tabs>
              <w:contextualSpacing/>
              <w:jc w:val="both"/>
              <w:rPr>
                <w:rFonts w:ascii="Arial Nova" w:hAnsi="Arial Nova" w:cs="Times New Roman"/>
              </w:rPr>
            </w:pPr>
          </w:p>
        </w:tc>
      </w:tr>
    </w:tbl>
    <w:p w14:paraId="19F57796" w14:textId="0E0D302B" w:rsidR="0051268B" w:rsidRDefault="0051268B" w:rsidP="000018A2">
      <w:pPr>
        <w:spacing w:after="0" w:line="240" w:lineRule="auto"/>
        <w:jc w:val="both"/>
        <w:rPr>
          <w:rFonts w:ascii="Arial Nova" w:hAnsi="Arial Nova" w:cs="Times New Roman"/>
        </w:rPr>
      </w:pPr>
    </w:p>
    <w:p w14:paraId="2AFD89A2" w14:textId="3A51100E" w:rsidR="003F647B" w:rsidRDefault="003F647B" w:rsidP="000018A2">
      <w:pPr>
        <w:spacing w:after="0" w:line="240" w:lineRule="auto"/>
        <w:jc w:val="both"/>
        <w:rPr>
          <w:rFonts w:ascii="Arial Nova" w:hAnsi="Arial Nova" w:cs="Times New Roman"/>
        </w:rPr>
      </w:pPr>
    </w:p>
    <w:p w14:paraId="52E1C639" w14:textId="23CE068A" w:rsidR="003F647B" w:rsidRDefault="003F647B" w:rsidP="000018A2">
      <w:pPr>
        <w:spacing w:after="0" w:line="240" w:lineRule="auto"/>
        <w:jc w:val="both"/>
        <w:rPr>
          <w:rFonts w:ascii="Arial Nova" w:hAnsi="Arial Nova" w:cs="Times New Roman"/>
        </w:rPr>
      </w:pPr>
    </w:p>
    <w:p w14:paraId="6F01244D" w14:textId="752E8746" w:rsidR="00AD1806" w:rsidRPr="00642B2A" w:rsidRDefault="00B323DA" w:rsidP="0043637B">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3C6B8AF" w14:textId="77777777" w:rsidR="0043637B" w:rsidRDefault="0043637B" w:rsidP="0043637B">
      <w:pPr>
        <w:pStyle w:val="Normal0"/>
        <w:jc w:val="both"/>
        <w:rPr>
          <w:rFonts w:ascii="Arial Nova" w:eastAsiaTheme="minorHAnsi" w:hAnsi="Arial Nova"/>
          <w:sz w:val="24"/>
          <w:szCs w:val="24"/>
          <w:lang w:val="es-MX" w:eastAsia="en-US"/>
        </w:rPr>
      </w:pPr>
    </w:p>
    <w:p w14:paraId="3465D746" w14:textId="130ADD16" w:rsidR="00A67889" w:rsidRDefault="00927E30" w:rsidP="00A67889">
      <w:pPr>
        <w:tabs>
          <w:tab w:val="left" w:pos="0"/>
        </w:tabs>
        <w:spacing w:line="240" w:lineRule="auto"/>
        <w:contextualSpacing/>
        <w:jc w:val="both"/>
        <w:rPr>
          <w:rFonts w:ascii="Arial Nova" w:hAnsi="Arial Nova" w:cs="Times New Roman"/>
          <w:sz w:val="24"/>
          <w:szCs w:val="24"/>
        </w:rPr>
      </w:pPr>
      <w:r>
        <w:rPr>
          <w:rFonts w:ascii="Arial Nova" w:hAnsi="Arial Nova" w:cs="Times New Roman"/>
          <w:sz w:val="24"/>
          <w:szCs w:val="24"/>
        </w:rPr>
        <w:t xml:space="preserve">En el caso, </w:t>
      </w:r>
      <w:r w:rsidR="00A67889">
        <w:rPr>
          <w:rFonts w:ascii="Arial Nova" w:hAnsi="Arial Nova" w:cs="Times New Roman"/>
          <w:sz w:val="24"/>
          <w:szCs w:val="24"/>
        </w:rPr>
        <w:t>una pareja contrajo matr</w:t>
      </w:r>
      <w:r w:rsidR="00A67889" w:rsidRPr="00A67889">
        <w:rPr>
          <w:rFonts w:ascii="Arial Nova" w:hAnsi="Arial Nova" w:cs="Times New Roman"/>
          <w:sz w:val="24"/>
          <w:szCs w:val="24"/>
        </w:rPr>
        <w:t xml:space="preserve">imonio </w:t>
      </w:r>
      <w:r w:rsidR="00A67889">
        <w:rPr>
          <w:rFonts w:ascii="Arial Nova" w:hAnsi="Arial Nova" w:cs="Times New Roman"/>
          <w:sz w:val="24"/>
          <w:szCs w:val="24"/>
        </w:rPr>
        <w:t xml:space="preserve">en </w:t>
      </w:r>
      <w:r w:rsidR="00A67889" w:rsidRPr="00A67889">
        <w:rPr>
          <w:rFonts w:ascii="Arial Nova" w:hAnsi="Arial Nova" w:cs="Times New Roman"/>
          <w:sz w:val="24"/>
          <w:szCs w:val="24"/>
        </w:rPr>
        <w:t xml:space="preserve">1977. En 2021, </w:t>
      </w:r>
      <w:r w:rsidR="003F647B">
        <w:rPr>
          <w:rFonts w:ascii="Arial Nova" w:hAnsi="Arial Nova" w:cs="Times New Roman"/>
          <w:sz w:val="24"/>
          <w:szCs w:val="24"/>
        </w:rPr>
        <w:t>la mujer</w:t>
      </w:r>
      <w:r w:rsidR="00A67889" w:rsidRPr="00A67889">
        <w:rPr>
          <w:rFonts w:ascii="Arial Nova" w:hAnsi="Arial Nova" w:cs="Times New Roman"/>
          <w:sz w:val="24"/>
          <w:szCs w:val="24"/>
        </w:rPr>
        <w:t xml:space="preserve"> presentó una demanda de nulidad del matrimonio, en la que solicitó que, conforme al artículo 336 del Código Civil del Estado de Jalisco, el demandado no tuviera parte en l</w:t>
      </w:r>
      <w:r w:rsidR="008E39AA">
        <w:rPr>
          <w:rFonts w:ascii="Arial Nova" w:hAnsi="Arial Nova" w:cs="Times New Roman"/>
          <w:sz w:val="24"/>
          <w:szCs w:val="24"/>
        </w:rPr>
        <w:t>o</w:t>
      </w:r>
      <w:r w:rsidR="00A67889" w:rsidRPr="00A67889">
        <w:rPr>
          <w:rFonts w:ascii="Arial Nova" w:hAnsi="Arial Nova" w:cs="Times New Roman"/>
          <w:sz w:val="24"/>
          <w:szCs w:val="24"/>
        </w:rPr>
        <w:t>s gananciales de la sociedad. Luego de un primer juicio de amparo, la sala de apelación declaró la pérdida del demandado de l</w:t>
      </w:r>
      <w:r w:rsidR="008E39AA">
        <w:rPr>
          <w:rFonts w:ascii="Arial Nova" w:hAnsi="Arial Nova" w:cs="Times New Roman"/>
          <w:sz w:val="24"/>
          <w:szCs w:val="24"/>
        </w:rPr>
        <w:t>o</w:t>
      </w:r>
      <w:r w:rsidR="00A67889" w:rsidRPr="00A67889">
        <w:rPr>
          <w:rFonts w:ascii="Arial Nova" w:hAnsi="Arial Nova" w:cs="Times New Roman"/>
          <w:sz w:val="24"/>
          <w:szCs w:val="24"/>
        </w:rPr>
        <w:t>s gananciales adquirid</w:t>
      </w:r>
      <w:r w:rsidR="008E39AA">
        <w:rPr>
          <w:rFonts w:ascii="Arial Nova" w:hAnsi="Arial Nova" w:cs="Times New Roman"/>
          <w:sz w:val="24"/>
          <w:szCs w:val="24"/>
        </w:rPr>
        <w:t>o</w:t>
      </w:r>
      <w:r w:rsidR="00A67889" w:rsidRPr="00A67889">
        <w:rPr>
          <w:rFonts w:ascii="Arial Nova" w:hAnsi="Arial Nova" w:cs="Times New Roman"/>
          <w:sz w:val="24"/>
          <w:szCs w:val="24"/>
        </w:rPr>
        <w:t>s en la sociedad conyugal y lo condenó al pago de las costas judiciales correspondientes.</w:t>
      </w:r>
    </w:p>
    <w:p w14:paraId="249FE496" w14:textId="77777777" w:rsidR="00A67889" w:rsidRDefault="00A67889" w:rsidP="00A67889">
      <w:pPr>
        <w:tabs>
          <w:tab w:val="left" w:pos="0"/>
        </w:tabs>
        <w:spacing w:line="240" w:lineRule="auto"/>
        <w:contextualSpacing/>
        <w:jc w:val="both"/>
        <w:rPr>
          <w:rFonts w:ascii="Arial Nova" w:hAnsi="Arial Nova" w:cs="Times New Roman"/>
          <w:sz w:val="24"/>
          <w:szCs w:val="24"/>
        </w:rPr>
      </w:pPr>
    </w:p>
    <w:p w14:paraId="456385BF" w14:textId="1D1C8089" w:rsidR="00A67889" w:rsidRDefault="00A67889" w:rsidP="00A67889">
      <w:pPr>
        <w:tabs>
          <w:tab w:val="left" w:pos="0"/>
        </w:tabs>
        <w:spacing w:line="240" w:lineRule="auto"/>
        <w:contextualSpacing/>
        <w:jc w:val="both"/>
        <w:rPr>
          <w:rFonts w:ascii="Arial Nova" w:hAnsi="Arial Nova" w:cs="Times New Roman"/>
          <w:sz w:val="24"/>
          <w:szCs w:val="24"/>
        </w:rPr>
      </w:pPr>
      <w:r w:rsidRPr="00A67889">
        <w:rPr>
          <w:rFonts w:ascii="Arial Nova" w:hAnsi="Arial Nova" w:cs="Times New Roman"/>
          <w:sz w:val="24"/>
          <w:szCs w:val="24"/>
        </w:rPr>
        <w:t>En contra de esa resolución, el señor</w:t>
      </w:r>
      <w:r>
        <w:rPr>
          <w:rFonts w:ascii="Arial Nova" w:hAnsi="Arial Nova" w:cs="Times New Roman"/>
          <w:sz w:val="24"/>
          <w:szCs w:val="24"/>
        </w:rPr>
        <w:t xml:space="preserve"> </w:t>
      </w:r>
      <w:r w:rsidRPr="00A67889">
        <w:rPr>
          <w:rFonts w:ascii="Arial Nova" w:hAnsi="Arial Nova" w:cs="Times New Roman"/>
          <w:sz w:val="24"/>
          <w:szCs w:val="24"/>
        </w:rPr>
        <w:t>promovió una demanda de amparo. El tribunal colegiado determinó que, aunque se encontraba probada la mala fe del demandado, la sanción establecida en el artículo reclamado era inconstitucional por absoluta y excesiva. El tribunal consideró que la medida no es idónea para satisfacer el fin constitucional y tampoco es proporcional en función de la finalidad que persigue porque, aunque la familia es una institución enérgicamente protegida por la Constitución</w:t>
      </w:r>
      <w:r w:rsidR="008E39AA">
        <w:rPr>
          <w:rFonts w:ascii="Arial Nova" w:hAnsi="Arial Nova" w:cs="Times New Roman"/>
          <w:sz w:val="24"/>
          <w:szCs w:val="24"/>
        </w:rPr>
        <w:t xml:space="preserve"> Federal</w:t>
      </w:r>
      <w:r w:rsidRPr="00A67889">
        <w:rPr>
          <w:rFonts w:ascii="Arial Nova" w:hAnsi="Arial Nova" w:cs="Times New Roman"/>
          <w:sz w:val="24"/>
          <w:szCs w:val="24"/>
        </w:rPr>
        <w:t xml:space="preserve">, no sólo deben garantizarse los derechos y responsabilidades durante el matrimonio, sino también debe procurarse que, una vez terminado, el impacto a los derechos patrimoniales de quienes estuvieron casados no sea tan lesivo.  </w:t>
      </w:r>
    </w:p>
    <w:p w14:paraId="530EA69C" w14:textId="77777777" w:rsidR="00A67889" w:rsidRDefault="00A67889" w:rsidP="00A67889">
      <w:pPr>
        <w:tabs>
          <w:tab w:val="left" w:pos="0"/>
        </w:tabs>
        <w:spacing w:line="240" w:lineRule="auto"/>
        <w:contextualSpacing/>
        <w:jc w:val="both"/>
        <w:rPr>
          <w:rFonts w:ascii="Arial Nova" w:hAnsi="Arial Nova" w:cs="Times New Roman"/>
          <w:sz w:val="24"/>
          <w:szCs w:val="24"/>
        </w:rPr>
      </w:pPr>
    </w:p>
    <w:p w14:paraId="78E61ABC" w14:textId="0E7D9E6F" w:rsidR="00A67889" w:rsidRPr="00A67889" w:rsidRDefault="00A67889" w:rsidP="00A67889">
      <w:pPr>
        <w:tabs>
          <w:tab w:val="left" w:pos="0"/>
        </w:tabs>
        <w:spacing w:line="240" w:lineRule="auto"/>
        <w:contextualSpacing/>
        <w:jc w:val="both"/>
        <w:rPr>
          <w:rFonts w:ascii="Arial Nova" w:hAnsi="Arial Nova" w:cs="Times New Roman"/>
          <w:sz w:val="24"/>
          <w:szCs w:val="24"/>
        </w:rPr>
      </w:pPr>
      <w:r w:rsidRPr="00A67889">
        <w:rPr>
          <w:rFonts w:ascii="Arial Nova" w:hAnsi="Arial Nova" w:cs="Times New Roman"/>
          <w:sz w:val="24"/>
          <w:szCs w:val="24"/>
        </w:rPr>
        <w:t xml:space="preserve">En contra de esta resolución, la actora interpuso un recurso de revisión, materia de esta resolución, en el que argumentó que el tribunal colegiado no emitió argumentos suficientes para considerar desproporcional la sanción. Asimismo, argumentó que no se trata de una medida desproporcionada, pues pretende proteger a la familia y, específicamente, al matrimonio. Señala que las apreciaciones del tribunal colegiado únicamente toman en cuenta el punto de vista económico </w:t>
      </w:r>
      <w:r w:rsidR="00435808">
        <w:rPr>
          <w:rFonts w:ascii="Arial Nova" w:hAnsi="Arial Nova" w:cs="Times New Roman"/>
          <w:sz w:val="24"/>
          <w:szCs w:val="24"/>
        </w:rPr>
        <w:t xml:space="preserve">y </w:t>
      </w:r>
      <w:r w:rsidRPr="00A67889">
        <w:rPr>
          <w:rFonts w:ascii="Arial Nova" w:hAnsi="Arial Nova" w:cs="Times New Roman"/>
          <w:sz w:val="24"/>
          <w:szCs w:val="24"/>
        </w:rPr>
        <w:t xml:space="preserve">omiten analizar la importancia constitucional, institucional y social del matrimonio. </w:t>
      </w:r>
    </w:p>
    <w:p w14:paraId="7AD30E93" w14:textId="77777777" w:rsidR="00A67889" w:rsidRPr="008A3EA0" w:rsidRDefault="00A67889" w:rsidP="003F647B">
      <w:pPr>
        <w:tabs>
          <w:tab w:val="left" w:pos="0"/>
        </w:tabs>
        <w:spacing w:after="0" w:line="240" w:lineRule="auto"/>
        <w:contextualSpacing/>
        <w:jc w:val="both"/>
        <w:rPr>
          <w:rFonts w:ascii="Arial Nova" w:hAnsi="Arial Nova" w:cs="Times New Roman"/>
          <w:sz w:val="24"/>
          <w:szCs w:val="24"/>
        </w:rPr>
      </w:pPr>
    </w:p>
    <w:p w14:paraId="6BA52939" w14:textId="4CDF03DC" w:rsidR="0048582B" w:rsidRPr="008B0FEE" w:rsidRDefault="00B323DA" w:rsidP="003F647B">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33ECAC66" w14:textId="77777777" w:rsidR="008A3EA0" w:rsidRDefault="008A3EA0" w:rsidP="003F647B">
      <w:pPr>
        <w:tabs>
          <w:tab w:val="left" w:pos="0"/>
        </w:tabs>
        <w:spacing w:after="0" w:line="240" w:lineRule="auto"/>
        <w:contextualSpacing/>
        <w:jc w:val="both"/>
        <w:rPr>
          <w:rFonts w:ascii="Arial Nova" w:hAnsi="Arial Nova" w:cs="Times New Roman"/>
          <w:sz w:val="24"/>
          <w:szCs w:val="24"/>
        </w:rPr>
      </w:pPr>
    </w:p>
    <w:p w14:paraId="7D1EEF13" w14:textId="54CCFDD9" w:rsidR="00A67889" w:rsidRPr="00A67889" w:rsidRDefault="008A3EA0" w:rsidP="00A67889">
      <w:pPr>
        <w:tabs>
          <w:tab w:val="left" w:pos="0"/>
        </w:tabs>
        <w:spacing w:line="240" w:lineRule="auto"/>
        <w:contextualSpacing/>
        <w:jc w:val="both"/>
        <w:rPr>
          <w:rFonts w:ascii="Arial Nova" w:hAnsi="Arial Nova" w:cs="Times New Roman"/>
          <w:sz w:val="24"/>
          <w:szCs w:val="24"/>
        </w:rPr>
      </w:pPr>
      <w:r w:rsidRPr="008A3EA0">
        <w:rPr>
          <w:rFonts w:ascii="Arial Nova" w:hAnsi="Arial Nova" w:cs="Times New Roman"/>
          <w:sz w:val="24"/>
          <w:szCs w:val="24"/>
        </w:rPr>
        <w:t xml:space="preserve">Al resolver el asunto, la Primera Sala </w:t>
      </w:r>
      <w:r w:rsidR="00A67889" w:rsidRPr="00A67889">
        <w:rPr>
          <w:rFonts w:ascii="Arial Nova" w:hAnsi="Arial Nova" w:cs="Times New Roman"/>
          <w:sz w:val="24"/>
          <w:szCs w:val="24"/>
        </w:rPr>
        <w:t>determinó la inconstitucionalidad del artículo 336 del Código Civil del Estado de Jalisco, conforme al cual se priva de tod</w:t>
      </w:r>
      <w:r w:rsidR="008E39AA">
        <w:rPr>
          <w:rFonts w:ascii="Arial Nova" w:hAnsi="Arial Nova" w:cs="Times New Roman"/>
          <w:sz w:val="24"/>
          <w:szCs w:val="24"/>
        </w:rPr>
        <w:t>o</w:t>
      </w:r>
      <w:r w:rsidR="00A67889" w:rsidRPr="00A67889">
        <w:rPr>
          <w:rFonts w:ascii="Arial Nova" w:hAnsi="Arial Nova" w:cs="Times New Roman"/>
          <w:sz w:val="24"/>
          <w:szCs w:val="24"/>
        </w:rPr>
        <w:t>s l</w:t>
      </w:r>
      <w:r w:rsidR="008E39AA">
        <w:rPr>
          <w:rFonts w:ascii="Arial Nova" w:hAnsi="Arial Nova" w:cs="Times New Roman"/>
          <w:sz w:val="24"/>
          <w:szCs w:val="24"/>
        </w:rPr>
        <w:t>o</w:t>
      </w:r>
      <w:r w:rsidR="00A67889" w:rsidRPr="00A67889">
        <w:rPr>
          <w:rFonts w:ascii="Arial Nova" w:hAnsi="Arial Nova" w:cs="Times New Roman"/>
          <w:sz w:val="24"/>
          <w:szCs w:val="24"/>
        </w:rPr>
        <w:t>s gananciales de la sociedad conyugal al cónyuge que actuó de mala fe.</w:t>
      </w:r>
    </w:p>
    <w:p w14:paraId="26C6AB48" w14:textId="77777777" w:rsidR="00A67889" w:rsidRPr="00A67889" w:rsidRDefault="00A67889" w:rsidP="00A67889">
      <w:pPr>
        <w:spacing w:after="0" w:line="240" w:lineRule="auto"/>
        <w:ind w:right="49"/>
        <w:jc w:val="both"/>
        <w:rPr>
          <w:rFonts w:ascii="Arial Nova" w:hAnsi="Arial Nova" w:cs="Times New Roman"/>
          <w:sz w:val="24"/>
          <w:szCs w:val="24"/>
        </w:rPr>
      </w:pPr>
    </w:p>
    <w:p w14:paraId="2EA5BAE8" w14:textId="77777777" w:rsidR="00A67889" w:rsidRPr="00A67889" w:rsidRDefault="00A67889" w:rsidP="00A67889">
      <w:pPr>
        <w:spacing w:after="0" w:line="240" w:lineRule="auto"/>
        <w:ind w:right="49"/>
        <w:jc w:val="both"/>
        <w:rPr>
          <w:rFonts w:ascii="Arial Nova" w:hAnsi="Arial Nova" w:cs="Times New Roman"/>
          <w:sz w:val="24"/>
          <w:szCs w:val="24"/>
        </w:rPr>
      </w:pPr>
      <w:r w:rsidRPr="00A67889">
        <w:rPr>
          <w:rFonts w:ascii="Arial Nova" w:hAnsi="Arial Nova" w:cs="Times New Roman"/>
          <w:sz w:val="24"/>
          <w:szCs w:val="24"/>
        </w:rPr>
        <w:t>Lo anterior, tras concluir que se trata de una sanción desproporcionada, que permite que la disolución del matrimonio constituya una causa de empobrecimiento para quienes lo integran y priva a una persona no sólo de su derecho a la propiedad, sino que podría repercutir en su posibilidad de llevar una subsistencia digna y autónoma con motivo de la declaración de nulidad del matrimonio.</w:t>
      </w:r>
    </w:p>
    <w:p w14:paraId="27001047" w14:textId="77777777" w:rsidR="00A67889" w:rsidRPr="00A67889" w:rsidRDefault="00A67889" w:rsidP="00A67889">
      <w:pPr>
        <w:spacing w:after="0" w:line="240" w:lineRule="auto"/>
        <w:ind w:right="49"/>
        <w:jc w:val="both"/>
        <w:rPr>
          <w:rFonts w:ascii="Arial Nova" w:hAnsi="Arial Nova" w:cs="Times New Roman"/>
          <w:sz w:val="24"/>
          <w:szCs w:val="24"/>
        </w:rPr>
      </w:pPr>
    </w:p>
    <w:p w14:paraId="487D3DE6" w14:textId="77777777" w:rsidR="00A67889" w:rsidRPr="00A67889" w:rsidRDefault="00A67889" w:rsidP="00A67889">
      <w:pPr>
        <w:spacing w:after="0" w:line="240" w:lineRule="auto"/>
        <w:ind w:right="49"/>
        <w:jc w:val="both"/>
        <w:rPr>
          <w:rFonts w:ascii="Arial Nova" w:hAnsi="Arial Nova" w:cs="Times New Roman"/>
          <w:sz w:val="24"/>
          <w:szCs w:val="24"/>
        </w:rPr>
      </w:pPr>
      <w:r w:rsidRPr="00A67889">
        <w:rPr>
          <w:rFonts w:ascii="Arial Nova" w:hAnsi="Arial Nova" w:cs="Times New Roman"/>
          <w:sz w:val="24"/>
          <w:szCs w:val="24"/>
        </w:rPr>
        <w:lastRenderedPageBreak/>
        <w:t>En su fallo, la Sala deliberó que si bien la medida tiene un fin constitucionalmente válido, que es disuadir a las personas de engañar a los demás —en este caso, personas de buena fe— respecto de las condiciones en las que se contrae —en este caso, condiciones que implican nulidad—, y que resulta idónea para tal efecto, lo cierto es que no es necesaria ni proporcional, por lo que es inconstitucional.</w:t>
      </w:r>
    </w:p>
    <w:p w14:paraId="07BC6CB0" w14:textId="77777777" w:rsidR="00A67889" w:rsidRPr="00A67889" w:rsidRDefault="00A67889" w:rsidP="00A67889">
      <w:pPr>
        <w:spacing w:after="0" w:line="240" w:lineRule="auto"/>
        <w:ind w:right="49"/>
        <w:jc w:val="both"/>
        <w:rPr>
          <w:rFonts w:ascii="Arial Nova" w:hAnsi="Arial Nova" w:cs="Times New Roman"/>
          <w:sz w:val="24"/>
          <w:szCs w:val="24"/>
        </w:rPr>
      </w:pPr>
    </w:p>
    <w:p w14:paraId="62A23E07" w14:textId="77777777" w:rsidR="00A67889" w:rsidRPr="00A67889" w:rsidRDefault="00A67889" w:rsidP="00A67889">
      <w:pPr>
        <w:spacing w:after="0" w:line="240" w:lineRule="auto"/>
        <w:ind w:right="49"/>
        <w:jc w:val="both"/>
        <w:rPr>
          <w:rFonts w:ascii="Arial Nova" w:hAnsi="Arial Nova" w:cs="Times New Roman"/>
          <w:sz w:val="24"/>
          <w:szCs w:val="24"/>
        </w:rPr>
      </w:pPr>
      <w:r w:rsidRPr="00A67889">
        <w:rPr>
          <w:rFonts w:ascii="Arial Nova" w:hAnsi="Arial Nova" w:cs="Times New Roman"/>
          <w:sz w:val="24"/>
          <w:szCs w:val="24"/>
        </w:rPr>
        <w:t>Ello es así, pues, aunque la medida debe funcionar como un disuasivo para que las personas no se casen con conocimiento de que incumplen con los requisitos que la ley marca como necesarios —como en el caso sería estar libre de matrimonio— existen medidas alternativas menos lesivas como el pago de una indemnización o de daños y perjuicios, así como la conservación de los bienes o bien la liquidación de estos conforme al grado de aportación de los mismos, en términos de una sociedad de hecho.</w:t>
      </w:r>
    </w:p>
    <w:p w14:paraId="05328530" w14:textId="77777777" w:rsidR="00A67889" w:rsidRPr="00A67889" w:rsidRDefault="00A67889" w:rsidP="00A67889">
      <w:pPr>
        <w:spacing w:after="0" w:line="240" w:lineRule="auto"/>
        <w:ind w:right="49"/>
        <w:jc w:val="both"/>
        <w:rPr>
          <w:rFonts w:ascii="Arial Nova" w:hAnsi="Arial Nova" w:cs="Times New Roman"/>
          <w:sz w:val="24"/>
          <w:szCs w:val="24"/>
        </w:rPr>
      </w:pPr>
    </w:p>
    <w:p w14:paraId="7E2C3277" w14:textId="77777777" w:rsidR="00A67889" w:rsidRPr="00A67889" w:rsidRDefault="00A67889" w:rsidP="00A67889">
      <w:pPr>
        <w:spacing w:after="0" w:line="240" w:lineRule="auto"/>
        <w:ind w:right="49"/>
        <w:jc w:val="both"/>
        <w:rPr>
          <w:rFonts w:ascii="Arial Nova" w:hAnsi="Arial Nova" w:cs="Times New Roman"/>
          <w:sz w:val="24"/>
          <w:szCs w:val="24"/>
        </w:rPr>
      </w:pPr>
      <w:r w:rsidRPr="00A67889">
        <w:rPr>
          <w:rFonts w:ascii="Arial Nova" w:hAnsi="Arial Nova" w:cs="Times New Roman"/>
          <w:sz w:val="24"/>
          <w:szCs w:val="24"/>
        </w:rPr>
        <w:t>Además, la medida es desproporcionada pues el beneficio de disuasión y reparación del daño de la o el cónyuge de buena fe no puede justificar este nivel de afectación en los derechos del cónyuge de mala fe.</w:t>
      </w:r>
    </w:p>
    <w:p w14:paraId="0098E9A2" w14:textId="77777777" w:rsidR="00A67889" w:rsidRPr="00A67889" w:rsidRDefault="00A67889" w:rsidP="00A67889">
      <w:pPr>
        <w:spacing w:after="0" w:line="240" w:lineRule="auto"/>
        <w:ind w:right="49"/>
        <w:jc w:val="both"/>
        <w:rPr>
          <w:rFonts w:ascii="Arial Nova" w:hAnsi="Arial Nova" w:cs="Times New Roman"/>
          <w:sz w:val="24"/>
          <w:szCs w:val="24"/>
        </w:rPr>
      </w:pPr>
    </w:p>
    <w:p w14:paraId="05479CA2" w14:textId="77777777" w:rsidR="00A67889" w:rsidRPr="00A67889" w:rsidRDefault="00A67889" w:rsidP="00A67889">
      <w:pPr>
        <w:spacing w:after="0" w:line="240" w:lineRule="auto"/>
        <w:ind w:right="49"/>
        <w:jc w:val="both"/>
        <w:rPr>
          <w:rFonts w:ascii="Arial Nova" w:hAnsi="Arial Nova" w:cs="Times New Roman"/>
          <w:sz w:val="24"/>
          <w:szCs w:val="24"/>
        </w:rPr>
      </w:pPr>
      <w:r w:rsidRPr="00A67889">
        <w:rPr>
          <w:rFonts w:ascii="Arial Nova" w:hAnsi="Arial Nova" w:cs="Times New Roman"/>
          <w:sz w:val="24"/>
          <w:szCs w:val="24"/>
        </w:rPr>
        <w:t>Asimismo, el Alto Tribunal advirtió que la norma no permite interpretaciones alternas a la completa exclusión del cónyuge de mala fe de los gananciales, por lo que no es dable modular su aplicación.</w:t>
      </w:r>
    </w:p>
    <w:p w14:paraId="2750AFD9" w14:textId="77777777" w:rsidR="00A67889" w:rsidRPr="00A67889" w:rsidRDefault="00A67889" w:rsidP="00A67889">
      <w:pPr>
        <w:spacing w:after="0" w:line="240" w:lineRule="auto"/>
        <w:ind w:right="49"/>
        <w:jc w:val="both"/>
        <w:rPr>
          <w:rFonts w:ascii="Arial Nova" w:hAnsi="Arial Nova" w:cs="Times New Roman"/>
          <w:sz w:val="24"/>
          <w:szCs w:val="24"/>
        </w:rPr>
      </w:pPr>
    </w:p>
    <w:p w14:paraId="5D76D142" w14:textId="52AB99F5" w:rsidR="00A67889" w:rsidRDefault="00A67889" w:rsidP="00A67889">
      <w:pPr>
        <w:spacing w:after="0" w:line="240" w:lineRule="auto"/>
        <w:ind w:right="49"/>
        <w:jc w:val="both"/>
        <w:rPr>
          <w:rFonts w:ascii="Arial Nova" w:hAnsi="Arial Nova" w:cs="Times New Roman"/>
          <w:sz w:val="24"/>
          <w:szCs w:val="24"/>
        </w:rPr>
      </w:pPr>
      <w:r w:rsidRPr="00A67889">
        <w:rPr>
          <w:rFonts w:ascii="Arial Nova" w:hAnsi="Arial Nova" w:cs="Times New Roman"/>
          <w:sz w:val="24"/>
          <w:szCs w:val="24"/>
        </w:rPr>
        <w:t xml:space="preserve">Finalmente, la Primera Sala destacó la posibilidad legal de que las personas afectadas por la actuación de mala fe de uno de los </w:t>
      </w:r>
      <w:r w:rsidR="003F647B" w:rsidRPr="00A67889">
        <w:rPr>
          <w:rFonts w:ascii="Arial Nova" w:hAnsi="Arial Nova" w:cs="Times New Roman"/>
          <w:sz w:val="24"/>
          <w:szCs w:val="24"/>
        </w:rPr>
        <w:t>cónyuges</w:t>
      </w:r>
      <w:r w:rsidRPr="00A67889">
        <w:rPr>
          <w:rFonts w:ascii="Arial Nova" w:hAnsi="Arial Nova" w:cs="Times New Roman"/>
          <w:sz w:val="24"/>
          <w:szCs w:val="24"/>
        </w:rPr>
        <w:t xml:space="preserve"> puedan reclamar por la vía civil una acción de daños al considerarla un hecho ilícito de naturaleza civil.</w:t>
      </w:r>
    </w:p>
    <w:p w14:paraId="6A4B9701" w14:textId="77777777" w:rsidR="003F647B" w:rsidRPr="00A67889" w:rsidRDefault="003F647B" w:rsidP="00A67889">
      <w:pPr>
        <w:spacing w:after="0" w:line="240" w:lineRule="auto"/>
        <w:ind w:right="49"/>
        <w:jc w:val="both"/>
        <w:rPr>
          <w:rFonts w:ascii="Arial Nova" w:hAnsi="Arial Nova" w:cs="Times New Roman"/>
          <w:sz w:val="24"/>
          <w:szCs w:val="24"/>
        </w:rPr>
      </w:pPr>
    </w:p>
    <w:p w14:paraId="6555BF86" w14:textId="468A3E49" w:rsidR="0048582B" w:rsidRPr="00642B2A" w:rsidRDefault="00B323DA" w:rsidP="003F647B">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3F647B">
      <w:pPr>
        <w:spacing w:after="0" w:line="240" w:lineRule="auto"/>
        <w:jc w:val="both"/>
        <w:rPr>
          <w:rFonts w:ascii="Arial Nova" w:hAnsi="Arial Nova" w:cs="Times New Roman"/>
          <w:b/>
          <w:bCs/>
          <w:sz w:val="24"/>
          <w:szCs w:val="24"/>
          <w:shd w:val="clear" w:color="auto" w:fill="B4C6E7" w:themeFill="accent1" w:themeFillTint="66"/>
        </w:rPr>
      </w:pPr>
    </w:p>
    <w:p w14:paraId="3316F34D" w14:textId="730F3098" w:rsidR="00B45F76" w:rsidRDefault="001F4A4B" w:rsidP="005651E4">
      <w:pPr>
        <w:spacing w:after="0" w:line="240" w:lineRule="auto"/>
        <w:jc w:val="both"/>
        <w:rPr>
          <w:rFonts w:ascii="Arial Nova" w:hAnsi="Arial Nova" w:cs="Times New Roman"/>
          <w:sz w:val="24"/>
          <w:szCs w:val="24"/>
        </w:rPr>
      </w:pPr>
      <w:r w:rsidRPr="001F4A4B">
        <w:rPr>
          <w:rFonts w:ascii="Arial Nova" w:hAnsi="Arial Nova" w:cs="Times New Roman"/>
          <w:sz w:val="24"/>
          <w:szCs w:val="24"/>
        </w:rPr>
        <w:t>El asunto fue resuelto en sesión de la Primera Sala del</w:t>
      </w:r>
      <w:r w:rsidR="00F63276">
        <w:rPr>
          <w:rFonts w:ascii="Arial Nova" w:hAnsi="Arial Nova" w:cs="Times New Roman"/>
          <w:sz w:val="24"/>
          <w:szCs w:val="24"/>
        </w:rPr>
        <w:t xml:space="preserve"> </w:t>
      </w:r>
      <w:r w:rsidR="00D775F4">
        <w:rPr>
          <w:rFonts w:ascii="Arial Nova" w:hAnsi="Arial Nova" w:cs="Times New Roman"/>
          <w:sz w:val="24"/>
          <w:szCs w:val="24"/>
        </w:rPr>
        <w:t>2</w:t>
      </w:r>
      <w:r w:rsidR="008A3EA0">
        <w:rPr>
          <w:rFonts w:ascii="Arial Nova" w:hAnsi="Arial Nova" w:cs="Times New Roman"/>
          <w:sz w:val="24"/>
          <w:szCs w:val="24"/>
        </w:rPr>
        <w:t>8</w:t>
      </w:r>
      <w:r w:rsidR="00D775F4">
        <w:rPr>
          <w:rFonts w:ascii="Arial Nova" w:hAnsi="Arial Nova" w:cs="Times New Roman"/>
          <w:sz w:val="24"/>
          <w:szCs w:val="24"/>
        </w:rPr>
        <w:t xml:space="preserve"> </w:t>
      </w:r>
      <w:r w:rsidR="00BE71DC">
        <w:rPr>
          <w:rFonts w:ascii="Arial Nova" w:hAnsi="Arial Nova" w:cs="Times New Roman"/>
          <w:sz w:val="24"/>
          <w:szCs w:val="24"/>
        </w:rPr>
        <w:t xml:space="preserve">de junio </w:t>
      </w:r>
      <w:r w:rsidRPr="001F4A4B">
        <w:rPr>
          <w:rFonts w:ascii="Arial Nova" w:hAnsi="Arial Nova" w:cs="Times New Roman"/>
          <w:sz w:val="24"/>
          <w:szCs w:val="24"/>
        </w:rPr>
        <w:t xml:space="preserve">de 2023, por </w:t>
      </w:r>
      <w:r w:rsidR="00D775F4">
        <w:rPr>
          <w:rFonts w:ascii="Arial Nova" w:hAnsi="Arial Nova" w:cs="Times New Roman"/>
          <w:sz w:val="24"/>
          <w:szCs w:val="24"/>
        </w:rPr>
        <w:t>unanimidad de cinco votos d</w:t>
      </w:r>
      <w:r w:rsidR="0043637B">
        <w:rPr>
          <w:rFonts w:ascii="Arial Nova" w:hAnsi="Arial Nova" w:cs="Times New Roman"/>
          <w:sz w:val="24"/>
          <w:szCs w:val="24"/>
        </w:rPr>
        <w:t xml:space="preserve">e </w:t>
      </w:r>
      <w:r w:rsidR="00B45F76">
        <w:rPr>
          <w:rFonts w:ascii="Arial Nova" w:hAnsi="Arial Nova" w:cs="Times New Roman"/>
          <w:sz w:val="24"/>
          <w:szCs w:val="24"/>
        </w:rPr>
        <w:t>la Señora Ministra Ana Margarita Ríos Farjat y de los Señores Ministros Arturo Zaldívar Lelo de Larrea, Juan Luis González Alcántara Carrancá</w:t>
      </w:r>
      <w:r w:rsidR="00D775F4">
        <w:rPr>
          <w:rFonts w:ascii="Arial Nova" w:hAnsi="Arial Nova" w:cs="Times New Roman"/>
          <w:sz w:val="24"/>
          <w:szCs w:val="24"/>
        </w:rPr>
        <w:t>, Alfredo Gutiérrez Ortiz Mena</w:t>
      </w:r>
      <w:r w:rsidR="00933A84">
        <w:rPr>
          <w:rFonts w:ascii="Arial Nova" w:hAnsi="Arial Nova" w:cs="Times New Roman"/>
          <w:sz w:val="24"/>
          <w:szCs w:val="24"/>
        </w:rPr>
        <w:t xml:space="preserve"> </w:t>
      </w:r>
      <w:r w:rsidR="00B45F76">
        <w:rPr>
          <w:rFonts w:ascii="Arial Nova" w:hAnsi="Arial Nova" w:cs="Times New Roman"/>
          <w:sz w:val="24"/>
          <w:szCs w:val="24"/>
        </w:rPr>
        <w:t>y Jorge Mario Pardo Rebolledo (Presidente).</w:t>
      </w:r>
      <w:r w:rsidR="00933A84">
        <w:rPr>
          <w:rFonts w:ascii="Arial Nova" w:hAnsi="Arial Nova" w:cs="Times New Roman"/>
          <w:sz w:val="24"/>
          <w:szCs w:val="24"/>
        </w:rPr>
        <w:t xml:space="preserve"> </w:t>
      </w:r>
    </w:p>
    <w:p w14:paraId="69996819" w14:textId="77777777" w:rsidR="00B45F76" w:rsidRDefault="00B45F76" w:rsidP="005651E4">
      <w:pPr>
        <w:spacing w:after="0" w:line="240" w:lineRule="auto"/>
        <w:jc w:val="both"/>
        <w:rPr>
          <w:rFonts w:ascii="Arial Nova" w:hAnsi="Arial Nova" w:cs="Times New Roman"/>
          <w:sz w:val="24"/>
          <w:szCs w:val="24"/>
        </w:rPr>
      </w:pPr>
    </w:p>
    <w:p w14:paraId="128BE29E" w14:textId="77777777" w:rsidR="0060715F" w:rsidRPr="00E32435" w:rsidRDefault="0060715F"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8986" w14:textId="77777777" w:rsidR="005D1B41" w:rsidRDefault="005D1B41" w:rsidP="000A7E7B">
      <w:pPr>
        <w:spacing w:after="0" w:line="240" w:lineRule="auto"/>
      </w:pPr>
      <w:r>
        <w:separator/>
      </w:r>
    </w:p>
    <w:p w14:paraId="1270AA3B" w14:textId="77777777" w:rsidR="005D1B41" w:rsidRDefault="005D1B41"/>
  </w:endnote>
  <w:endnote w:type="continuationSeparator" w:id="0">
    <w:p w14:paraId="23FA66DC" w14:textId="77777777" w:rsidR="005D1B41" w:rsidRDefault="005D1B41" w:rsidP="000A7E7B">
      <w:pPr>
        <w:spacing w:after="0" w:line="240" w:lineRule="auto"/>
      </w:pPr>
      <w:r>
        <w:continuationSeparator/>
      </w:r>
    </w:p>
    <w:p w14:paraId="5848CC0E" w14:textId="77777777" w:rsidR="005D1B41" w:rsidRDefault="005D1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ED97" w14:textId="77777777" w:rsidR="005D1B41" w:rsidRDefault="005D1B41" w:rsidP="000A7E7B">
      <w:pPr>
        <w:spacing w:after="0" w:line="240" w:lineRule="auto"/>
      </w:pPr>
      <w:r>
        <w:separator/>
      </w:r>
    </w:p>
    <w:p w14:paraId="65377F16" w14:textId="77777777" w:rsidR="005D1B41" w:rsidRDefault="005D1B41"/>
  </w:footnote>
  <w:footnote w:type="continuationSeparator" w:id="0">
    <w:p w14:paraId="0CAC2DB4" w14:textId="77777777" w:rsidR="005D1B41" w:rsidRDefault="005D1B41" w:rsidP="000A7E7B">
      <w:pPr>
        <w:spacing w:after="0" w:line="240" w:lineRule="auto"/>
      </w:pPr>
      <w:r>
        <w:continuationSeparator/>
      </w:r>
    </w:p>
    <w:p w14:paraId="44620651" w14:textId="77777777" w:rsidR="005D1B41" w:rsidRDefault="005D1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3F647B">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72EB26DC" w:rsidR="0048582B" w:rsidRDefault="0048582B" w:rsidP="003F647B">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AMPARO</w:t>
    </w:r>
    <w:r w:rsidR="00D969A8">
      <w:rPr>
        <w:rFonts w:ascii="Arial Nova" w:hAnsi="Arial Nova" w:cs="Times New Roman"/>
        <w:b/>
        <w:bCs/>
        <w:color w:val="002060"/>
        <w:sz w:val="20"/>
        <w:szCs w:val="20"/>
      </w:rPr>
      <w:t xml:space="preserve"> DIRECTO</w:t>
    </w:r>
    <w:r w:rsidRPr="00046D48">
      <w:rPr>
        <w:rFonts w:ascii="Arial Nova" w:hAnsi="Arial Nova" w:cs="Times New Roman"/>
        <w:b/>
        <w:bCs/>
        <w:color w:val="002060"/>
        <w:sz w:val="20"/>
        <w:szCs w:val="20"/>
      </w:rPr>
      <w:t xml:space="preserve"> EN REVISIÓN</w:t>
    </w:r>
    <w:r w:rsidR="00D969A8">
      <w:rPr>
        <w:rFonts w:ascii="Arial Nova" w:hAnsi="Arial Nova" w:cs="Times New Roman"/>
        <w:b/>
        <w:bCs/>
        <w:color w:val="002060"/>
        <w:sz w:val="20"/>
        <w:szCs w:val="20"/>
      </w:rPr>
      <w:t xml:space="preserve"> </w:t>
    </w:r>
    <w:r w:rsidR="00A67889">
      <w:rPr>
        <w:rFonts w:ascii="Arial Nova" w:hAnsi="Arial Nova" w:cs="Times New Roman"/>
        <w:b/>
        <w:bCs/>
        <w:color w:val="002060"/>
        <w:sz w:val="20"/>
        <w:szCs w:val="20"/>
      </w:rPr>
      <w:t>4261</w:t>
    </w:r>
    <w:r w:rsidR="00D969A8">
      <w:rPr>
        <w:rFonts w:ascii="Arial Nova" w:hAnsi="Arial Nova" w:cs="Times New Roman"/>
        <w:b/>
        <w:bCs/>
        <w:color w:val="002060"/>
        <w:sz w:val="20"/>
        <w:szCs w:val="20"/>
      </w:rPr>
      <w:t>/202</w:t>
    </w:r>
    <w:r w:rsidR="00A67889">
      <w:rPr>
        <w:rFonts w:ascii="Arial Nova" w:hAnsi="Arial Nova" w:cs="Times New Roman"/>
        <w:b/>
        <w:bCs/>
        <w:color w:val="002060"/>
        <w:sz w:val="20"/>
        <w:szCs w:val="20"/>
      </w:rPr>
      <w:t>2</w:t>
    </w:r>
  </w:p>
  <w:p w14:paraId="630AB542" w14:textId="77777777" w:rsidR="00A67889" w:rsidRPr="00046D48" w:rsidRDefault="00A67889" w:rsidP="001C0675">
    <w:pPr>
      <w:pStyle w:val="Encabezado"/>
      <w:jc w:val="both"/>
      <w:rPr>
        <w:rFonts w:ascii="Arial Nova" w:hAnsi="Arial Nova"/>
        <w:color w:val="002060"/>
        <w:sz w:val="20"/>
        <w:szCs w:val="20"/>
      </w:rPr>
    </w:pP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6E03F1"/>
    <w:multiLevelType w:val="hybridMultilevel"/>
    <w:tmpl w:val="372AB372"/>
    <w:lvl w:ilvl="0" w:tplc="30163C1A">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756561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971E2"/>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03FB"/>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7A5"/>
    <w:rsid w:val="001A49C7"/>
    <w:rsid w:val="001A59DF"/>
    <w:rsid w:val="001A67C7"/>
    <w:rsid w:val="001A7541"/>
    <w:rsid w:val="001A7B50"/>
    <w:rsid w:val="001B1219"/>
    <w:rsid w:val="001C01EC"/>
    <w:rsid w:val="001C0675"/>
    <w:rsid w:val="001C0F20"/>
    <w:rsid w:val="001C63EB"/>
    <w:rsid w:val="001D13B2"/>
    <w:rsid w:val="001D21EB"/>
    <w:rsid w:val="001D4B75"/>
    <w:rsid w:val="001D5AB2"/>
    <w:rsid w:val="001E084E"/>
    <w:rsid w:val="001E25BF"/>
    <w:rsid w:val="001E577C"/>
    <w:rsid w:val="001E64C1"/>
    <w:rsid w:val="001E75D9"/>
    <w:rsid w:val="001F200E"/>
    <w:rsid w:val="001F378E"/>
    <w:rsid w:val="001F4A4B"/>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77550"/>
    <w:rsid w:val="003815E4"/>
    <w:rsid w:val="003826D1"/>
    <w:rsid w:val="0038311F"/>
    <w:rsid w:val="00385DE5"/>
    <w:rsid w:val="00392EB3"/>
    <w:rsid w:val="00394C47"/>
    <w:rsid w:val="003A4A72"/>
    <w:rsid w:val="003A672A"/>
    <w:rsid w:val="003A69E4"/>
    <w:rsid w:val="003B0C5A"/>
    <w:rsid w:val="003B33AE"/>
    <w:rsid w:val="003B515C"/>
    <w:rsid w:val="003B55DB"/>
    <w:rsid w:val="003B6A72"/>
    <w:rsid w:val="003C7974"/>
    <w:rsid w:val="003D4B08"/>
    <w:rsid w:val="003D642E"/>
    <w:rsid w:val="003E12C6"/>
    <w:rsid w:val="003E2559"/>
    <w:rsid w:val="003E3C96"/>
    <w:rsid w:val="003E6A38"/>
    <w:rsid w:val="003E6C60"/>
    <w:rsid w:val="003E6D4F"/>
    <w:rsid w:val="003F5933"/>
    <w:rsid w:val="003F647B"/>
    <w:rsid w:val="0040081A"/>
    <w:rsid w:val="00401724"/>
    <w:rsid w:val="0040524F"/>
    <w:rsid w:val="004066A2"/>
    <w:rsid w:val="00410C7B"/>
    <w:rsid w:val="0041275E"/>
    <w:rsid w:val="0041288D"/>
    <w:rsid w:val="00413926"/>
    <w:rsid w:val="00414B37"/>
    <w:rsid w:val="00416322"/>
    <w:rsid w:val="004239C9"/>
    <w:rsid w:val="00435177"/>
    <w:rsid w:val="00435808"/>
    <w:rsid w:val="0043637B"/>
    <w:rsid w:val="0044166C"/>
    <w:rsid w:val="00444CFB"/>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0AA6"/>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1B41"/>
    <w:rsid w:val="005D1EF6"/>
    <w:rsid w:val="005D4956"/>
    <w:rsid w:val="005D668C"/>
    <w:rsid w:val="005D7615"/>
    <w:rsid w:val="005D7AF6"/>
    <w:rsid w:val="005D7D25"/>
    <w:rsid w:val="005E054A"/>
    <w:rsid w:val="005F33A7"/>
    <w:rsid w:val="005F6321"/>
    <w:rsid w:val="005F6734"/>
    <w:rsid w:val="0060715F"/>
    <w:rsid w:val="006077FD"/>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7DE"/>
    <w:rsid w:val="00646B50"/>
    <w:rsid w:val="00650211"/>
    <w:rsid w:val="006524F2"/>
    <w:rsid w:val="00653A76"/>
    <w:rsid w:val="0065440E"/>
    <w:rsid w:val="00663064"/>
    <w:rsid w:val="00674886"/>
    <w:rsid w:val="0068196C"/>
    <w:rsid w:val="00681F98"/>
    <w:rsid w:val="006916BA"/>
    <w:rsid w:val="00694131"/>
    <w:rsid w:val="006A0C3F"/>
    <w:rsid w:val="006A366D"/>
    <w:rsid w:val="006B2893"/>
    <w:rsid w:val="006B6B5E"/>
    <w:rsid w:val="006B710C"/>
    <w:rsid w:val="006B7665"/>
    <w:rsid w:val="006C2052"/>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4A9E"/>
    <w:rsid w:val="00785542"/>
    <w:rsid w:val="00796584"/>
    <w:rsid w:val="00797413"/>
    <w:rsid w:val="007A1AC0"/>
    <w:rsid w:val="007A286B"/>
    <w:rsid w:val="007A33F2"/>
    <w:rsid w:val="007A5A9F"/>
    <w:rsid w:val="007A7085"/>
    <w:rsid w:val="007B25BC"/>
    <w:rsid w:val="007B27CA"/>
    <w:rsid w:val="007B346F"/>
    <w:rsid w:val="007D500D"/>
    <w:rsid w:val="007D5D5D"/>
    <w:rsid w:val="007E0352"/>
    <w:rsid w:val="007E2277"/>
    <w:rsid w:val="007E67CA"/>
    <w:rsid w:val="007F270C"/>
    <w:rsid w:val="007F3616"/>
    <w:rsid w:val="008109A5"/>
    <w:rsid w:val="00813028"/>
    <w:rsid w:val="008134BE"/>
    <w:rsid w:val="0081545D"/>
    <w:rsid w:val="00823513"/>
    <w:rsid w:val="0082358F"/>
    <w:rsid w:val="008244D4"/>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3D1"/>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3EA0"/>
    <w:rsid w:val="008A55C8"/>
    <w:rsid w:val="008B0FEE"/>
    <w:rsid w:val="008C1837"/>
    <w:rsid w:val="008C2656"/>
    <w:rsid w:val="008C6934"/>
    <w:rsid w:val="008C79D6"/>
    <w:rsid w:val="008E2BAC"/>
    <w:rsid w:val="008E342F"/>
    <w:rsid w:val="008E39AA"/>
    <w:rsid w:val="00900489"/>
    <w:rsid w:val="0090105E"/>
    <w:rsid w:val="009116D9"/>
    <w:rsid w:val="009143E0"/>
    <w:rsid w:val="00914C03"/>
    <w:rsid w:val="0092351C"/>
    <w:rsid w:val="009243DB"/>
    <w:rsid w:val="00925421"/>
    <w:rsid w:val="00925968"/>
    <w:rsid w:val="00925F20"/>
    <w:rsid w:val="00926D1F"/>
    <w:rsid w:val="00927812"/>
    <w:rsid w:val="00927E30"/>
    <w:rsid w:val="00930248"/>
    <w:rsid w:val="0093061A"/>
    <w:rsid w:val="00931676"/>
    <w:rsid w:val="00933A84"/>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C507B"/>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27E5F"/>
    <w:rsid w:val="00A335F8"/>
    <w:rsid w:val="00A34118"/>
    <w:rsid w:val="00A356D8"/>
    <w:rsid w:val="00A36297"/>
    <w:rsid w:val="00A372BA"/>
    <w:rsid w:val="00A46110"/>
    <w:rsid w:val="00A54512"/>
    <w:rsid w:val="00A60A42"/>
    <w:rsid w:val="00A61235"/>
    <w:rsid w:val="00A61E50"/>
    <w:rsid w:val="00A64273"/>
    <w:rsid w:val="00A67889"/>
    <w:rsid w:val="00A71F20"/>
    <w:rsid w:val="00A762AD"/>
    <w:rsid w:val="00A85ADA"/>
    <w:rsid w:val="00A91D26"/>
    <w:rsid w:val="00A954EE"/>
    <w:rsid w:val="00AA0899"/>
    <w:rsid w:val="00AA09BE"/>
    <w:rsid w:val="00AA26D5"/>
    <w:rsid w:val="00AA4ACF"/>
    <w:rsid w:val="00AA6A37"/>
    <w:rsid w:val="00AB02E8"/>
    <w:rsid w:val="00AB1420"/>
    <w:rsid w:val="00AB614F"/>
    <w:rsid w:val="00AB66B8"/>
    <w:rsid w:val="00AC421E"/>
    <w:rsid w:val="00AC55FE"/>
    <w:rsid w:val="00AC7D13"/>
    <w:rsid w:val="00AD1806"/>
    <w:rsid w:val="00AD5345"/>
    <w:rsid w:val="00AD53B8"/>
    <w:rsid w:val="00AE2B30"/>
    <w:rsid w:val="00AE75B8"/>
    <w:rsid w:val="00AF51B8"/>
    <w:rsid w:val="00AF5D98"/>
    <w:rsid w:val="00B00169"/>
    <w:rsid w:val="00B07844"/>
    <w:rsid w:val="00B07C55"/>
    <w:rsid w:val="00B07EBE"/>
    <w:rsid w:val="00B10931"/>
    <w:rsid w:val="00B11268"/>
    <w:rsid w:val="00B15460"/>
    <w:rsid w:val="00B169D6"/>
    <w:rsid w:val="00B21008"/>
    <w:rsid w:val="00B237A1"/>
    <w:rsid w:val="00B26E63"/>
    <w:rsid w:val="00B323DA"/>
    <w:rsid w:val="00B42CE3"/>
    <w:rsid w:val="00B43F5B"/>
    <w:rsid w:val="00B45F76"/>
    <w:rsid w:val="00B46855"/>
    <w:rsid w:val="00B46A1E"/>
    <w:rsid w:val="00B47781"/>
    <w:rsid w:val="00B50068"/>
    <w:rsid w:val="00B504A2"/>
    <w:rsid w:val="00B50628"/>
    <w:rsid w:val="00B5357A"/>
    <w:rsid w:val="00B56E9D"/>
    <w:rsid w:val="00B62845"/>
    <w:rsid w:val="00B64D08"/>
    <w:rsid w:val="00B65914"/>
    <w:rsid w:val="00B661F6"/>
    <w:rsid w:val="00B6684A"/>
    <w:rsid w:val="00B74258"/>
    <w:rsid w:val="00B765F6"/>
    <w:rsid w:val="00B84509"/>
    <w:rsid w:val="00B85A4A"/>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E71DC"/>
    <w:rsid w:val="00BF452E"/>
    <w:rsid w:val="00BF6B4B"/>
    <w:rsid w:val="00BF73A8"/>
    <w:rsid w:val="00C00D9C"/>
    <w:rsid w:val="00C00F77"/>
    <w:rsid w:val="00C011E2"/>
    <w:rsid w:val="00C05E1C"/>
    <w:rsid w:val="00C1232B"/>
    <w:rsid w:val="00C12CB3"/>
    <w:rsid w:val="00C16101"/>
    <w:rsid w:val="00C17B4E"/>
    <w:rsid w:val="00C23036"/>
    <w:rsid w:val="00C23B5A"/>
    <w:rsid w:val="00C23EE5"/>
    <w:rsid w:val="00C2651E"/>
    <w:rsid w:val="00C31F7D"/>
    <w:rsid w:val="00C35D9C"/>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D5BC9"/>
    <w:rsid w:val="00CE0FA8"/>
    <w:rsid w:val="00CE21AD"/>
    <w:rsid w:val="00CE3DB1"/>
    <w:rsid w:val="00CF0739"/>
    <w:rsid w:val="00CF3121"/>
    <w:rsid w:val="00CF32FA"/>
    <w:rsid w:val="00D04554"/>
    <w:rsid w:val="00D117AE"/>
    <w:rsid w:val="00D12F06"/>
    <w:rsid w:val="00D15E94"/>
    <w:rsid w:val="00D163F2"/>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775F4"/>
    <w:rsid w:val="00D83116"/>
    <w:rsid w:val="00D83391"/>
    <w:rsid w:val="00D95714"/>
    <w:rsid w:val="00D95C95"/>
    <w:rsid w:val="00D969A8"/>
    <w:rsid w:val="00D96E77"/>
    <w:rsid w:val="00DA5473"/>
    <w:rsid w:val="00DA6AE7"/>
    <w:rsid w:val="00DA6B8A"/>
    <w:rsid w:val="00DA7975"/>
    <w:rsid w:val="00DB6070"/>
    <w:rsid w:val="00DB6593"/>
    <w:rsid w:val="00DB6653"/>
    <w:rsid w:val="00DB78A0"/>
    <w:rsid w:val="00DC1ECE"/>
    <w:rsid w:val="00DC266B"/>
    <w:rsid w:val="00DC2D5D"/>
    <w:rsid w:val="00DC4FDC"/>
    <w:rsid w:val="00DC5792"/>
    <w:rsid w:val="00DD004E"/>
    <w:rsid w:val="00DD01B8"/>
    <w:rsid w:val="00DD0966"/>
    <w:rsid w:val="00DD2F03"/>
    <w:rsid w:val="00DD411A"/>
    <w:rsid w:val="00DE10B5"/>
    <w:rsid w:val="00DE602D"/>
    <w:rsid w:val="00DE73C5"/>
    <w:rsid w:val="00DF65FC"/>
    <w:rsid w:val="00DF7C53"/>
    <w:rsid w:val="00E00285"/>
    <w:rsid w:val="00E00A82"/>
    <w:rsid w:val="00E02AFF"/>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65AF"/>
    <w:rsid w:val="00F07929"/>
    <w:rsid w:val="00F11871"/>
    <w:rsid w:val="00F120DC"/>
    <w:rsid w:val="00F1546D"/>
    <w:rsid w:val="00F16BCE"/>
    <w:rsid w:val="00F172CF"/>
    <w:rsid w:val="00F22959"/>
    <w:rsid w:val="00F318BB"/>
    <w:rsid w:val="00F34564"/>
    <w:rsid w:val="00F35270"/>
    <w:rsid w:val="00F42921"/>
    <w:rsid w:val="00F43AFE"/>
    <w:rsid w:val="00F45F4D"/>
    <w:rsid w:val="00F46BE8"/>
    <w:rsid w:val="00F46CF0"/>
    <w:rsid w:val="00F477BE"/>
    <w:rsid w:val="00F505F6"/>
    <w:rsid w:val="00F5261C"/>
    <w:rsid w:val="00F5371B"/>
    <w:rsid w:val="00F54A66"/>
    <w:rsid w:val="00F57407"/>
    <w:rsid w:val="00F605C3"/>
    <w:rsid w:val="00F63276"/>
    <w:rsid w:val="00F6655B"/>
    <w:rsid w:val="00F66F10"/>
    <w:rsid w:val="00F6787C"/>
    <w:rsid w:val="00F67D19"/>
    <w:rsid w:val="00F72AB2"/>
    <w:rsid w:val="00F751FF"/>
    <w:rsid w:val="00F80810"/>
    <w:rsid w:val="00F81918"/>
    <w:rsid w:val="00F849EB"/>
    <w:rsid w:val="00F92D08"/>
    <w:rsid w:val="00F93292"/>
    <w:rsid w:val="00F9544C"/>
    <w:rsid w:val="00FA10DA"/>
    <w:rsid w:val="00FA60E5"/>
    <w:rsid w:val="00FA74B9"/>
    <w:rsid w:val="00FB3C76"/>
    <w:rsid w:val="00FB544E"/>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Párrafo de lista1,List Paragraph1,Colorful List - Accent 11,TEXTO GENERAL SENTENCIAS,Cuadrícula clara - Énfasis 31,Cuadrícula media 1 - Énfasis 21,Lista vistosa - Énfasis 11,Lista media 2 - Énfasis 41,CNBV Parrafo1"/>
    <w:basedOn w:val="Normal"/>
    <w:link w:val="PrrafodelistaCar"/>
    <w:uiPriority w:val="72"/>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540AA6"/>
    <w:pPr>
      <w:spacing w:after="0" w:line="240" w:lineRule="auto"/>
    </w:pPr>
  </w:style>
  <w:style w:type="paragraph" w:customStyle="1" w:styleId="corte2ponente">
    <w:name w:val="corte2 ponente"/>
    <w:basedOn w:val="Normal"/>
    <w:link w:val="corte2ponenteCar"/>
    <w:qFormat/>
    <w:rsid w:val="00F63276"/>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F63276"/>
    <w:rPr>
      <w:rFonts w:ascii="Arial" w:eastAsia="Times New Roman" w:hAnsi="Arial" w:cs="Times New Roman"/>
      <w:b/>
      <w:caps/>
      <w:sz w:val="30"/>
      <w:szCs w:val="20"/>
      <w:lang w:val="es-ES_tradnl" w:eastAsia="es-MX"/>
    </w:rPr>
  </w:style>
  <w:style w:type="paragraph" w:customStyle="1" w:styleId="Listavistosa-nfasis111">
    <w:name w:val="Lista vistosa - Énfasis 111"/>
    <w:basedOn w:val="Normal"/>
    <w:uiPriority w:val="34"/>
    <w:qFormat/>
    <w:rsid w:val="00F63276"/>
    <w:pPr>
      <w:spacing w:after="0" w:line="360" w:lineRule="auto"/>
      <w:ind w:left="708" w:hanging="709"/>
      <w:jc w:val="both"/>
    </w:pPr>
    <w:rPr>
      <w:rFonts w:ascii="Times New Roman" w:eastAsia="Times New Roman" w:hAnsi="Times New Roman" w:cs="Times New Roman"/>
      <w:sz w:val="20"/>
      <w:szCs w:val="20"/>
      <w:lang w:val="es-ES_tradnl" w:eastAsia="es-MX"/>
    </w:rPr>
  </w:style>
  <w:style w:type="character" w:styleId="Refdecomentario">
    <w:name w:val="annotation reference"/>
    <w:basedOn w:val="Fuentedeprrafopredeter"/>
    <w:uiPriority w:val="99"/>
    <w:semiHidden/>
    <w:unhideWhenUsed/>
    <w:rsid w:val="00F065AF"/>
    <w:rPr>
      <w:sz w:val="16"/>
      <w:szCs w:val="16"/>
    </w:rPr>
  </w:style>
  <w:style w:type="paragraph" w:styleId="Textocomentario">
    <w:name w:val="annotation text"/>
    <w:basedOn w:val="Normal"/>
    <w:link w:val="TextocomentarioCar"/>
    <w:uiPriority w:val="99"/>
    <w:unhideWhenUsed/>
    <w:rsid w:val="00F065A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F065AF"/>
    <w:rPr>
      <w:rFonts w:eastAsiaTheme="minorEastAsia"/>
      <w:sz w:val="20"/>
      <w:szCs w:val="20"/>
    </w:rPr>
  </w:style>
  <w:style w:type="paragraph" w:customStyle="1" w:styleId="corte4fondo">
    <w:name w:val="corte4 fondo"/>
    <w:basedOn w:val="Normal"/>
    <w:link w:val="corte4fondoCar3"/>
    <w:qFormat/>
    <w:rsid w:val="00A61E50"/>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3">
    <w:name w:val="corte4 fondo Car3"/>
    <w:link w:val="corte4fondo"/>
    <w:locked/>
    <w:rsid w:val="00A61E50"/>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Párrafo de lista1 Car,List Paragraph1 Car,Colorful List - Accent 11 Car,TEXTO GENERAL SENTENCIAS Car,Cuadrícula clara - Énfasis 31 Car,Cuadrícula media 1 - Énfasis 21 Car,Lista vistosa - Énfasis 11 Car"/>
    <w:link w:val="Prrafodelista"/>
    <w:uiPriority w:val="72"/>
    <w:locked/>
    <w:rsid w:val="00F72AB2"/>
  </w:style>
  <w:style w:type="paragraph" w:customStyle="1" w:styleId="Normal0">
    <w:name w:val="Normal0"/>
    <w:qFormat/>
    <w:rsid w:val="00674886"/>
    <w:pPr>
      <w:spacing w:after="0" w:line="240" w:lineRule="auto"/>
    </w:pPr>
    <w:rPr>
      <w:rFonts w:ascii="Times New Roman" w:eastAsia="Times New Roman" w:hAnsi="Times New Roman" w:cs="Times New Roman"/>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3757">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082219604">
      <w:bodyDiv w:val="1"/>
      <w:marLeft w:val="0"/>
      <w:marRight w:val="0"/>
      <w:marTop w:val="0"/>
      <w:marBottom w:val="0"/>
      <w:divBdr>
        <w:top w:val="none" w:sz="0" w:space="0" w:color="auto"/>
        <w:left w:val="none" w:sz="0" w:space="0" w:color="auto"/>
        <w:bottom w:val="none" w:sz="0" w:space="0" w:color="auto"/>
        <w:right w:val="none" w:sz="0" w:space="0" w:color="auto"/>
      </w:divBdr>
    </w:div>
    <w:div w:id="1422215096">
      <w:bodyDiv w:val="1"/>
      <w:marLeft w:val="0"/>
      <w:marRight w:val="0"/>
      <w:marTop w:val="0"/>
      <w:marBottom w:val="0"/>
      <w:divBdr>
        <w:top w:val="none" w:sz="0" w:space="0" w:color="auto"/>
        <w:left w:val="none" w:sz="0" w:space="0" w:color="auto"/>
        <w:bottom w:val="none" w:sz="0" w:space="0" w:color="auto"/>
        <w:right w:val="none" w:sz="0" w:space="0" w:color="auto"/>
      </w:divBdr>
    </w:div>
    <w:div w:id="1801611124">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3</Pages>
  <Words>992</Words>
  <Characters>5461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ABIGAIL TRUJILLO FABRE</cp:lastModifiedBy>
  <cp:revision>40</cp:revision>
  <cp:lastPrinted>2021-06-08T20:16:00Z</cp:lastPrinted>
  <dcterms:created xsi:type="dcterms:W3CDTF">2023-04-28T00:15:00Z</dcterms:created>
  <dcterms:modified xsi:type="dcterms:W3CDTF">2023-08-15T23:26:00Z</dcterms:modified>
</cp:coreProperties>
</file>