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5FC7" w14:textId="7BA29AD3" w:rsidR="001624A8" w:rsidRDefault="001624A8" w:rsidP="005C5BD0">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281A8CE3" w14:textId="77777777" w:rsidR="00BE71DC" w:rsidRPr="00B64D08" w:rsidRDefault="00BE71DC" w:rsidP="005C5BD0">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73CA32C6" w14:textId="1EDD5072" w:rsidR="00444CFB" w:rsidRDefault="00A27E5F" w:rsidP="00B323DA">
      <w:pPr>
        <w:shd w:val="clear" w:color="auto" w:fill="E7E6E6" w:themeFill="background2"/>
        <w:spacing w:after="0" w:line="276" w:lineRule="auto"/>
        <w:ind w:right="49"/>
        <w:jc w:val="center"/>
        <w:rPr>
          <w:rFonts w:ascii="Arial Nova" w:hAnsi="Arial Nova" w:cs="Times New Roman"/>
          <w:b/>
          <w:bCs/>
          <w:smallCaps/>
          <w:color w:val="002060"/>
        </w:rPr>
      </w:pPr>
      <w:r>
        <w:rPr>
          <w:rFonts w:ascii="Arial Nova" w:hAnsi="Arial Nova" w:cs="Times New Roman"/>
          <w:b/>
          <w:bCs/>
          <w:smallCaps/>
          <w:color w:val="002060"/>
        </w:rPr>
        <w:t>INCIDENTE DE NULIDAD DE NOTIFICACIONES</w:t>
      </w:r>
      <w:r w:rsidR="005C5BD0">
        <w:rPr>
          <w:rFonts w:ascii="Arial Nova" w:hAnsi="Arial Nova" w:cs="Times New Roman"/>
          <w:b/>
          <w:bCs/>
          <w:smallCaps/>
          <w:color w:val="002060"/>
        </w:rPr>
        <w:t xml:space="preserve"> </w:t>
      </w:r>
      <w:r>
        <w:rPr>
          <w:rFonts w:ascii="Arial Nova" w:hAnsi="Arial Nova" w:cs="Times New Roman"/>
          <w:b/>
          <w:bCs/>
          <w:smallCaps/>
          <w:color w:val="002060"/>
        </w:rPr>
        <w:t>EN UN JUICIO MERCANTIL</w:t>
      </w:r>
      <w:r w:rsidR="005C5BD0">
        <w:rPr>
          <w:rFonts w:ascii="Arial Nova" w:hAnsi="Arial Nova" w:cs="Times New Roman"/>
          <w:b/>
          <w:bCs/>
          <w:smallCaps/>
          <w:color w:val="002060"/>
        </w:rPr>
        <w:t>.</w:t>
      </w:r>
      <w:r>
        <w:rPr>
          <w:rFonts w:ascii="Arial Nova" w:hAnsi="Arial Nova" w:cs="Times New Roman"/>
          <w:b/>
          <w:bCs/>
          <w:smallCaps/>
          <w:color w:val="002060"/>
        </w:rPr>
        <w:t xml:space="preserve"> DEBE PROMOVERSE EN LA ACTUACIÓN SUBSECUENTE EN QUE COMPAREZCA LA PARTE AFECTADA, A PARTIR DE QUE SE EVIDENCIE O DESPRENDA EL CONOCIMIENTO DE LA NOTIFICACIÓN IRREGULAR</w:t>
      </w:r>
      <w:r w:rsidR="005C1B59">
        <w:rPr>
          <w:rFonts w:ascii="Arial Nova" w:hAnsi="Arial Nova" w:cs="Times New Roman"/>
          <w:b/>
          <w:bCs/>
          <w:smallCaps/>
          <w:color w:val="002060"/>
        </w:rPr>
        <w:t xml:space="preserve"> (LEGISLACIÓN DE OAXACA)</w:t>
      </w:r>
    </w:p>
    <w:p w14:paraId="6FB7DAC2" w14:textId="2050B963" w:rsidR="001C01EC" w:rsidRDefault="001C01EC" w:rsidP="005C1B59">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53E4C003" w14:textId="77777777" w:rsidR="005C1B59" w:rsidRPr="005C5BD0" w:rsidRDefault="005C1B59" w:rsidP="005C5BD0">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13D2C349" w14:textId="22F20B7F" w:rsidR="005C1B59" w:rsidRDefault="005C1B59" w:rsidP="00F849EB">
      <w:pPr>
        <w:shd w:val="clear" w:color="auto" w:fill="E7E6E6" w:themeFill="background2"/>
        <w:spacing w:after="0" w:line="240" w:lineRule="auto"/>
        <w:ind w:left="3402"/>
        <w:jc w:val="right"/>
        <w:rPr>
          <w:rFonts w:ascii="Arial Nova" w:hAnsi="Arial Nova" w:cs="Times New Roman"/>
          <w:smallCaps/>
          <w:color w:val="002060"/>
        </w:rPr>
      </w:pPr>
      <w:bookmarkStart w:id="0" w:name="_Hlk133506760"/>
      <w:bookmarkStart w:id="1" w:name="_Hlk133506801"/>
      <w:r w:rsidRPr="001624A8">
        <w:rPr>
          <w:rFonts w:ascii="Arial Nova" w:hAnsi="Arial Nova" w:cs="Times New Roman"/>
          <w:b/>
          <w:bCs/>
          <w:smallCaps/>
          <w:color w:val="002060"/>
        </w:rPr>
        <w:t>Ponente: Ministr</w:t>
      </w:r>
      <w:r>
        <w:rPr>
          <w:rFonts w:ascii="Arial Nova" w:hAnsi="Arial Nova" w:cs="Times New Roman"/>
          <w:b/>
          <w:bCs/>
          <w:smallCaps/>
          <w:color w:val="002060"/>
        </w:rPr>
        <w:t>o Alfredo Gutiérrez Ortiz Mena</w:t>
      </w:r>
      <w:r w:rsidRPr="001624A8">
        <w:rPr>
          <w:rFonts w:ascii="Arial Nova" w:hAnsi="Arial Nova" w:cs="Times New Roman"/>
          <w:smallCaps/>
          <w:color w:val="002060"/>
        </w:rPr>
        <w:t>.</w:t>
      </w:r>
    </w:p>
    <w:p w14:paraId="08BF68A0" w14:textId="089ADD59" w:rsidR="005C1B59" w:rsidRDefault="005C1B59" w:rsidP="00F849EB">
      <w:pPr>
        <w:shd w:val="clear" w:color="auto" w:fill="E7E6E6" w:themeFill="background2"/>
        <w:spacing w:after="0" w:line="240" w:lineRule="auto"/>
        <w:ind w:left="3402"/>
        <w:jc w:val="right"/>
        <w:rPr>
          <w:rFonts w:ascii="Arial Nova" w:hAnsi="Arial Nova" w:cs="Times New Roman"/>
          <w:smallCaps/>
          <w:color w:val="002060"/>
        </w:rPr>
      </w:pPr>
      <w:r w:rsidRPr="001624A8">
        <w:rPr>
          <w:rFonts w:ascii="Arial Nova" w:hAnsi="Arial Nova" w:cs="Times New Roman"/>
          <w:smallCaps/>
          <w:color w:val="002060"/>
        </w:rPr>
        <w:t>Secretari</w:t>
      </w:r>
      <w:r>
        <w:rPr>
          <w:rFonts w:ascii="Arial Nova" w:hAnsi="Arial Nova" w:cs="Times New Roman"/>
          <w:smallCaps/>
          <w:color w:val="002060"/>
        </w:rPr>
        <w:t>o: Jesús Rojas Ibáñez.</w:t>
      </w:r>
    </w:p>
    <w:p w14:paraId="0825B09D" w14:textId="20406896" w:rsidR="00A27E5F" w:rsidRDefault="00A27E5F" w:rsidP="00F849EB">
      <w:pPr>
        <w:shd w:val="clear" w:color="auto" w:fill="E7E6E6" w:themeFill="background2"/>
        <w:spacing w:after="0" w:line="240" w:lineRule="auto"/>
        <w:ind w:left="3402"/>
        <w:jc w:val="right"/>
        <w:rPr>
          <w:rFonts w:ascii="Arial Nova" w:hAnsi="Arial Nova" w:cs="Times New Roman"/>
          <w:smallCaps/>
          <w:color w:val="002060"/>
        </w:rPr>
      </w:pPr>
      <w:r>
        <w:rPr>
          <w:rFonts w:ascii="Arial Nova" w:hAnsi="Arial Nova" w:cs="Times New Roman"/>
          <w:smallCaps/>
          <w:color w:val="002060"/>
        </w:rPr>
        <w:t>Secretaria Auxiliar: Gabriela Ponce Báez.</w:t>
      </w:r>
    </w:p>
    <w:p w14:paraId="1C0B4F90" w14:textId="3AAFD669" w:rsidR="001C01EC" w:rsidRPr="004C2D17" w:rsidRDefault="001C01EC" w:rsidP="00F849EB">
      <w:pPr>
        <w:shd w:val="clear" w:color="auto" w:fill="E7E6E6" w:themeFill="background2"/>
        <w:spacing w:after="0" w:line="240" w:lineRule="auto"/>
        <w:ind w:left="3402"/>
        <w:jc w:val="right"/>
        <w:rPr>
          <w:rFonts w:ascii="Arial Nova" w:hAnsi="Arial Nova" w:cs="Times New Roman"/>
          <w:smallCaps/>
        </w:rPr>
      </w:pPr>
      <w:bookmarkStart w:id="2" w:name="_Hlk133506816"/>
      <w:bookmarkEnd w:id="1"/>
      <w:r w:rsidRPr="001624A8">
        <w:rPr>
          <w:rFonts w:ascii="Arial Nova" w:hAnsi="Arial Nova" w:cs="Times New Roman"/>
          <w:smallCaps/>
          <w:color w:val="002060"/>
        </w:rPr>
        <w:t>Expediente: Ampar</w:t>
      </w:r>
      <w:r w:rsidR="00F72AB2">
        <w:rPr>
          <w:rFonts w:ascii="Arial Nova" w:hAnsi="Arial Nova" w:cs="Times New Roman"/>
          <w:smallCaps/>
          <w:color w:val="002060"/>
        </w:rPr>
        <w:t>o</w:t>
      </w:r>
      <w:r w:rsidR="00377550">
        <w:rPr>
          <w:rFonts w:ascii="Arial Nova" w:hAnsi="Arial Nova" w:cs="Times New Roman"/>
          <w:smallCaps/>
          <w:color w:val="002060"/>
        </w:rPr>
        <w:t xml:space="preserve"> </w:t>
      </w:r>
      <w:r w:rsidR="00D04554" w:rsidRPr="001624A8">
        <w:rPr>
          <w:rFonts w:ascii="Arial Nova" w:hAnsi="Arial Nova" w:cs="Times New Roman"/>
          <w:smallCaps/>
          <w:color w:val="002060"/>
        </w:rPr>
        <w:t xml:space="preserve">en </w:t>
      </w:r>
      <w:r w:rsidRPr="001624A8">
        <w:rPr>
          <w:rFonts w:ascii="Arial Nova" w:hAnsi="Arial Nova" w:cs="Times New Roman"/>
          <w:smallCaps/>
          <w:color w:val="002060"/>
        </w:rPr>
        <w:t>Revisión</w:t>
      </w:r>
      <w:r w:rsidR="00377550">
        <w:rPr>
          <w:rFonts w:ascii="Arial Nova" w:hAnsi="Arial Nova" w:cs="Times New Roman"/>
          <w:smallCaps/>
          <w:color w:val="002060"/>
        </w:rPr>
        <w:t xml:space="preserve"> </w:t>
      </w:r>
      <w:r w:rsidR="00A27E5F">
        <w:rPr>
          <w:rFonts w:ascii="Arial Nova" w:hAnsi="Arial Nova" w:cs="Times New Roman"/>
          <w:smallCaps/>
          <w:color w:val="002060"/>
        </w:rPr>
        <w:t>97</w:t>
      </w:r>
      <w:r w:rsidRPr="001624A8">
        <w:rPr>
          <w:rFonts w:ascii="Arial Nova" w:hAnsi="Arial Nova" w:cs="Times New Roman"/>
          <w:smallCaps/>
          <w:color w:val="002060"/>
        </w:rPr>
        <w:t>/20</w:t>
      </w:r>
      <w:r w:rsidR="006B710C">
        <w:rPr>
          <w:rFonts w:ascii="Arial Nova" w:hAnsi="Arial Nova" w:cs="Times New Roman"/>
          <w:smallCaps/>
          <w:color w:val="002060"/>
        </w:rPr>
        <w:t>2</w:t>
      </w:r>
      <w:r w:rsidR="00A27E5F">
        <w:rPr>
          <w:rFonts w:ascii="Arial Nova" w:hAnsi="Arial Nova" w:cs="Times New Roman"/>
          <w:smallCaps/>
          <w:color w:val="002060"/>
        </w:rPr>
        <w:t>2</w:t>
      </w:r>
      <w:r w:rsidRPr="004C2D17">
        <w:rPr>
          <w:rFonts w:ascii="Arial Nova" w:hAnsi="Arial Nova" w:cs="Times New Roman"/>
          <w:smallCaps/>
        </w:rPr>
        <w:t>.</w:t>
      </w:r>
      <w:bookmarkEnd w:id="0"/>
      <w:bookmarkEnd w:id="2"/>
    </w:p>
    <w:p w14:paraId="4ED83672" w14:textId="16646A47" w:rsidR="001C01EC" w:rsidRDefault="001C01EC" w:rsidP="001C01EC">
      <w:pPr>
        <w:spacing w:after="0" w:line="240" w:lineRule="auto"/>
        <w:jc w:val="center"/>
        <w:rPr>
          <w:rFonts w:ascii="Arial Nova" w:hAnsi="Arial Nova" w:cs="Times New Roman"/>
          <w:sz w:val="20"/>
          <w:szCs w:val="20"/>
        </w:rPr>
      </w:pPr>
    </w:p>
    <w:p w14:paraId="254DE4BC" w14:textId="77777777" w:rsidR="00BE71DC" w:rsidRDefault="00BE71DC" w:rsidP="001C01EC">
      <w:pPr>
        <w:spacing w:after="0" w:line="240" w:lineRule="auto"/>
        <w:jc w:val="center"/>
        <w:rPr>
          <w:rFonts w:ascii="Arial Nova" w:hAnsi="Arial Nova" w:cs="Times New Roman"/>
          <w:sz w:val="20"/>
          <w:szCs w:val="20"/>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08"/>
      </w:tblGrid>
      <w:tr w:rsidR="00584C2F" w:rsidRPr="001503FB" w14:paraId="0DC470A1" w14:textId="77777777" w:rsidTr="00DD01B8">
        <w:tc>
          <w:tcPr>
            <w:tcW w:w="8808" w:type="dxa"/>
            <w:tc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tcBorders>
            <w:shd w:val="clear" w:color="auto" w:fill="auto"/>
          </w:tcPr>
          <w:p w14:paraId="45703613" w14:textId="77777777" w:rsidR="00E32435" w:rsidRPr="001503FB" w:rsidRDefault="00E32435" w:rsidP="00C30AA0">
            <w:pPr>
              <w:jc w:val="both"/>
              <w:rPr>
                <w:rFonts w:ascii="Arial Nova" w:hAnsi="Arial Nova" w:cs="Times New Roman"/>
              </w:rPr>
            </w:pPr>
          </w:p>
          <w:p w14:paraId="213F2911" w14:textId="7AF32FF7" w:rsidR="00B65914" w:rsidRDefault="00B323DA" w:rsidP="00B65914">
            <w:pPr>
              <w:shd w:val="clear" w:color="auto" w:fill="FFFFFF" w:themeFill="background1"/>
              <w:spacing w:line="276" w:lineRule="auto"/>
              <w:rPr>
                <w:rFonts w:ascii="Arial Nova" w:hAnsi="Arial Nova" w:cs="Times New Roman"/>
                <w:b/>
                <w:bCs/>
                <w:smallCaps/>
                <w:color w:val="000F2E"/>
                <w:sz w:val="28"/>
                <w:szCs w:val="28"/>
              </w:rPr>
            </w:pPr>
            <w:r w:rsidRPr="00DD01B8">
              <w:rPr>
                <w:rFonts w:ascii="Arial Nova" w:hAnsi="Arial Nova" w:cs="Times New Roman"/>
                <w:b/>
                <w:bCs/>
                <w:smallCaps/>
                <w:color w:val="000F2E"/>
                <w:sz w:val="28"/>
                <w:szCs w:val="28"/>
              </w:rPr>
              <w:t>Resumen:</w:t>
            </w:r>
          </w:p>
          <w:p w14:paraId="5E8400AD" w14:textId="77777777" w:rsidR="0043637B" w:rsidRPr="00DD01B8" w:rsidRDefault="0043637B" w:rsidP="00B65914">
            <w:pPr>
              <w:shd w:val="clear" w:color="auto" w:fill="FFFFFF" w:themeFill="background1"/>
              <w:spacing w:line="276" w:lineRule="auto"/>
              <w:rPr>
                <w:rFonts w:ascii="Arial Nova" w:hAnsi="Arial Nova" w:cs="Times New Roman"/>
                <w:b/>
                <w:bCs/>
                <w:smallCaps/>
                <w:color w:val="000F2E"/>
                <w:sz w:val="28"/>
                <w:szCs w:val="28"/>
              </w:rPr>
            </w:pPr>
          </w:p>
          <w:p w14:paraId="7236C019" w14:textId="4E39A028" w:rsidR="006B6B5E" w:rsidRDefault="005C1B59" w:rsidP="006B6B5E">
            <w:pPr>
              <w:pStyle w:val="Normal0"/>
              <w:pBdr>
                <w:top w:val="nil"/>
                <w:left w:val="nil"/>
                <w:bottom w:val="nil"/>
                <w:right w:val="nil"/>
                <w:between w:val="nil"/>
              </w:pBdr>
              <w:jc w:val="both"/>
              <w:rPr>
                <w:rFonts w:ascii="Arial Nova" w:eastAsiaTheme="minorHAnsi" w:hAnsi="Arial Nova"/>
                <w:sz w:val="22"/>
                <w:szCs w:val="22"/>
                <w:lang w:val="es-MX" w:eastAsia="en-US"/>
              </w:rPr>
            </w:pPr>
            <w:r>
              <w:rPr>
                <w:rFonts w:ascii="Arial Nova" w:eastAsiaTheme="minorHAnsi" w:hAnsi="Arial Nova"/>
                <w:sz w:val="22"/>
                <w:szCs w:val="22"/>
                <w:lang w:val="es-MX" w:eastAsia="en-US"/>
              </w:rPr>
              <w:t>U</w:t>
            </w:r>
            <w:r w:rsidR="006B6B5E" w:rsidRPr="00E02AFF">
              <w:rPr>
                <w:rFonts w:ascii="Arial Nova" w:eastAsiaTheme="minorHAnsi" w:hAnsi="Arial Nova"/>
                <w:sz w:val="22"/>
                <w:szCs w:val="22"/>
                <w:lang w:val="es-MX" w:eastAsia="en-US"/>
              </w:rPr>
              <w:t xml:space="preserve">na persona presentó un incidente de nulidad de actuaciones debido a que no formó parte en el juicio en el que se embargó y ordenó rematar un inmueble de su propiedad. Lo anterior, a partir de la notificación que se le hizo del acuerdo en el que se señaló fecha y hora para remate del inmueble aludido y en términos de lo previsto en el artículo 74 del Código de Procedimientos Civiles para el Estado de Oaxaca. </w:t>
            </w:r>
          </w:p>
          <w:p w14:paraId="69AD61F5" w14:textId="7569745A" w:rsidR="005C1B59" w:rsidRDefault="005C1B59" w:rsidP="006B6B5E">
            <w:pPr>
              <w:pStyle w:val="Normal0"/>
              <w:pBdr>
                <w:top w:val="nil"/>
                <w:left w:val="nil"/>
                <w:bottom w:val="nil"/>
                <w:right w:val="nil"/>
                <w:between w:val="nil"/>
              </w:pBdr>
              <w:jc w:val="both"/>
              <w:rPr>
                <w:rFonts w:ascii="Arial Nova" w:eastAsiaTheme="minorHAnsi" w:hAnsi="Arial Nova"/>
                <w:sz w:val="22"/>
                <w:szCs w:val="22"/>
                <w:lang w:val="es-MX" w:eastAsia="en-US"/>
              </w:rPr>
            </w:pPr>
          </w:p>
          <w:p w14:paraId="69A1A338" w14:textId="752E650F" w:rsidR="005C1B59" w:rsidRDefault="005C1B59" w:rsidP="005C1B59">
            <w:pPr>
              <w:pStyle w:val="Normal0"/>
              <w:pBdr>
                <w:top w:val="nil"/>
                <w:left w:val="nil"/>
                <w:bottom w:val="nil"/>
                <w:right w:val="nil"/>
                <w:between w:val="nil"/>
              </w:pBdr>
              <w:jc w:val="both"/>
              <w:rPr>
                <w:rFonts w:ascii="Arial Nova" w:eastAsiaTheme="minorHAnsi" w:hAnsi="Arial Nova"/>
                <w:sz w:val="22"/>
                <w:szCs w:val="22"/>
                <w:lang w:val="es-MX" w:eastAsia="en-US"/>
              </w:rPr>
            </w:pPr>
            <w:r>
              <w:rPr>
                <w:rFonts w:ascii="Arial Nova" w:eastAsiaTheme="minorHAnsi" w:hAnsi="Arial Nova"/>
                <w:sz w:val="22"/>
                <w:szCs w:val="22"/>
                <w:lang w:val="es-MX" w:eastAsia="en-US"/>
              </w:rPr>
              <w:t xml:space="preserve">Dicho incidente fue desechado, decisión contra la cual </w:t>
            </w:r>
            <w:r w:rsidRPr="005C1B59">
              <w:rPr>
                <w:rFonts w:ascii="Arial Nova" w:eastAsiaTheme="minorHAnsi" w:hAnsi="Arial Nova"/>
                <w:sz w:val="22"/>
                <w:szCs w:val="22"/>
                <w:lang w:val="es-MX" w:eastAsia="en-US"/>
              </w:rPr>
              <w:t>el promovente del incidente referido presentó demanda de amparo indirecto, mismo que le fue concedido por el Juez de Distrito</w:t>
            </w:r>
            <w:r>
              <w:rPr>
                <w:rFonts w:ascii="Arial Nova" w:eastAsiaTheme="minorHAnsi" w:hAnsi="Arial Nova"/>
                <w:sz w:val="22"/>
                <w:szCs w:val="22"/>
                <w:lang w:val="es-MX" w:eastAsia="en-US"/>
              </w:rPr>
              <w:t xml:space="preserve">. </w:t>
            </w:r>
            <w:r w:rsidRPr="005C1B59">
              <w:rPr>
                <w:rFonts w:ascii="Arial Nova" w:eastAsiaTheme="minorHAnsi" w:hAnsi="Arial Nova"/>
                <w:sz w:val="22"/>
                <w:szCs w:val="22"/>
                <w:lang w:val="es-MX" w:eastAsia="en-US"/>
              </w:rPr>
              <w:t>Inconforme con la concesión del amparo, la parte tercera interesada (actora en el juicio principal mercantil), promovió recurso de revisión, mismo que fue atraído por la Suprema Corte para su resolución.</w:t>
            </w:r>
          </w:p>
          <w:p w14:paraId="173CB1EE" w14:textId="0E82B7AE" w:rsidR="00E02AFF" w:rsidRDefault="00E02AFF" w:rsidP="006B6B5E">
            <w:pPr>
              <w:pStyle w:val="Normal0"/>
              <w:pBdr>
                <w:top w:val="nil"/>
                <w:left w:val="nil"/>
                <w:bottom w:val="nil"/>
                <w:right w:val="nil"/>
                <w:between w:val="nil"/>
              </w:pBdr>
              <w:jc w:val="both"/>
              <w:rPr>
                <w:rFonts w:ascii="Arial Nova" w:eastAsiaTheme="minorHAnsi" w:hAnsi="Arial Nova"/>
                <w:sz w:val="22"/>
                <w:szCs w:val="22"/>
                <w:lang w:val="es-MX" w:eastAsia="en-US"/>
              </w:rPr>
            </w:pPr>
          </w:p>
          <w:p w14:paraId="47CD34E0" w14:textId="74F0396A" w:rsidR="00E02AFF" w:rsidRDefault="00E02AFF" w:rsidP="006B6B5E">
            <w:pPr>
              <w:pStyle w:val="Normal0"/>
              <w:pBdr>
                <w:top w:val="nil"/>
                <w:left w:val="nil"/>
                <w:bottom w:val="nil"/>
                <w:right w:val="nil"/>
                <w:between w:val="nil"/>
              </w:pBdr>
              <w:jc w:val="both"/>
              <w:rPr>
                <w:rFonts w:ascii="Arial Nova" w:eastAsiaTheme="minorHAnsi" w:hAnsi="Arial Nova"/>
                <w:sz w:val="22"/>
                <w:szCs w:val="22"/>
                <w:lang w:val="es-MX" w:eastAsia="en-US"/>
              </w:rPr>
            </w:pPr>
            <w:r>
              <w:rPr>
                <w:rFonts w:ascii="Arial Nova" w:eastAsiaTheme="minorHAnsi" w:hAnsi="Arial Nova"/>
                <w:sz w:val="22"/>
                <w:szCs w:val="22"/>
                <w:lang w:val="es-MX" w:eastAsia="en-US"/>
              </w:rPr>
              <w:t xml:space="preserve">La Primera Sala se pronunció en relación con la legislación aplicable en procedimientos mercantiles para efectos del plazo para interponer el incidente de nulidad de actuaciones. </w:t>
            </w:r>
          </w:p>
          <w:p w14:paraId="01B37176" w14:textId="77777777" w:rsidR="00E02AFF" w:rsidRDefault="00E02AFF" w:rsidP="00E02AFF">
            <w:pPr>
              <w:pStyle w:val="Prrafodelista"/>
              <w:widowControl w:val="0"/>
              <w:autoSpaceDE w:val="0"/>
              <w:autoSpaceDN w:val="0"/>
              <w:adjustRightInd w:val="0"/>
              <w:ind w:left="0" w:right="49"/>
              <w:jc w:val="both"/>
              <w:rPr>
                <w:rFonts w:ascii="Arial Nova" w:hAnsi="Arial Nova" w:cs="Times New Roman"/>
              </w:rPr>
            </w:pPr>
          </w:p>
          <w:p w14:paraId="78AC05B3" w14:textId="2263B0B5" w:rsidR="003F4F0D" w:rsidRDefault="005C1B59" w:rsidP="0043637B">
            <w:pPr>
              <w:jc w:val="both"/>
              <w:rPr>
                <w:rFonts w:ascii="Arial Nova" w:hAnsi="Arial Nova" w:cs="Times New Roman"/>
              </w:rPr>
            </w:pPr>
            <w:r>
              <w:rPr>
                <w:rFonts w:ascii="Arial Nova" w:hAnsi="Arial Nova" w:cs="Times New Roman"/>
              </w:rPr>
              <w:t>Al respecto, determinó que</w:t>
            </w:r>
            <w:r w:rsidR="00E02AFF" w:rsidRPr="00E02AFF">
              <w:rPr>
                <w:rFonts w:ascii="Arial Nova" w:hAnsi="Arial Nova" w:cs="Times New Roman"/>
              </w:rPr>
              <w:t xml:space="preserve"> si bien el Código Federal de Procedimientos Civiles, de aplicación supletoria en materia mercantil contempla al incidente de nulidad de notificaciones como el recurso idóneo para nulificar una notificación que no haya cumplido con los requisitos establecidos legalmente, es omiso en señalar expresamente el plazo en el que deberá interponerse este; mientras que el código adjetivo local</w:t>
            </w:r>
            <w:r>
              <w:rPr>
                <w:rFonts w:ascii="Arial Nova" w:hAnsi="Arial Nova" w:cs="Times New Roman"/>
              </w:rPr>
              <w:t xml:space="preserve"> </w:t>
            </w:r>
            <w:r w:rsidR="005C5BD0">
              <w:rPr>
                <w:rFonts w:ascii="Arial Nova" w:hAnsi="Arial Nova" w:cs="Times New Roman"/>
              </w:rPr>
              <w:t xml:space="preserve">para </w:t>
            </w:r>
            <w:r w:rsidR="00E02AFF" w:rsidRPr="00E02AFF">
              <w:rPr>
                <w:rFonts w:ascii="Arial Nova" w:hAnsi="Arial Nova" w:cs="Times New Roman"/>
              </w:rPr>
              <w:t>el Estado de Oaxaca</w:t>
            </w:r>
            <w:r>
              <w:rPr>
                <w:rFonts w:ascii="Arial Nova" w:hAnsi="Arial Nova" w:cs="Times New Roman"/>
              </w:rPr>
              <w:t xml:space="preserve"> </w:t>
            </w:r>
            <w:r w:rsidRPr="005C1B59">
              <w:rPr>
                <w:rFonts w:ascii="Arial Nova" w:hAnsi="Arial Nova" w:cs="Times New Roman"/>
              </w:rPr>
              <w:t>—</w:t>
            </w:r>
            <w:r>
              <w:rPr>
                <w:rFonts w:ascii="Arial Nova" w:hAnsi="Arial Nova" w:cs="Times New Roman"/>
              </w:rPr>
              <w:t xml:space="preserve">también de aplicación supletoria en la materia, de conformidad con el </w:t>
            </w:r>
            <w:r w:rsidRPr="005C1B59">
              <w:rPr>
                <w:rFonts w:ascii="Arial Nova" w:hAnsi="Arial Nova" w:cs="Times New Roman"/>
              </w:rPr>
              <w:t>numeral 1054 del propio Código de Comercio—</w:t>
            </w:r>
            <w:r>
              <w:rPr>
                <w:rFonts w:ascii="Arial Nova" w:hAnsi="Arial Nova" w:cs="Times New Roman"/>
              </w:rPr>
              <w:t>,</w:t>
            </w:r>
            <w:r w:rsidR="00E02AFF" w:rsidRPr="00E02AFF">
              <w:rPr>
                <w:rFonts w:ascii="Arial Nova" w:hAnsi="Arial Nova" w:cs="Times New Roman"/>
              </w:rPr>
              <w:t xml:space="preserve"> indica claramente, en su artículo 74, que el incidente deberá interponerse “en la actuación subsecuente”.</w:t>
            </w:r>
          </w:p>
          <w:p w14:paraId="1787AE1A" w14:textId="77777777" w:rsidR="005C1B59" w:rsidRPr="00E02AFF" w:rsidRDefault="005C1B59" w:rsidP="00E02AFF">
            <w:pPr>
              <w:pStyle w:val="Prrafodelista"/>
              <w:widowControl w:val="0"/>
              <w:autoSpaceDE w:val="0"/>
              <w:autoSpaceDN w:val="0"/>
              <w:adjustRightInd w:val="0"/>
              <w:ind w:left="0" w:right="49"/>
              <w:jc w:val="both"/>
              <w:rPr>
                <w:rFonts w:ascii="Arial Nova" w:hAnsi="Arial Nova" w:cs="Times New Roman"/>
              </w:rPr>
            </w:pPr>
          </w:p>
          <w:p w14:paraId="068A96B6" w14:textId="745E35D3" w:rsidR="0043637B" w:rsidRPr="001503FB" w:rsidRDefault="0043637B" w:rsidP="0043637B">
            <w:pPr>
              <w:jc w:val="both"/>
              <w:rPr>
                <w:rFonts w:ascii="Arial Nova" w:hAnsi="Arial Nova" w:cs="Times New Roman"/>
              </w:rPr>
            </w:pPr>
          </w:p>
        </w:tc>
      </w:tr>
    </w:tbl>
    <w:p w14:paraId="6F01244D" w14:textId="752E8746" w:rsidR="00AD1806" w:rsidRPr="00642B2A" w:rsidRDefault="00B323DA" w:rsidP="0043637B">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lastRenderedPageBreak/>
        <w:t>A</w:t>
      </w:r>
      <w:r w:rsidRPr="00B323DA">
        <w:rPr>
          <w:rFonts w:ascii="Arial Nova" w:hAnsi="Arial Nova" w:cs="Times New Roman"/>
          <w:b/>
          <w:bCs/>
          <w:smallCaps/>
          <w:color w:val="000F2E"/>
          <w:sz w:val="24"/>
          <w:szCs w:val="24"/>
        </w:rPr>
        <w:t>ntecedentes:</w:t>
      </w:r>
    </w:p>
    <w:p w14:paraId="63C6B8AF" w14:textId="77777777" w:rsidR="0043637B" w:rsidRDefault="0043637B" w:rsidP="0043637B">
      <w:pPr>
        <w:pStyle w:val="Normal0"/>
        <w:jc w:val="both"/>
        <w:rPr>
          <w:rFonts w:ascii="Arial Nova" w:eastAsiaTheme="minorHAnsi" w:hAnsi="Arial Nova"/>
          <w:sz w:val="24"/>
          <w:szCs w:val="24"/>
          <w:lang w:val="es-MX" w:eastAsia="en-US"/>
        </w:rPr>
      </w:pPr>
    </w:p>
    <w:p w14:paraId="536958F0" w14:textId="77777777" w:rsidR="00A27E5F" w:rsidRPr="00A27E5F" w:rsidRDefault="00A27E5F" w:rsidP="00A27E5F">
      <w:pPr>
        <w:pStyle w:val="Normal0"/>
        <w:pBdr>
          <w:top w:val="nil"/>
          <w:left w:val="nil"/>
          <w:bottom w:val="nil"/>
          <w:right w:val="nil"/>
          <w:between w:val="nil"/>
        </w:pBdr>
        <w:jc w:val="both"/>
        <w:rPr>
          <w:rFonts w:ascii="Arial Nova" w:eastAsiaTheme="minorHAnsi" w:hAnsi="Arial Nova"/>
          <w:sz w:val="24"/>
          <w:szCs w:val="24"/>
          <w:lang w:val="es-MX" w:eastAsia="en-US"/>
        </w:rPr>
      </w:pPr>
      <w:r w:rsidRPr="00A27E5F">
        <w:rPr>
          <w:rFonts w:ascii="Arial Nova" w:eastAsiaTheme="minorHAnsi" w:hAnsi="Arial Nova"/>
          <w:sz w:val="24"/>
          <w:szCs w:val="24"/>
          <w:lang w:val="es-MX" w:eastAsia="en-US"/>
        </w:rPr>
        <w:t>En el caso, una persona presentó un incidente de nulidad de actuaciones debido a que no formó parte en el juicio en el que se embargó y ordenó rematar un inmueble de su propiedad. Lo anterior, a partir de la notificación que se le hizo del acuerdo en el que se señaló fecha y hora para remate del inmueble aludido y en términos de lo previsto en el artículo 74 del Código de Procedimientos Civiles para el Estado de Oaxaca. Inicialmente, el incidente fue admitido, sin embargo, derivado de un recurso de revocación de la parte actora en el juicio principal, este fue desechado por extemporáneo tras considerar que había sido presentado fuera del plazo de tres días que se contempla en el artículo 1079, fracción VI, del Código de Comercio.</w:t>
      </w:r>
    </w:p>
    <w:p w14:paraId="0B85CD3A" w14:textId="77777777" w:rsidR="00A27E5F" w:rsidRPr="00A27E5F" w:rsidRDefault="00A27E5F" w:rsidP="00A27E5F">
      <w:pPr>
        <w:pStyle w:val="Normal0"/>
        <w:pBdr>
          <w:top w:val="nil"/>
          <w:left w:val="nil"/>
          <w:bottom w:val="nil"/>
          <w:right w:val="nil"/>
          <w:between w:val="nil"/>
        </w:pBdr>
        <w:jc w:val="both"/>
        <w:rPr>
          <w:rFonts w:ascii="Arial Nova" w:eastAsiaTheme="minorHAnsi" w:hAnsi="Arial Nova"/>
          <w:sz w:val="24"/>
          <w:szCs w:val="24"/>
          <w:lang w:val="es-MX" w:eastAsia="en-US"/>
        </w:rPr>
      </w:pPr>
    </w:p>
    <w:p w14:paraId="271EDBF9" w14:textId="77777777" w:rsidR="00A27E5F" w:rsidRPr="00A27E5F" w:rsidRDefault="00A27E5F" w:rsidP="00A27E5F">
      <w:pPr>
        <w:pStyle w:val="Normal0"/>
        <w:pBdr>
          <w:top w:val="nil"/>
          <w:left w:val="nil"/>
          <w:bottom w:val="nil"/>
          <w:right w:val="nil"/>
          <w:between w:val="nil"/>
        </w:pBdr>
        <w:jc w:val="both"/>
        <w:rPr>
          <w:rFonts w:ascii="Arial Nova" w:eastAsiaTheme="minorHAnsi" w:hAnsi="Arial Nova"/>
          <w:sz w:val="24"/>
          <w:szCs w:val="24"/>
          <w:lang w:val="es-MX" w:eastAsia="en-US"/>
        </w:rPr>
      </w:pPr>
      <w:r w:rsidRPr="00A27E5F">
        <w:rPr>
          <w:rFonts w:ascii="Arial Nova" w:eastAsiaTheme="minorHAnsi" w:hAnsi="Arial Nova"/>
          <w:sz w:val="24"/>
          <w:szCs w:val="24"/>
          <w:lang w:val="es-MX" w:eastAsia="en-US"/>
        </w:rPr>
        <w:t>En desacuerdo con esa determinación, el promovente del incidente referido presentó demanda de amparo indirecto, mismo que le fue concedido por el Juez de Distrito del conocimiento tras concluir que, conforme a lo establecido en el numeral 1054 del propio Código de Comercio, que prevé la supletoriedad del Código Federal de Procedimientos Civiles y la ley de procedimientos local, debía considerarse lo que al efecto dispone el artículo 74 del Código de Procedimientos Civiles para el Estado de Oaxaca, de aplicación supletoria a la legislación mercantil, en términos del cual el incidente de nulidad de notificaciones debe promoverse en la actuación subsecuente en la que intervenga el afectado.</w:t>
      </w:r>
    </w:p>
    <w:p w14:paraId="7DEBA016" w14:textId="5CF882C4" w:rsidR="00A27E5F" w:rsidRDefault="00A27E5F" w:rsidP="00A27E5F">
      <w:pPr>
        <w:pStyle w:val="Normal0"/>
        <w:pBdr>
          <w:top w:val="nil"/>
          <w:left w:val="nil"/>
          <w:bottom w:val="nil"/>
          <w:right w:val="nil"/>
          <w:between w:val="nil"/>
        </w:pBdr>
        <w:jc w:val="both"/>
        <w:rPr>
          <w:rFonts w:ascii="Arial Nova" w:eastAsiaTheme="minorHAnsi" w:hAnsi="Arial Nova"/>
          <w:sz w:val="24"/>
          <w:szCs w:val="24"/>
          <w:lang w:val="es-MX" w:eastAsia="en-US"/>
        </w:rPr>
      </w:pPr>
    </w:p>
    <w:p w14:paraId="3468EDDB" w14:textId="77777777" w:rsidR="00A27E5F" w:rsidRPr="00A27E5F" w:rsidRDefault="00A27E5F" w:rsidP="00A27E5F">
      <w:pPr>
        <w:spacing w:after="0" w:line="240" w:lineRule="auto"/>
        <w:jc w:val="both"/>
        <w:rPr>
          <w:rFonts w:ascii="Arial Nova" w:hAnsi="Arial Nova" w:cs="Times New Roman"/>
          <w:sz w:val="24"/>
          <w:szCs w:val="24"/>
        </w:rPr>
      </w:pPr>
      <w:r w:rsidRPr="00A27E5F">
        <w:rPr>
          <w:rFonts w:ascii="Arial Nova" w:hAnsi="Arial Nova" w:cs="Times New Roman"/>
          <w:sz w:val="24"/>
          <w:szCs w:val="24"/>
        </w:rPr>
        <w:t>Inconforme con la concesión del amparo, la parte tercera interesada (actora en el juicio principal mercantil), promovió recurso de revisión, mismo que fue atraído por la Suprema Corte para su resolución.</w:t>
      </w:r>
    </w:p>
    <w:p w14:paraId="44BD7CC8" w14:textId="77777777" w:rsidR="00A27E5F" w:rsidRDefault="00A27E5F" w:rsidP="0043637B">
      <w:pPr>
        <w:pStyle w:val="Normal0"/>
        <w:pBdr>
          <w:top w:val="nil"/>
          <w:left w:val="nil"/>
          <w:bottom w:val="nil"/>
          <w:right w:val="nil"/>
          <w:between w:val="nil"/>
        </w:pBdr>
        <w:jc w:val="both"/>
        <w:rPr>
          <w:rFonts w:ascii="Arial Nova" w:eastAsiaTheme="minorHAnsi" w:hAnsi="Arial Nova"/>
          <w:sz w:val="24"/>
          <w:szCs w:val="24"/>
          <w:lang w:val="es-MX" w:eastAsia="en-US"/>
        </w:rPr>
      </w:pPr>
    </w:p>
    <w:p w14:paraId="6BA52939" w14:textId="4CDF03DC" w:rsidR="0048582B" w:rsidRPr="008B0FEE" w:rsidRDefault="00B323DA" w:rsidP="005C5BD0">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D</w:t>
      </w:r>
      <w:r w:rsidRPr="00B323DA">
        <w:rPr>
          <w:rFonts w:ascii="Arial Nova" w:hAnsi="Arial Nova" w:cs="Times New Roman"/>
          <w:b/>
          <w:bCs/>
          <w:smallCaps/>
          <w:color w:val="000F2E"/>
          <w:sz w:val="24"/>
          <w:szCs w:val="24"/>
        </w:rPr>
        <w:t xml:space="preserve">ecisión de la </w:t>
      </w:r>
      <w:r w:rsidRPr="00B323DA">
        <w:rPr>
          <w:rFonts w:ascii="Arial Nova" w:hAnsi="Arial Nova" w:cs="Times New Roman"/>
          <w:b/>
          <w:bCs/>
          <w:smallCaps/>
          <w:color w:val="000F2E"/>
          <w:sz w:val="28"/>
          <w:szCs w:val="28"/>
        </w:rPr>
        <w:t>S</w:t>
      </w:r>
      <w:r w:rsidRPr="00B323DA">
        <w:rPr>
          <w:rFonts w:ascii="Arial Nova" w:hAnsi="Arial Nova" w:cs="Times New Roman"/>
          <w:b/>
          <w:bCs/>
          <w:smallCaps/>
          <w:color w:val="000F2E"/>
          <w:sz w:val="24"/>
          <w:szCs w:val="24"/>
        </w:rPr>
        <w:t>ala:</w:t>
      </w:r>
    </w:p>
    <w:p w14:paraId="4963D589" w14:textId="77777777" w:rsidR="00E02AFF" w:rsidRDefault="00E02AFF" w:rsidP="005C5BD0">
      <w:pPr>
        <w:pStyle w:val="Prrafodelista"/>
        <w:widowControl w:val="0"/>
        <w:autoSpaceDE w:val="0"/>
        <w:autoSpaceDN w:val="0"/>
        <w:adjustRightInd w:val="0"/>
        <w:spacing w:after="0" w:line="240" w:lineRule="auto"/>
        <w:ind w:left="0" w:right="49"/>
        <w:jc w:val="both"/>
        <w:rPr>
          <w:rFonts w:ascii="Arial Nova" w:hAnsi="Arial Nova" w:cs="Times New Roman"/>
          <w:sz w:val="24"/>
          <w:szCs w:val="24"/>
        </w:rPr>
      </w:pPr>
    </w:p>
    <w:p w14:paraId="3CFB395C" w14:textId="657EDF67" w:rsidR="00E02AFF" w:rsidRPr="00E02AFF" w:rsidRDefault="00E02AFF" w:rsidP="00E02AFF">
      <w:pPr>
        <w:pStyle w:val="Prrafodelista"/>
        <w:widowControl w:val="0"/>
        <w:autoSpaceDE w:val="0"/>
        <w:autoSpaceDN w:val="0"/>
        <w:adjustRightInd w:val="0"/>
        <w:ind w:left="0" w:right="49"/>
        <w:jc w:val="both"/>
        <w:rPr>
          <w:rFonts w:ascii="Arial Nova" w:hAnsi="Arial Nova" w:cs="Times New Roman"/>
          <w:sz w:val="24"/>
          <w:szCs w:val="24"/>
        </w:rPr>
      </w:pPr>
      <w:r w:rsidRPr="00E02AFF">
        <w:rPr>
          <w:rFonts w:ascii="Arial Nova" w:hAnsi="Arial Nova" w:cs="Times New Roman"/>
          <w:sz w:val="24"/>
          <w:szCs w:val="24"/>
        </w:rPr>
        <w:t xml:space="preserve">En su fallo, la Sala advirtió que si bien el Código Federal de Procedimientos Civiles,  de aplicación supletoria en materia mercantil contempla al incidente de nulidad de notificaciones como el recurso idóneo para nulificar una notificación que no haya cumplido con los requisitos establecidos legalmente, es omiso en señalar expresamente el plazo en el que deberá interponerse este; mientras que el código adjetivo local </w:t>
      </w:r>
      <w:r w:rsidR="005C5BD0">
        <w:rPr>
          <w:rFonts w:ascii="Arial Nova" w:hAnsi="Arial Nova" w:cs="Times New Roman"/>
          <w:sz w:val="24"/>
          <w:szCs w:val="24"/>
        </w:rPr>
        <w:t>para el</w:t>
      </w:r>
      <w:r w:rsidR="005C5BD0" w:rsidRPr="00E02AFF">
        <w:rPr>
          <w:rFonts w:ascii="Arial Nova" w:hAnsi="Arial Nova" w:cs="Times New Roman"/>
          <w:sz w:val="24"/>
          <w:szCs w:val="24"/>
        </w:rPr>
        <w:t xml:space="preserve"> </w:t>
      </w:r>
      <w:r w:rsidRPr="00E02AFF">
        <w:rPr>
          <w:rFonts w:ascii="Arial Nova" w:hAnsi="Arial Nova" w:cs="Times New Roman"/>
          <w:sz w:val="24"/>
          <w:szCs w:val="24"/>
        </w:rPr>
        <w:t>Estado de Oaxaca indica claramente, en su artículo 74, que el incidente deberá interponerse “en la actuación subsecuente”.</w:t>
      </w:r>
    </w:p>
    <w:p w14:paraId="0CD4478E" w14:textId="77777777" w:rsidR="00E02AFF" w:rsidRPr="00E02AFF" w:rsidRDefault="00E02AFF" w:rsidP="00E02AFF">
      <w:pPr>
        <w:pStyle w:val="Prrafodelista"/>
        <w:widowControl w:val="0"/>
        <w:autoSpaceDE w:val="0"/>
        <w:autoSpaceDN w:val="0"/>
        <w:adjustRightInd w:val="0"/>
        <w:ind w:left="0" w:right="49"/>
        <w:jc w:val="both"/>
        <w:rPr>
          <w:rFonts w:ascii="Arial Nova" w:hAnsi="Arial Nova" w:cs="Times New Roman"/>
          <w:sz w:val="24"/>
          <w:szCs w:val="24"/>
        </w:rPr>
      </w:pPr>
    </w:p>
    <w:p w14:paraId="46C9D0DA" w14:textId="77777777" w:rsidR="00E02AFF" w:rsidRPr="00E02AFF" w:rsidRDefault="00E02AFF" w:rsidP="00E02AFF">
      <w:pPr>
        <w:pStyle w:val="Prrafodelista"/>
        <w:widowControl w:val="0"/>
        <w:autoSpaceDE w:val="0"/>
        <w:autoSpaceDN w:val="0"/>
        <w:adjustRightInd w:val="0"/>
        <w:ind w:left="0" w:right="49"/>
        <w:jc w:val="both"/>
        <w:rPr>
          <w:rFonts w:ascii="Arial Nova" w:hAnsi="Arial Nova" w:cs="Times New Roman"/>
          <w:sz w:val="24"/>
          <w:szCs w:val="24"/>
        </w:rPr>
      </w:pPr>
      <w:r w:rsidRPr="00E02AFF">
        <w:rPr>
          <w:rFonts w:ascii="Arial Nova" w:hAnsi="Arial Nova" w:cs="Times New Roman"/>
          <w:sz w:val="24"/>
          <w:szCs w:val="24"/>
        </w:rPr>
        <w:t xml:space="preserve">Al respecto, el Alto Tribunal sostuvo que tal consideración no vulnera el derecho a la seguridad jurídica y de justicia pronta. Esto es así, pues el incidente de nulidad mencionado podrá interponerse en cualquier momento hasta antes de que se pronuncie sentencia definitiva, lo que garantiza que no se consumen actos de manera irremediable en perjuicio de la parte que no tuvo conocimiento de las </w:t>
      </w:r>
      <w:r w:rsidRPr="00E02AFF">
        <w:rPr>
          <w:rFonts w:ascii="Arial Nova" w:hAnsi="Arial Nova" w:cs="Times New Roman"/>
          <w:sz w:val="24"/>
          <w:szCs w:val="24"/>
        </w:rPr>
        <w:lastRenderedPageBreak/>
        <w:t>actuaciones correspondientes y sin que tenga a su alcance un recurso mediante el cual pueda hacer valer sus pretensiones.</w:t>
      </w:r>
    </w:p>
    <w:p w14:paraId="475E12DC" w14:textId="77777777" w:rsidR="00E02AFF" w:rsidRPr="00E02AFF" w:rsidRDefault="00E02AFF" w:rsidP="00E02AFF">
      <w:pPr>
        <w:pStyle w:val="Prrafodelista"/>
        <w:widowControl w:val="0"/>
        <w:autoSpaceDE w:val="0"/>
        <w:autoSpaceDN w:val="0"/>
        <w:adjustRightInd w:val="0"/>
        <w:ind w:left="0" w:right="49"/>
        <w:jc w:val="both"/>
        <w:rPr>
          <w:rFonts w:ascii="Arial Nova" w:hAnsi="Arial Nova" w:cs="Times New Roman"/>
          <w:sz w:val="24"/>
          <w:szCs w:val="24"/>
        </w:rPr>
      </w:pPr>
    </w:p>
    <w:p w14:paraId="7F066FB0" w14:textId="77777777" w:rsidR="00E02AFF" w:rsidRPr="00E02AFF" w:rsidRDefault="00E02AFF" w:rsidP="00E02AFF">
      <w:pPr>
        <w:pStyle w:val="Prrafodelista"/>
        <w:widowControl w:val="0"/>
        <w:autoSpaceDE w:val="0"/>
        <w:autoSpaceDN w:val="0"/>
        <w:adjustRightInd w:val="0"/>
        <w:ind w:left="0" w:right="49"/>
        <w:jc w:val="both"/>
        <w:rPr>
          <w:rFonts w:ascii="Arial Nova" w:hAnsi="Arial Nova" w:cs="Times New Roman"/>
          <w:sz w:val="24"/>
          <w:szCs w:val="24"/>
        </w:rPr>
      </w:pPr>
      <w:r w:rsidRPr="00E02AFF">
        <w:rPr>
          <w:rFonts w:ascii="Arial Nova" w:hAnsi="Arial Nova" w:cs="Times New Roman"/>
          <w:sz w:val="24"/>
          <w:szCs w:val="24"/>
        </w:rPr>
        <w:t>Asimismo, resolvió que el hecho de que se considere la posibilidad de interponer el incidente de nulidad de notificaciones en la actuación subsecuente a la que el incidentista tenga conocimiento del acto tildado de ilegal o nulo, no vulnera el acceso a la justicia del actor en el juicio principal, ni deja al arbitrio de las partes el plazo para interponerlo, dado que, como se dijo, este puede interponerse, hasta antes de la emisión de la sentencia definitiva, e incluso, después del dictado de la sentencia bajo ciertas condiciones.</w:t>
      </w:r>
    </w:p>
    <w:p w14:paraId="34F7B71D" w14:textId="77777777" w:rsidR="00E02AFF" w:rsidRPr="00E02AFF" w:rsidRDefault="00E02AFF" w:rsidP="00E02AFF">
      <w:pPr>
        <w:pStyle w:val="Prrafodelista"/>
        <w:widowControl w:val="0"/>
        <w:autoSpaceDE w:val="0"/>
        <w:autoSpaceDN w:val="0"/>
        <w:adjustRightInd w:val="0"/>
        <w:ind w:left="0" w:right="49"/>
        <w:jc w:val="both"/>
        <w:rPr>
          <w:rFonts w:ascii="Arial Nova" w:hAnsi="Arial Nova" w:cs="Times New Roman"/>
          <w:sz w:val="24"/>
          <w:szCs w:val="24"/>
        </w:rPr>
      </w:pPr>
    </w:p>
    <w:p w14:paraId="1E3896E6" w14:textId="285356DA" w:rsidR="00E02AFF" w:rsidRDefault="00E02AFF" w:rsidP="00E02AFF">
      <w:pPr>
        <w:pStyle w:val="Prrafodelista"/>
        <w:widowControl w:val="0"/>
        <w:autoSpaceDE w:val="0"/>
        <w:autoSpaceDN w:val="0"/>
        <w:adjustRightInd w:val="0"/>
        <w:ind w:left="0" w:right="49"/>
        <w:jc w:val="both"/>
        <w:rPr>
          <w:rFonts w:ascii="Arial Nova" w:hAnsi="Arial Nova" w:cs="Times New Roman"/>
          <w:sz w:val="24"/>
          <w:szCs w:val="24"/>
        </w:rPr>
      </w:pPr>
      <w:r w:rsidRPr="00E02AFF">
        <w:rPr>
          <w:rFonts w:ascii="Arial Nova" w:hAnsi="Arial Nova" w:cs="Times New Roman"/>
          <w:sz w:val="24"/>
          <w:szCs w:val="24"/>
        </w:rPr>
        <w:t>A partir de estas razones, la Primera Sala confirmó la sentencia impugnada y concedió el amparo solicitado.</w:t>
      </w:r>
    </w:p>
    <w:p w14:paraId="2037A0DF" w14:textId="77777777" w:rsidR="00646CFF" w:rsidRPr="00E02AFF" w:rsidRDefault="00646CFF" w:rsidP="005C5BD0">
      <w:pPr>
        <w:pStyle w:val="Prrafodelista"/>
        <w:widowControl w:val="0"/>
        <w:autoSpaceDE w:val="0"/>
        <w:autoSpaceDN w:val="0"/>
        <w:adjustRightInd w:val="0"/>
        <w:spacing w:after="0" w:line="240" w:lineRule="auto"/>
        <w:ind w:left="0" w:right="49"/>
        <w:jc w:val="both"/>
        <w:rPr>
          <w:rFonts w:ascii="Arial Nova" w:hAnsi="Arial Nova" w:cs="Times New Roman"/>
          <w:sz w:val="24"/>
          <w:szCs w:val="24"/>
        </w:rPr>
      </w:pPr>
    </w:p>
    <w:p w14:paraId="6555BF86" w14:textId="468A3E49" w:rsidR="0048582B" w:rsidRPr="00642B2A" w:rsidRDefault="00B323DA" w:rsidP="005C5BD0">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V</w:t>
      </w:r>
      <w:r w:rsidRPr="00B323DA">
        <w:rPr>
          <w:rFonts w:ascii="Arial Nova" w:hAnsi="Arial Nova" w:cs="Times New Roman"/>
          <w:b/>
          <w:bCs/>
          <w:smallCaps/>
          <w:color w:val="000F2E"/>
          <w:sz w:val="24"/>
          <w:szCs w:val="24"/>
        </w:rPr>
        <w:t>otación:</w:t>
      </w:r>
    </w:p>
    <w:p w14:paraId="0C7EBC6A" w14:textId="77777777" w:rsidR="0048582B" w:rsidRPr="00E32435" w:rsidRDefault="0048582B" w:rsidP="00646CFF">
      <w:pPr>
        <w:spacing w:after="0" w:line="240" w:lineRule="auto"/>
        <w:jc w:val="both"/>
        <w:rPr>
          <w:rFonts w:ascii="Arial Nova" w:hAnsi="Arial Nova" w:cs="Times New Roman"/>
          <w:b/>
          <w:bCs/>
          <w:sz w:val="24"/>
          <w:szCs w:val="24"/>
          <w:shd w:val="clear" w:color="auto" w:fill="B4C6E7" w:themeFill="accent1" w:themeFillTint="66"/>
        </w:rPr>
      </w:pPr>
    </w:p>
    <w:p w14:paraId="3316F34D" w14:textId="50374EF3" w:rsidR="00B45F76" w:rsidRDefault="001F4A4B" w:rsidP="005651E4">
      <w:pPr>
        <w:spacing w:after="0" w:line="240" w:lineRule="auto"/>
        <w:jc w:val="both"/>
        <w:rPr>
          <w:rFonts w:ascii="Arial Nova" w:hAnsi="Arial Nova" w:cs="Times New Roman"/>
          <w:sz w:val="24"/>
          <w:szCs w:val="24"/>
        </w:rPr>
      </w:pPr>
      <w:r w:rsidRPr="001F4A4B">
        <w:rPr>
          <w:rFonts w:ascii="Arial Nova" w:hAnsi="Arial Nova" w:cs="Times New Roman"/>
          <w:sz w:val="24"/>
          <w:szCs w:val="24"/>
        </w:rPr>
        <w:t>El asunto fue resuelto en sesión de la Primera Sala del</w:t>
      </w:r>
      <w:r w:rsidR="00F63276">
        <w:rPr>
          <w:rFonts w:ascii="Arial Nova" w:hAnsi="Arial Nova" w:cs="Times New Roman"/>
          <w:sz w:val="24"/>
          <w:szCs w:val="24"/>
        </w:rPr>
        <w:t xml:space="preserve"> </w:t>
      </w:r>
      <w:r w:rsidR="00D775F4">
        <w:rPr>
          <w:rFonts w:ascii="Arial Nova" w:hAnsi="Arial Nova" w:cs="Times New Roman"/>
          <w:sz w:val="24"/>
          <w:szCs w:val="24"/>
        </w:rPr>
        <w:t xml:space="preserve">21 </w:t>
      </w:r>
      <w:r w:rsidR="00BE71DC">
        <w:rPr>
          <w:rFonts w:ascii="Arial Nova" w:hAnsi="Arial Nova" w:cs="Times New Roman"/>
          <w:sz w:val="24"/>
          <w:szCs w:val="24"/>
        </w:rPr>
        <w:t xml:space="preserve">de junio </w:t>
      </w:r>
      <w:r w:rsidRPr="001F4A4B">
        <w:rPr>
          <w:rFonts w:ascii="Arial Nova" w:hAnsi="Arial Nova" w:cs="Times New Roman"/>
          <w:sz w:val="24"/>
          <w:szCs w:val="24"/>
        </w:rPr>
        <w:t xml:space="preserve">de 2023, por </w:t>
      </w:r>
      <w:r w:rsidR="00D775F4">
        <w:rPr>
          <w:rFonts w:ascii="Arial Nova" w:hAnsi="Arial Nova" w:cs="Times New Roman"/>
          <w:sz w:val="24"/>
          <w:szCs w:val="24"/>
        </w:rPr>
        <w:t>unanimidad de cinco votos d</w:t>
      </w:r>
      <w:r w:rsidR="0043637B">
        <w:rPr>
          <w:rFonts w:ascii="Arial Nova" w:hAnsi="Arial Nova" w:cs="Times New Roman"/>
          <w:sz w:val="24"/>
          <w:szCs w:val="24"/>
        </w:rPr>
        <w:t xml:space="preserve">e </w:t>
      </w:r>
      <w:r w:rsidR="00B45F76">
        <w:rPr>
          <w:rFonts w:ascii="Arial Nova" w:hAnsi="Arial Nova" w:cs="Times New Roman"/>
          <w:sz w:val="24"/>
          <w:szCs w:val="24"/>
        </w:rPr>
        <w:t>la Señora Ministra Ana Margarita Ríos Farjat y de los Señores Ministros Arturo Zaldívar Lelo de Larrea, Juan Luis González Alcántara Carrancá</w:t>
      </w:r>
      <w:r w:rsidR="00D775F4">
        <w:rPr>
          <w:rFonts w:ascii="Arial Nova" w:hAnsi="Arial Nova" w:cs="Times New Roman"/>
          <w:sz w:val="24"/>
          <w:szCs w:val="24"/>
        </w:rPr>
        <w:t>, Alfredo Gutiérrez Ortiz Mena</w:t>
      </w:r>
      <w:r w:rsidR="00933A84">
        <w:rPr>
          <w:rFonts w:ascii="Arial Nova" w:hAnsi="Arial Nova" w:cs="Times New Roman"/>
          <w:sz w:val="24"/>
          <w:szCs w:val="24"/>
        </w:rPr>
        <w:t xml:space="preserve"> </w:t>
      </w:r>
      <w:r w:rsidR="00B45F76">
        <w:rPr>
          <w:rFonts w:ascii="Arial Nova" w:hAnsi="Arial Nova" w:cs="Times New Roman"/>
          <w:sz w:val="24"/>
          <w:szCs w:val="24"/>
        </w:rPr>
        <w:t>y Jorge Mario Pardo Rebolledo (Presidente).</w:t>
      </w:r>
      <w:r w:rsidR="00933A84">
        <w:rPr>
          <w:rFonts w:ascii="Arial Nova" w:hAnsi="Arial Nova" w:cs="Times New Roman"/>
          <w:sz w:val="24"/>
          <w:szCs w:val="24"/>
        </w:rPr>
        <w:t xml:space="preserve"> </w:t>
      </w:r>
    </w:p>
    <w:p w14:paraId="69996819" w14:textId="77777777" w:rsidR="00B45F76" w:rsidRDefault="00B45F76" w:rsidP="005651E4">
      <w:pPr>
        <w:spacing w:after="0" w:line="240" w:lineRule="auto"/>
        <w:jc w:val="both"/>
        <w:rPr>
          <w:rFonts w:ascii="Arial Nova" w:hAnsi="Arial Nova" w:cs="Times New Roman"/>
          <w:sz w:val="24"/>
          <w:szCs w:val="24"/>
        </w:rPr>
      </w:pPr>
    </w:p>
    <w:p w14:paraId="128BE29E" w14:textId="77777777" w:rsidR="0060715F" w:rsidRPr="00E32435" w:rsidRDefault="0060715F" w:rsidP="005651E4">
      <w:pPr>
        <w:spacing w:after="0" w:line="240" w:lineRule="auto"/>
        <w:jc w:val="both"/>
        <w:rPr>
          <w:rFonts w:ascii="Arial Nova" w:hAnsi="Arial Nova" w:cs="Times New Roman"/>
          <w:sz w:val="24"/>
          <w:szCs w:val="24"/>
        </w:rPr>
      </w:pPr>
    </w:p>
    <w:tbl>
      <w:tblPr>
        <w:tblStyle w:val="Tablaconcuadrcula"/>
        <w:tblW w:w="0" w:type="auto"/>
        <w:tblLook w:val="04A0" w:firstRow="1" w:lastRow="0" w:firstColumn="1" w:lastColumn="0" w:noHBand="0" w:noVBand="1"/>
      </w:tblPr>
      <w:tblGrid>
        <w:gridCol w:w="8808"/>
      </w:tblGrid>
      <w:tr w:rsidR="005651E4" w:rsidRPr="00E32435" w14:paraId="3B7225C1" w14:textId="77777777" w:rsidTr="004C2D17">
        <w:tc>
          <w:tcPr>
            <w:tcW w:w="882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14:paraId="46CCD773" w14:textId="5BD76BDF" w:rsidR="005651E4" w:rsidRPr="00E32435" w:rsidRDefault="005651E4" w:rsidP="004C2D17">
            <w:pPr>
              <w:jc w:val="center"/>
              <w:rPr>
                <w:rFonts w:ascii="Arial Nova" w:hAnsi="Arial Nova" w:cs="Times New Roman"/>
                <w:sz w:val="20"/>
                <w:szCs w:val="20"/>
              </w:rPr>
            </w:pPr>
            <w:r w:rsidRPr="00AF5D98">
              <w:rPr>
                <w:rFonts w:ascii="Arial Nova" w:hAnsi="Arial Nova" w:cs="Times New Roman"/>
                <w:b/>
                <w:bCs/>
                <w:smallCaps/>
                <w:color w:val="000F2E"/>
                <w:sz w:val="20"/>
                <w:szCs w:val="20"/>
              </w:rPr>
              <w:t>Documento con fines de difusión. Las únicas fuentes oficiales son las sentencias emitidas por la Suprema Corte de Justicia de la Nación, así como el Semanario Judicial de la Federación y su Gaceta.</w:t>
            </w:r>
          </w:p>
        </w:tc>
      </w:tr>
    </w:tbl>
    <w:p w14:paraId="008BB2D1" w14:textId="77777777" w:rsidR="005651E4" w:rsidRPr="00E32435" w:rsidRDefault="005651E4" w:rsidP="0048582B">
      <w:pPr>
        <w:spacing w:after="0" w:line="240" w:lineRule="auto"/>
        <w:jc w:val="both"/>
        <w:rPr>
          <w:rFonts w:ascii="Arial Nova" w:hAnsi="Arial Nova" w:cs="Times New Roman"/>
          <w:sz w:val="24"/>
          <w:szCs w:val="24"/>
        </w:rPr>
      </w:pPr>
    </w:p>
    <w:sectPr w:rsidR="005651E4" w:rsidRPr="00E32435" w:rsidSect="008B0FEE">
      <w:headerReference w:type="even" r:id="rId8"/>
      <w:headerReference w:type="default" r:id="rId9"/>
      <w:footerReference w:type="even" r:id="rId10"/>
      <w:footerReference w:type="default" r:id="rId11"/>
      <w:headerReference w:type="first" r:id="rId12"/>
      <w:pgSz w:w="12240" w:h="15840"/>
      <w:pgMar w:top="1702"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C3F90" w14:textId="77777777" w:rsidR="00C524AA" w:rsidRDefault="00C524AA" w:rsidP="000A7E7B">
      <w:pPr>
        <w:spacing w:after="0" w:line="240" w:lineRule="auto"/>
      </w:pPr>
      <w:r>
        <w:separator/>
      </w:r>
    </w:p>
    <w:p w14:paraId="187F38F4" w14:textId="77777777" w:rsidR="00C524AA" w:rsidRDefault="00C524AA"/>
  </w:endnote>
  <w:endnote w:type="continuationSeparator" w:id="0">
    <w:p w14:paraId="3CF674D0" w14:textId="77777777" w:rsidR="00C524AA" w:rsidRDefault="00C524AA" w:rsidP="000A7E7B">
      <w:pPr>
        <w:spacing w:after="0" w:line="240" w:lineRule="auto"/>
      </w:pPr>
      <w:r>
        <w:continuationSeparator/>
      </w:r>
    </w:p>
    <w:p w14:paraId="55EC17DE" w14:textId="77777777" w:rsidR="00C524AA" w:rsidRDefault="00C524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9E8E" w14:textId="77777777" w:rsidR="004239C9" w:rsidRDefault="004239C9">
    <w:pPr>
      <w:pStyle w:val="Piedepgina"/>
    </w:pPr>
  </w:p>
  <w:p w14:paraId="0742D40C" w14:textId="77777777" w:rsidR="00C12CB3" w:rsidRDefault="00C12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924308"/>
      <w:docPartObj>
        <w:docPartGallery w:val="Page Numbers (Bottom of Page)"/>
        <w:docPartUnique/>
      </w:docPartObj>
    </w:sdtPr>
    <w:sdtEndPr>
      <w:rPr>
        <w:rFonts w:ascii="Times New Roman" w:hAnsi="Times New Roman" w:cs="Times New Roman"/>
        <w:b/>
        <w:bCs/>
        <w:color w:val="002060"/>
        <w:sz w:val="24"/>
        <w:szCs w:val="24"/>
      </w:rPr>
    </w:sdtEndPr>
    <w:sdtContent>
      <w:p w14:paraId="57BAE159" w14:textId="25990CC1" w:rsidR="00681F98" w:rsidRPr="008B0FEE" w:rsidRDefault="00681F98" w:rsidP="00681F98">
        <w:pPr>
          <w:pStyle w:val="Piedepgina"/>
          <w:jc w:val="center"/>
          <w:rPr>
            <w:b/>
            <w:bCs/>
            <w:color w:val="002060"/>
          </w:rPr>
        </w:pPr>
        <w:r w:rsidRPr="008B0FEE">
          <w:rPr>
            <w:rFonts w:ascii="Arial Nova" w:hAnsi="Arial Nova" w:cs="Times New Roman"/>
            <w:b/>
            <w:bCs/>
            <w:color w:val="002060"/>
            <w:sz w:val="24"/>
            <w:szCs w:val="24"/>
          </w:rPr>
          <w:fldChar w:fldCharType="begin"/>
        </w:r>
        <w:r w:rsidRPr="008B0FEE">
          <w:rPr>
            <w:rFonts w:ascii="Arial Nova" w:hAnsi="Arial Nova" w:cs="Times New Roman"/>
            <w:b/>
            <w:bCs/>
            <w:color w:val="002060"/>
            <w:sz w:val="24"/>
            <w:szCs w:val="24"/>
          </w:rPr>
          <w:instrText>PAGE   \* MERGEFORMAT</w:instrText>
        </w:r>
        <w:r w:rsidRPr="008B0FEE">
          <w:rPr>
            <w:rFonts w:ascii="Arial Nova" w:hAnsi="Arial Nova" w:cs="Times New Roman"/>
            <w:b/>
            <w:bCs/>
            <w:color w:val="002060"/>
            <w:sz w:val="24"/>
            <w:szCs w:val="24"/>
          </w:rPr>
          <w:fldChar w:fldCharType="separate"/>
        </w:r>
        <w:r w:rsidRPr="008B0FEE">
          <w:rPr>
            <w:rFonts w:ascii="Arial Nova" w:hAnsi="Arial Nova" w:cs="Times New Roman"/>
            <w:b/>
            <w:bCs/>
            <w:color w:val="002060"/>
            <w:sz w:val="24"/>
            <w:szCs w:val="24"/>
            <w:lang w:val="es-ES"/>
          </w:rPr>
          <w:t>2</w:t>
        </w:r>
        <w:r w:rsidRPr="008B0FEE">
          <w:rPr>
            <w:rFonts w:ascii="Arial Nova" w:hAnsi="Arial Nova" w:cs="Times New Roman"/>
            <w:b/>
            <w:bCs/>
            <w:color w:val="00206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6AAAFD" w14:textId="77777777" w:rsidR="00C524AA" w:rsidRDefault="00C524AA" w:rsidP="000A7E7B">
      <w:pPr>
        <w:spacing w:after="0" w:line="240" w:lineRule="auto"/>
      </w:pPr>
      <w:r>
        <w:separator/>
      </w:r>
    </w:p>
    <w:p w14:paraId="122E76B1" w14:textId="77777777" w:rsidR="00C524AA" w:rsidRDefault="00C524AA"/>
  </w:footnote>
  <w:footnote w:type="continuationSeparator" w:id="0">
    <w:p w14:paraId="6A112C99" w14:textId="77777777" w:rsidR="00C524AA" w:rsidRDefault="00C524AA" w:rsidP="000A7E7B">
      <w:pPr>
        <w:spacing w:after="0" w:line="240" w:lineRule="auto"/>
      </w:pPr>
      <w:r>
        <w:continuationSeparator/>
      </w:r>
    </w:p>
    <w:p w14:paraId="2FE8DF98" w14:textId="77777777" w:rsidR="00C524AA" w:rsidRDefault="00C524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63C" w14:textId="77777777" w:rsidR="004239C9" w:rsidRDefault="004239C9">
    <w:pPr>
      <w:pStyle w:val="Encabezado"/>
    </w:pPr>
  </w:p>
  <w:p w14:paraId="68851EB9" w14:textId="77777777" w:rsidR="00C12CB3" w:rsidRDefault="00C12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3F8F" w14:textId="0C0462EF" w:rsidR="0048582B" w:rsidRPr="00046D48" w:rsidRDefault="0048582B" w:rsidP="005C5BD0">
    <w:pPr>
      <w:pStyle w:val="Encabezado"/>
      <w:ind w:left="3828"/>
      <w:jc w:val="right"/>
      <w:rPr>
        <w:rFonts w:ascii="Arial Nova" w:hAnsi="Arial Nova" w:cs="Times New Roman"/>
        <w:b/>
        <w:bCs/>
        <w:color w:val="002060"/>
        <w:sz w:val="20"/>
        <w:szCs w:val="20"/>
      </w:rPr>
    </w:pPr>
    <w:r w:rsidRPr="00046D48">
      <w:rPr>
        <w:rFonts w:ascii="Arial Nova" w:hAnsi="Arial Nova" w:cs="Times New Roman"/>
        <w:b/>
        <w:bCs/>
        <w:color w:val="002060"/>
        <w:sz w:val="20"/>
        <w:szCs w:val="20"/>
      </w:rPr>
      <w:t>SENTENCIAS RELEVANTES DE LA PRIMERA SALA</w:t>
    </w:r>
  </w:p>
  <w:p w14:paraId="601B28C2" w14:textId="7990BF91" w:rsidR="0048582B" w:rsidRPr="00046D48" w:rsidRDefault="0048582B" w:rsidP="005C5BD0">
    <w:pPr>
      <w:pStyle w:val="Encabezado"/>
      <w:ind w:left="3828"/>
      <w:jc w:val="right"/>
      <w:rPr>
        <w:rFonts w:ascii="Arial Nova" w:hAnsi="Arial Nova"/>
        <w:color w:val="002060"/>
        <w:sz w:val="20"/>
        <w:szCs w:val="20"/>
      </w:rPr>
    </w:pPr>
    <w:r w:rsidRPr="00046D48">
      <w:rPr>
        <w:rFonts w:ascii="Arial Nova" w:hAnsi="Arial Nova" w:cs="Times New Roman"/>
        <w:b/>
        <w:bCs/>
        <w:color w:val="002060"/>
        <w:sz w:val="20"/>
        <w:szCs w:val="20"/>
      </w:rPr>
      <w:t>AMPARO EN REVISIÓN</w:t>
    </w:r>
    <w:r w:rsidR="00A27E5F">
      <w:rPr>
        <w:rFonts w:ascii="Arial Nova" w:hAnsi="Arial Nova" w:cs="Times New Roman"/>
        <w:b/>
        <w:bCs/>
        <w:color w:val="002060"/>
        <w:sz w:val="20"/>
        <w:szCs w:val="20"/>
      </w:rPr>
      <w:t xml:space="preserve"> 97</w:t>
    </w:r>
    <w:r w:rsidR="00674886">
      <w:rPr>
        <w:rFonts w:ascii="Arial Nova" w:hAnsi="Arial Nova" w:cs="Times New Roman"/>
        <w:b/>
        <w:bCs/>
        <w:color w:val="002060"/>
        <w:sz w:val="20"/>
        <w:szCs w:val="20"/>
      </w:rPr>
      <w:t>/202</w:t>
    </w:r>
    <w:r w:rsidR="00A27E5F">
      <w:rPr>
        <w:rFonts w:ascii="Arial Nova" w:hAnsi="Arial Nova" w:cs="Times New Roman"/>
        <w:b/>
        <w:bCs/>
        <w:color w:val="002060"/>
        <w:sz w:val="20"/>
        <w:szCs w:val="20"/>
      </w:rPr>
      <w:t>2</w:t>
    </w:r>
  </w:p>
  <w:p w14:paraId="1935EA7D" w14:textId="77777777" w:rsidR="00C12CB3" w:rsidRDefault="00C12CB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85EB" w14:textId="77777777" w:rsidR="00B64D08" w:rsidRPr="0051268B" w:rsidRDefault="00B64D08" w:rsidP="00B64D08">
    <w:pPr>
      <w:shd w:val="clear" w:color="auto" w:fill="002060"/>
      <w:spacing w:after="0" w:line="240" w:lineRule="auto"/>
      <w:rPr>
        <w:rFonts w:ascii="Baskerville Old Face" w:hAnsi="Baskerville Old Face" w:cs="Times New Roman"/>
        <w:color w:val="002060"/>
      </w:rPr>
    </w:pPr>
    <w:bookmarkStart w:id="3" w:name="_Hlk133506313"/>
    <w:r w:rsidRPr="0051268B">
      <w:rPr>
        <w:noProof/>
        <w:color w:val="002060"/>
      </w:rPr>
      <w:drawing>
        <wp:anchor distT="0" distB="0" distL="114300" distR="114300" simplePos="0" relativeHeight="251659264" behindDoc="0" locked="0" layoutInCell="1" allowOverlap="1" wp14:anchorId="2FA5DBB2" wp14:editId="58A3A8AC">
          <wp:simplePos x="0" y="0"/>
          <wp:positionH relativeFrom="column">
            <wp:posOffset>615315</wp:posOffset>
          </wp:positionH>
          <wp:positionV relativeFrom="paragraph">
            <wp:posOffset>92710</wp:posOffset>
          </wp:positionV>
          <wp:extent cx="975896" cy="89535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5896" cy="895350"/>
                  </a:xfrm>
                  <a:prstGeom prst="rect">
                    <a:avLst/>
                  </a:prstGeom>
                </pic:spPr>
              </pic:pic>
            </a:graphicData>
          </a:graphic>
          <wp14:sizeRelH relativeFrom="margin">
            <wp14:pctWidth>0</wp14:pctWidth>
          </wp14:sizeRelH>
          <wp14:sizeRelV relativeFrom="margin">
            <wp14:pctHeight>0</wp14:pctHeight>
          </wp14:sizeRelV>
        </wp:anchor>
      </w:drawing>
    </w:r>
    <w:r w:rsidR="00B323DA" w:rsidRPr="0051268B">
      <w:rPr>
        <w:noProof/>
        <w:color w:val="002060"/>
      </w:rPr>
      <mc:AlternateContent>
        <mc:Choice Requires="wps">
          <w:drawing>
            <wp:anchor distT="0" distB="0" distL="114300" distR="114300" simplePos="0" relativeHeight="251660288" behindDoc="0" locked="0" layoutInCell="1" allowOverlap="1" wp14:anchorId="165C1225" wp14:editId="1D186417">
              <wp:simplePos x="0" y="0"/>
              <wp:positionH relativeFrom="column">
                <wp:posOffset>2158365</wp:posOffset>
              </wp:positionH>
              <wp:positionV relativeFrom="paragraph">
                <wp:posOffset>92710</wp:posOffset>
              </wp:positionV>
              <wp:extent cx="0" cy="828675"/>
              <wp:effectExtent l="0" t="0" r="38100" b="28575"/>
              <wp:wrapNone/>
              <wp:docPr id="5" name="Conector recto 5"/>
              <wp:cNvGraphicFramePr/>
              <a:graphic xmlns:a="http://schemas.openxmlformats.org/drawingml/2006/main">
                <a:graphicData uri="http://schemas.microsoft.com/office/word/2010/wordprocessingShape">
                  <wps:wsp>
                    <wps:cNvCnPr/>
                    <wps:spPr>
                      <a:xfrm>
                        <a:off x="0" y="0"/>
                        <a:ext cx="0" cy="8286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F856B8" id="Conector recto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95pt,7.3pt" to="169.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" strokecolor="white [3212]" strokeweight="1.5pt">
              <v:stroke joinstyle="miter"/>
            </v:line>
          </w:pict>
        </mc:Fallback>
      </mc:AlternateContent>
    </w:r>
    <w:r w:rsidR="00B323DA" w:rsidRPr="0051268B">
      <w:rPr>
        <w:rFonts w:ascii="Baskerville Old Face" w:hAnsi="Baskerville Old Face" w:cs="Times New Roman"/>
        <w:color w:val="002060"/>
        <w:sz w:val="52"/>
        <w:szCs w:val="52"/>
      </w:rPr>
      <w:t xml:space="preserve">                      </w:t>
    </w:r>
    <w:bookmarkEnd w:id="3"/>
    <w:r w:rsidRPr="0051268B">
      <w:rPr>
        <w:rFonts w:ascii="Baskerville Old Face" w:hAnsi="Baskerville Old Face" w:cs="Times New Roman"/>
        <w:color w:val="002060"/>
        <w:sz w:val="52"/>
        <w:szCs w:val="52"/>
      </w:rPr>
      <w:t xml:space="preserve">       </w:t>
    </w:r>
  </w:p>
  <w:p w14:paraId="4B806C28" w14:textId="56FD1795" w:rsidR="00B64D08" w:rsidRDefault="00B64D08" w:rsidP="00B64D08">
    <w:pPr>
      <w:shd w:val="clear" w:color="auto" w:fill="002060"/>
      <w:spacing w:after="0" w:line="240" w:lineRule="auto"/>
      <w:rPr>
        <w:rFonts w:ascii="Baskerville Old Face" w:hAnsi="Baskerville Old Face" w:cs="Times New Roman"/>
        <w:b/>
        <w:bCs/>
        <w:color w:val="FFFFFF" w:themeColor="background1"/>
        <w:sz w:val="36"/>
        <w:szCs w:val="36"/>
      </w:rPr>
    </w:pPr>
    <w:r w:rsidRPr="0051268B">
      <w:rPr>
        <w:rFonts w:ascii="Baskerville Old Face" w:hAnsi="Baskerville Old Face" w:cs="Times New Roman"/>
        <w:b/>
        <w:bCs/>
        <w:color w:val="002060"/>
        <w:sz w:val="48"/>
        <w:szCs w:val="48"/>
      </w:rPr>
      <w:t xml:space="preserve">                               </w:t>
    </w:r>
    <w:r w:rsidRPr="00B64D08">
      <w:rPr>
        <w:rFonts w:ascii="Baskerville Old Face" w:hAnsi="Baskerville Old Face" w:cs="Times New Roman"/>
        <w:b/>
        <w:bCs/>
        <w:color w:val="FFFFFF" w:themeColor="background1"/>
        <w:sz w:val="48"/>
        <w:szCs w:val="48"/>
      </w:rPr>
      <w:t>S</w:t>
    </w:r>
    <w:r w:rsidRPr="00B64D08">
      <w:rPr>
        <w:rFonts w:ascii="Baskerville Old Face" w:hAnsi="Baskerville Old Face" w:cs="Times New Roman"/>
        <w:color w:val="FFFFFF" w:themeColor="background1"/>
        <w:sz w:val="36"/>
        <w:szCs w:val="36"/>
      </w:rPr>
      <w:t>ENTENCIAS</w:t>
    </w:r>
    <w:r w:rsidRPr="0051268B">
      <w:rPr>
        <w:rFonts w:ascii="Baskerville Old Face" w:hAnsi="Baskerville Old Face" w:cs="Times New Roman"/>
        <w:b/>
        <w:bCs/>
        <w:color w:val="002060"/>
        <w:sz w:val="40"/>
        <w:szCs w:val="40"/>
      </w:rPr>
      <w:t xml:space="preserve"> </w:t>
    </w:r>
    <w:r w:rsidRPr="00B64D08">
      <w:rPr>
        <w:rFonts w:ascii="Baskerville Old Face" w:hAnsi="Baskerville Old Face" w:cs="Times New Roman"/>
        <w:b/>
        <w:bCs/>
        <w:color w:val="FFFFFF" w:themeColor="background1"/>
        <w:sz w:val="48"/>
        <w:szCs w:val="48"/>
      </w:rPr>
      <w:t>R</w:t>
    </w:r>
    <w:r w:rsidRPr="00B64D08">
      <w:rPr>
        <w:rFonts w:ascii="Baskerville Old Face" w:hAnsi="Baskerville Old Face" w:cs="Times New Roman"/>
        <w:color w:val="FFFFFF" w:themeColor="background1"/>
        <w:sz w:val="36"/>
        <w:szCs w:val="36"/>
      </w:rPr>
      <w:t>ELEVANTES</w:t>
    </w:r>
  </w:p>
  <w:p w14:paraId="24F03ECC" w14:textId="04BD8EE8" w:rsidR="00B323DA" w:rsidRPr="0051268B" w:rsidRDefault="00B64D08" w:rsidP="00B64D08">
    <w:pPr>
      <w:shd w:val="clear" w:color="auto" w:fill="002060"/>
      <w:spacing w:after="0" w:line="240" w:lineRule="auto"/>
      <w:rPr>
        <w:rFonts w:ascii="Baskerville Old Face" w:hAnsi="Baskerville Old Face" w:cs="Times New Roman"/>
        <w:color w:val="002060"/>
        <w:sz w:val="20"/>
        <w:szCs w:val="20"/>
      </w:rPr>
    </w:pPr>
    <w:r w:rsidRPr="0051268B">
      <w:rPr>
        <w:rFonts w:ascii="Baskerville Old Face" w:hAnsi="Baskerville Old Face" w:cs="Times New Roman"/>
        <w:b/>
        <w:bCs/>
        <w:color w:val="002060"/>
        <w:sz w:val="52"/>
        <w:szCs w:val="52"/>
      </w:rPr>
      <w:t xml:space="preserve">                                   </w:t>
    </w:r>
    <w:r w:rsidRPr="00B64D08">
      <w:rPr>
        <w:rFonts w:ascii="Baskerville Old Face" w:hAnsi="Baskerville Old Face" w:cs="Times New Roman"/>
        <w:b/>
        <w:bCs/>
        <w:color w:val="FFFFFF" w:themeColor="background1"/>
        <w:sz w:val="52"/>
        <w:szCs w:val="52"/>
      </w:rPr>
      <w:t>P</w:t>
    </w:r>
    <w:r w:rsidRPr="00B64D08">
      <w:rPr>
        <w:rFonts w:ascii="Baskerville Old Face" w:hAnsi="Baskerville Old Face" w:cs="Times New Roman"/>
        <w:color w:val="FFFFFF" w:themeColor="background1"/>
        <w:sz w:val="36"/>
        <w:szCs w:val="36"/>
      </w:rPr>
      <w:t>RIMERA</w:t>
    </w:r>
    <w:r w:rsidRPr="0051268B">
      <w:rPr>
        <w:rFonts w:ascii="Baskerville Old Face" w:hAnsi="Baskerville Old Face" w:cs="Times New Roman"/>
        <w:color w:val="002060"/>
        <w:sz w:val="48"/>
        <w:szCs w:val="48"/>
      </w:rPr>
      <w:t xml:space="preserve"> </w:t>
    </w:r>
    <w:r w:rsidRPr="00B64D08">
      <w:rPr>
        <w:rFonts w:ascii="Baskerville Old Face" w:hAnsi="Baskerville Old Face" w:cs="Times New Roman"/>
        <w:color w:val="FFFFFF" w:themeColor="background1"/>
        <w:sz w:val="52"/>
        <w:szCs w:val="52"/>
      </w:rPr>
      <w:t>S</w:t>
    </w:r>
    <w:r w:rsidRPr="00B64D08">
      <w:rPr>
        <w:rFonts w:ascii="Baskerville Old Face" w:hAnsi="Baskerville Old Face" w:cs="Times New Roman"/>
        <w:color w:val="FFFFFF" w:themeColor="background1"/>
        <w:sz w:val="36"/>
        <w:szCs w:val="36"/>
      </w:rPr>
      <w:t>ALA</w:t>
    </w:r>
    <w:r w:rsidRPr="0051268B">
      <w:rPr>
        <w:rFonts w:ascii="Baskerville Old Face" w:hAnsi="Baskerville Old Face" w:cs="Times New Roman"/>
        <w:color w:val="002060"/>
        <w:sz w:val="48"/>
        <w:szCs w:val="48"/>
      </w:rPr>
      <w:t xml:space="preserve">   </w:t>
    </w:r>
  </w:p>
  <w:p w14:paraId="4291837B" w14:textId="16D36AFE" w:rsidR="00B323DA" w:rsidRPr="0051268B" w:rsidRDefault="00B323DA" w:rsidP="00B323DA">
    <w:pPr>
      <w:shd w:val="clear" w:color="auto" w:fill="002060"/>
      <w:spacing w:after="0" w:line="240" w:lineRule="auto"/>
      <w:rPr>
        <w:rFonts w:ascii="Baskerville Old Face" w:hAnsi="Baskerville Old Face" w:cs="Times New Roman"/>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978"/>
    <w:multiLevelType w:val="hybridMultilevel"/>
    <w:tmpl w:val="67AA6B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F6E03F1"/>
    <w:multiLevelType w:val="hybridMultilevel"/>
    <w:tmpl w:val="372AB372"/>
    <w:lvl w:ilvl="0" w:tplc="30163C1A">
      <w:start w:val="1"/>
      <w:numFmt w:val="decimal"/>
      <w:lvlText w:val="%1)"/>
      <w:lvlJc w:val="left"/>
      <w:pPr>
        <w:ind w:left="1070" w:hanging="71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63076156"/>
    <w:multiLevelType w:val="hybridMultilevel"/>
    <w:tmpl w:val="DCFA0798"/>
    <w:lvl w:ilvl="0" w:tplc="B1D6FCC6">
      <w:start w:val="1"/>
      <w:numFmt w:val="decimal"/>
      <w:lvlText w:val="%1."/>
      <w:lvlJc w:val="left"/>
      <w:pPr>
        <w:ind w:left="360" w:hanging="360"/>
      </w:pPr>
      <w:rPr>
        <w:rFonts w:ascii="Arial" w:hAnsi="Arial" w:cs="Arial" w:hint="default"/>
        <w:b w:val="0"/>
        <w:bCs/>
        <w:sz w:val="26"/>
        <w:szCs w:val="26"/>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16cid:durableId="829909688">
    <w:abstractNumId w:val="2"/>
  </w:num>
  <w:num w:numId="2" w16cid:durableId="288711285">
    <w:abstractNumId w:val="0"/>
  </w:num>
  <w:num w:numId="3" w16cid:durableId="7565616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23"/>
    <w:rsid w:val="000015D9"/>
    <w:rsid w:val="000018A2"/>
    <w:rsid w:val="000044C6"/>
    <w:rsid w:val="00012771"/>
    <w:rsid w:val="00023E29"/>
    <w:rsid w:val="00024AF3"/>
    <w:rsid w:val="00026C6C"/>
    <w:rsid w:val="00037474"/>
    <w:rsid w:val="0004681E"/>
    <w:rsid w:val="00046D48"/>
    <w:rsid w:val="000474D9"/>
    <w:rsid w:val="000614E2"/>
    <w:rsid w:val="000643FD"/>
    <w:rsid w:val="00072FD1"/>
    <w:rsid w:val="00080AAC"/>
    <w:rsid w:val="00084403"/>
    <w:rsid w:val="000911E5"/>
    <w:rsid w:val="00093A38"/>
    <w:rsid w:val="000971E2"/>
    <w:rsid w:val="000A0E87"/>
    <w:rsid w:val="000A5B78"/>
    <w:rsid w:val="000A67FF"/>
    <w:rsid w:val="000A7E7B"/>
    <w:rsid w:val="000B04DC"/>
    <w:rsid w:val="000B39EC"/>
    <w:rsid w:val="000B569F"/>
    <w:rsid w:val="000C3CBD"/>
    <w:rsid w:val="000D1A12"/>
    <w:rsid w:val="000D2EBD"/>
    <w:rsid w:val="000D4803"/>
    <w:rsid w:val="000D5F59"/>
    <w:rsid w:val="000E0245"/>
    <w:rsid w:val="000E3651"/>
    <w:rsid w:val="000E64E7"/>
    <w:rsid w:val="000F00C8"/>
    <w:rsid w:val="000F495F"/>
    <w:rsid w:val="00100C8F"/>
    <w:rsid w:val="00101718"/>
    <w:rsid w:val="001058A3"/>
    <w:rsid w:val="00111977"/>
    <w:rsid w:val="00114E7A"/>
    <w:rsid w:val="00117441"/>
    <w:rsid w:val="00121276"/>
    <w:rsid w:val="00121D2D"/>
    <w:rsid w:val="001268F0"/>
    <w:rsid w:val="00126C0B"/>
    <w:rsid w:val="00134364"/>
    <w:rsid w:val="00146208"/>
    <w:rsid w:val="001503FB"/>
    <w:rsid w:val="00155F2E"/>
    <w:rsid w:val="0016052F"/>
    <w:rsid w:val="00160CAC"/>
    <w:rsid w:val="001621BB"/>
    <w:rsid w:val="00162364"/>
    <w:rsid w:val="001624A8"/>
    <w:rsid w:val="001633B5"/>
    <w:rsid w:val="00165F78"/>
    <w:rsid w:val="00166644"/>
    <w:rsid w:val="001724BA"/>
    <w:rsid w:val="00176353"/>
    <w:rsid w:val="00176FF3"/>
    <w:rsid w:val="00177692"/>
    <w:rsid w:val="0018629A"/>
    <w:rsid w:val="00190BB8"/>
    <w:rsid w:val="00193595"/>
    <w:rsid w:val="001936AC"/>
    <w:rsid w:val="001949FA"/>
    <w:rsid w:val="00197921"/>
    <w:rsid w:val="001A0621"/>
    <w:rsid w:val="001A47A5"/>
    <w:rsid w:val="001A49C7"/>
    <w:rsid w:val="001A59DF"/>
    <w:rsid w:val="001A67C7"/>
    <w:rsid w:val="001A7541"/>
    <w:rsid w:val="001A7B50"/>
    <w:rsid w:val="001B1219"/>
    <w:rsid w:val="001C01EC"/>
    <w:rsid w:val="001C0675"/>
    <w:rsid w:val="001C0F20"/>
    <w:rsid w:val="001C63EB"/>
    <w:rsid w:val="001D13B2"/>
    <w:rsid w:val="001D21EB"/>
    <w:rsid w:val="001D4B75"/>
    <w:rsid w:val="001D5AB2"/>
    <w:rsid w:val="001E084E"/>
    <w:rsid w:val="001E25BF"/>
    <w:rsid w:val="001E577C"/>
    <w:rsid w:val="001E64C1"/>
    <w:rsid w:val="001E75D9"/>
    <w:rsid w:val="001F200E"/>
    <w:rsid w:val="001F378E"/>
    <w:rsid w:val="001F4A4B"/>
    <w:rsid w:val="001F4F5F"/>
    <w:rsid w:val="00203CAF"/>
    <w:rsid w:val="00205864"/>
    <w:rsid w:val="00206824"/>
    <w:rsid w:val="00210867"/>
    <w:rsid w:val="00210EC4"/>
    <w:rsid w:val="00212791"/>
    <w:rsid w:val="00212E34"/>
    <w:rsid w:val="002134A3"/>
    <w:rsid w:val="00215E7E"/>
    <w:rsid w:val="00217872"/>
    <w:rsid w:val="002253EA"/>
    <w:rsid w:val="00225959"/>
    <w:rsid w:val="00226176"/>
    <w:rsid w:val="00226830"/>
    <w:rsid w:val="00227105"/>
    <w:rsid w:val="0023060C"/>
    <w:rsid w:val="0023754B"/>
    <w:rsid w:val="002376B7"/>
    <w:rsid w:val="00241663"/>
    <w:rsid w:val="0024330C"/>
    <w:rsid w:val="00244FC7"/>
    <w:rsid w:val="002502AE"/>
    <w:rsid w:val="00252246"/>
    <w:rsid w:val="00252CBA"/>
    <w:rsid w:val="00252F5F"/>
    <w:rsid w:val="00253A10"/>
    <w:rsid w:val="00253BAC"/>
    <w:rsid w:val="00254D5B"/>
    <w:rsid w:val="00255622"/>
    <w:rsid w:val="0025579D"/>
    <w:rsid w:val="0025754D"/>
    <w:rsid w:val="00261987"/>
    <w:rsid w:val="0026783A"/>
    <w:rsid w:val="00275EB5"/>
    <w:rsid w:val="00275F4F"/>
    <w:rsid w:val="00283A9B"/>
    <w:rsid w:val="002901D6"/>
    <w:rsid w:val="00291AB0"/>
    <w:rsid w:val="00292788"/>
    <w:rsid w:val="00296126"/>
    <w:rsid w:val="0029700B"/>
    <w:rsid w:val="002A6F62"/>
    <w:rsid w:val="002B0FC2"/>
    <w:rsid w:val="002B6947"/>
    <w:rsid w:val="002C0C35"/>
    <w:rsid w:val="002C53C2"/>
    <w:rsid w:val="002D0BA1"/>
    <w:rsid w:val="002D2054"/>
    <w:rsid w:val="002D458E"/>
    <w:rsid w:val="002D6E50"/>
    <w:rsid w:val="002E2DF0"/>
    <w:rsid w:val="002E4082"/>
    <w:rsid w:val="002E68E4"/>
    <w:rsid w:val="002F024C"/>
    <w:rsid w:val="002F4387"/>
    <w:rsid w:val="002F5189"/>
    <w:rsid w:val="002F5E8B"/>
    <w:rsid w:val="002F6958"/>
    <w:rsid w:val="00300F95"/>
    <w:rsid w:val="00302903"/>
    <w:rsid w:val="00315E53"/>
    <w:rsid w:val="00320183"/>
    <w:rsid w:val="003213F0"/>
    <w:rsid w:val="00322A63"/>
    <w:rsid w:val="00323C00"/>
    <w:rsid w:val="00324F35"/>
    <w:rsid w:val="003266E1"/>
    <w:rsid w:val="00326989"/>
    <w:rsid w:val="00332C63"/>
    <w:rsid w:val="00333908"/>
    <w:rsid w:val="00334473"/>
    <w:rsid w:val="00340154"/>
    <w:rsid w:val="00340F79"/>
    <w:rsid w:val="00344F45"/>
    <w:rsid w:val="003456DC"/>
    <w:rsid w:val="003464B8"/>
    <w:rsid w:val="003468DB"/>
    <w:rsid w:val="00346BA5"/>
    <w:rsid w:val="00346BA6"/>
    <w:rsid w:val="00354BF0"/>
    <w:rsid w:val="003649F3"/>
    <w:rsid w:val="00366734"/>
    <w:rsid w:val="00366748"/>
    <w:rsid w:val="00376697"/>
    <w:rsid w:val="00377550"/>
    <w:rsid w:val="003815E4"/>
    <w:rsid w:val="003826D1"/>
    <w:rsid w:val="0038311F"/>
    <w:rsid w:val="00385DE5"/>
    <w:rsid w:val="00392EB3"/>
    <w:rsid w:val="00394C47"/>
    <w:rsid w:val="003A4A72"/>
    <w:rsid w:val="003A672A"/>
    <w:rsid w:val="003B0C5A"/>
    <w:rsid w:val="003B33AE"/>
    <w:rsid w:val="003B515C"/>
    <w:rsid w:val="003B55DB"/>
    <w:rsid w:val="003B6A72"/>
    <w:rsid w:val="003C7974"/>
    <w:rsid w:val="003D4B08"/>
    <w:rsid w:val="003D642E"/>
    <w:rsid w:val="003E12C6"/>
    <w:rsid w:val="003E2559"/>
    <w:rsid w:val="003E3C96"/>
    <w:rsid w:val="003E6A38"/>
    <w:rsid w:val="003E6C60"/>
    <w:rsid w:val="003E6D4F"/>
    <w:rsid w:val="003F4F0D"/>
    <w:rsid w:val="003F5933"/>
    <w:rsid w:val="0040081A"/>
    <w:rsid w:val="00401724"/>
    <w:rsid w:val="0040524F"/>
    <w:rsid w:val="004066A2"/>
    <w:rsid w:val="00410C7B"/>
    <w:rsid w:val="0041275E"/>
    <w:rsid w:val="0041288D"/>
    <w:rsid w:val="00413926"/>
    <w:rsid w:val="00414B37"/>
    <w:rsid w:val="00416322"/>
    <w:rsid w:val="004239C9"/>
    <w:rsid w:val="00435177"/>
    <w:rsid w:val="0043637B"/>
    <w:rsid w:val="0044166C"/>
    <w:rsid w:val="00444CFB"/>
    <w:rsid w:val="00447670"/>
    <w:rsid w:val="0044784E"/>
    <w:rsid w:val="00447D23"/>
    <w:rsid w:val="00450AFE"/>
    <w:rsid w:val="004518CB"/>
    <w:rsid w:val="00452C04"/>
    <w:rsid w:val="00460D1E"/>
    <w:rsid w:val="0046660B"/>
    <w:rsid w:val="004716A3"/>
    <w:rsid w:val="004723D9"/>
    <w:rsid w:val="004737F5"/>
    <w:rsid w:val="00476867"/>
    <w:rsid w:val="004835A9"/>
    <w:rsid w:val="00484742"/>
    <w:rsid w:val="004855FE"/>
    <w:rsid w:val="0048582B"/>
    <w:rsid w:val="00486D91"/>
    <w:rsid w:val="00492458"/>
    <w:rsid w:val="00492E22"/>
    <w:rsid w:val="004A3113"/>
    <w:rsid w:val="004A515E"/>
    <w:rsid w:val="004B0908"/>
    <w:rsid w:val="004B3CAB"/>
    <w:rsid w:val="004B3D59"/>
    <w:rsid w:val="004B5FFD"/>
    <w:rsid w:val="004C2D17"/>
    <w:rsid w:val="004C3B9D"/>
    <w:rsid w:val="004C4404"/>
    <w:rsid w:val="004C467B"/>
    <w:rsid w:val="004C56B1"/>
    <w:rsid w:val="004C6C7A"/>
    <w:rsid w:val="004D25C9"/>
    <w:rsid w:val="004D389B"/>
    <w:rsid w:val="004D3B4A"/>
    <w:rsid w:val="004D4628"/>
    <w:rsid w:val="004D5768"/>
    <w:rsid w:val="004E08A2"/>
    <w:rsid w:val="004E37A1"/>
    <w:rsid w:val="004E5091"/>
    <w:rsid w:val="004E6414"/>
    <w:rsid w:val="004F29E0"/>
    <w:rsid w:val="00504C12"/>
    <w:rsid w:val="00510D4F"/>
    <w:rsid w:val="0051268B"/>
    <w:rsid w:val="005131ED"/>
    <w:rsid w:val="00526AE0"/>
    <w:rsid w:val="00526F66"/>
    <w:rsid w:val="00527634"/>
    <w:rsid w:val="00532133"/>
    <w:rsid w:val="0053735F"/>
    <w:rsid w:val="00540AA6"/>
    <w:rsid w:val="00544056"/>
    <w:rsid w:val="0055469E"/>
    <w:rsid w:val="00554BB3"/>
    <w:rsid w:val="00554CAF"/>
    <w:rsid w:val="005552DB"/>
    <w:rsid w:val="00564FF0"/>
    <w:rsid w:val="005651E4"/>
    <w:rsid w:val="005723A9"/>
    <w:rsid w:val="0057274B"/>
    <w:rsid w:val="00577488"/>
    <w:rsid w:val="00583C0F"/>
    <w:rsid w:val="00584C2F"/>
    <w:rsid w:val="00587CCA"/>
    <w:rsid w:val="00593D25"/>
    <w:rsid w:val="005962C5"/>
    <w:rsid w:val="005A31A2"/>
    <w:rsid w:val="005A400D"/>
    <w:rsid w:val="005A4594"/>
    <w:rsid w:val="005A7C21"/>
    <w:rsid w:val="005B0792"/>
    <w:rsid w:val="005B1972"/>
    <w:rsid w:val="005B4A77"/>
    <w:rsid w:val="005B677C"/>
    <w:rsid w:val="005B7089"/>
    <w:rsid w:val="005C0E5C"/>
    <w:rsid w:val="005C1063"/>
    <w:rsid w:val="005C1266"/>
    <w:rsid w:val="005C19AF"/>
    <w:rsid w:val="005C1B59"/>
    <w:rsid w:val="005C3C11"/>
    <w:rsid w:val="005C5BD0"/>
    <w:rsid w:val="005C6396"/>
    <w:rsid w:val="005C7783"/>
    <w:rsid w:val="005D02B6"/>
    <w:rsid w:val="005D1EF6"/>
    <w:rsid w:val="005D4956"/>
    <w:rsid w:val="005D668C"/>
    <w:rsid w:val="005D7615"/>
    <w:rsid w:val="005D7AF6"/>
    <w:rsid w:val="005D7D25"/>
    <w:rsid w:val="005E054A"/>
    <w:rsid w:val="005F33A7"/>
    <w:rsid w:val="005F6321"/>
    <w:rsid w:val="005F6734"/>
    <w:rsid w:val="0060715F"/>
    <w:rsid w:val="006126BA"/>
    <w:rsid w:val="006146C9"/>
    <w:rsid w:val="006206CA"/>
    <w:rsid w:val="00622CF0"/>
    <w:rsid w:val="00624A06"/>
    <w:rsid w:val="00624A59"/>
    <w:rsid w:val="00630C4B"/>
    <w:rsid w:val="00630FC2"/>
    <w:rsid w:val="006317C8"/>
    <w:rsid w:val="00634DD2"/>
    <w:rsid w:val="006408E4"/>
    <w:rsid w:val="0064214E"/>
    <w:rsid w:val="006421A3"/>
    <w:rsid w:val="00642B2A"/>
    <w:rsid w:val="00644F86"/>
    <w:rsid w:val="00646B50"/>
    <w:rsid w:val="00646CFF"/>
    <w:rsid w:val="00650211"/>
    <w:rsid w:val="006524F2"/>
    <w:rsid w:val="00653A76"/>
    <w:rsid w:val="0065440E"/>
    <w:rsid w:val="00663064"/>
    <w:rsid w:val="00674886"/>
    <w:rsid w:val="0068196C"/>
    <w:rsid w:val="00681F98"/>
    <w:rsid w:val="006916BA"/>
    <w:rsid w:val="00694131"/>
    <w:rsid w:val="006A0C3F"/>
    <w:rsid w:val="006A366D"/>
    <w:rsid w:val="006B2893"/>
    <w:rsid w:val="006B6B5E"/>
    <w:rsid w:val="006B710C"/>
    <w:rsid w:val="006B7665"/>
    <w:rsid w:val="006D203A"/>
    <w:rsid w:val="006D7779"/>
    <w:rsid w:val="006D7DF3"/>
    <w:rsid w:val="006E0F21"/>
    <w:rsid w:val="006E151E"/>
    <w:rsid w:val="006E1F3D"/>
    <w:rsid w:val="006E289A"/>
    <w:rsid w:val="006E2ECA"/>
    <w:rsid w:val="006E33FF"/>
    <w:rsid w:val="006E3B6D"/>
    <w:rsid w:val="006E5703"/>
    <w:rsid w:val="006F08E2"/>
    <w:rsid w:val="006F3D04"/>
    <w:rsid w:val="006F56C0"/>
    <w:rsid w:val="006F7569"/>
    <w:rsid w:val="006F7B23"/>
    <w:rsid w:val="007001C5"/>
    <w:rsid w:val="00700DE7"/>
    <w:rsid w:val="00703A44"/>
    <w:rsid w:val="007041A6"/>
    <w:rsid w:val="0070628D"/>
    <w:rsid w:val="00706E67"/>
    <w:rsid w:val="00707354"/>
    <w:rsid w:val="00707953"/>
    <w:rsid w:val="00715D38"/>
    <w:rsid w:val="007205CE"/>
    <w:rsid w:val="0072107B"/>
    <w:rsid w:val="00725DED"/>
    <w:rsid w:val="007307A1"/>
    <w:rsid w:val="00731840"/>
    <w:rsid w:val="00732D54"/>
    <w:rsid w:val="0073508F"/>
    <w:rsid w:val="00736530"/>
    <w:rsid w:val="00745528"/>
    <w:rsid w:val="007550E6"/>
    <w:rsid w:val="0075631D"/>
    <w:rsid w:val="00757007"/>
    <w:rsid w:val="007574DF"/>
    <w:rsid w:val="00760762"/>
    <w:rsid w:val="00761115"/>
    <w:rsid w:val="007616FA"/>
    <w:rsid w:val="0077110E"/>
    <w:rsid w:val="007723D2"/>
    <w:rsid w:val="00776823"/>
    <w:rsid w:val="00780B59"/>
    <w:rsid w:val="00784A9E"/>
    <w:rsid w:val="00785542"/>
    <w:rsid w:val="00796584"/>
    <w:rsid w:val="00797413"/>
    <w:rsid w:val="007A1AC0"/>
    <w:rsid w:val="007A286B"/>
    <w:rsid w:val="007A33F2"/>
    <w:rsid w:val="007A5A9F"/>
    <w:rsid w:val="007A7085"/>
    <w:rsid w:val="007B25BC"/>
    <w:rsid w:val="007B27CA"/>
    <w:rsid w:val="007B346F"/>
    <w:rsid w:val="007D500D"/>
    <w:rsid w:val="007D5D5D"/>
    <w:rsid w:val="007E2277"/>
    <w:rsid w:val="007E67CA"/>
    <w:rsid w:val="007F270C"/>
    <w:rsid w:val="007F3616"/>
    <w:rsid w:val="008109A5"/>
    <w:rsid w:val="00813028"/>
    <w:rsid w:val="008134BE"/>
    <w:rsid w:val="0081545D"/>
    <w:rsid w:val="00823513"/>
    <w:rsid w:val="0082358F"/>
    <w:rsid w:val="008244D4"/>
    <w:rsid w:val="00825464"/>
    <w:rsid w:val="00832148"/>
    <w:rsid w:val="00833EEB"/>
    <w:rsid w:val="00840553"/>
    <w:rsid w:val="00845044"/>
    <w:rsid w:val="00847F6F"/>
    <w:rsid w:val="00850179"/>
    <w:rsid w:val="00852527"/>
    <w:rsid w:val="00853441"/>
    <w:rsid w:val="00853CD4"/>
    <w:rsid w:val="008569CF"/>
    <w:rsid w:val="008571D1"/>
    <w:rsid w:val="008605FA"/>
    <w:rsid w:val="0086190B"/>
    <w:rsid w:val="008624B5"/>
    <w:rsid w:val="00862BA9"/>
    <w:rsid w:val="008653D1"/>
    <w:rsid w:val="00865D46"/>
    <w:rsid w:val="00871A80"/>
    <w:rsid w:val="00872F38"/>
    <w:rsid w:val="0087404F"/>
    <w:rsid w:val="00880E4E"/>
    <w:rsid w:val="008827AF"/>
    <w:rsid w:val="0088492A"/>
    <w:rsid w:val="00890B9D"/>
    <w:rsid w:val="00892BD5"/>
    <w:rsid w:val="00894197"/>
    <w:rsid w:val="00894EF7"/>
    <w:rsid w:val="008977C2"/>
    <w:rsid w:val="008A0670"/>
    <w:rsid w:val="008A2FC6"/>
    <w:rsid w:val="008A55C8"/>
    <w:rsid w:val="008B0FEE"/>
    <w:rsid w:val="008C1837"/>
    <w:rsid w:val="008C2656"/>
    <w:rsid w:val="008C6934"/>
    <w:rsid w:val="008C79D6"/>
    <w:rsid w:val="008E2BAC"/>
    <w:rsid w:val="008E342F"/>
    <w:rsid w:val="00900489"/>
    <w:rsid w:val="0090105E"/>
    <w:rsid w:val="009116D9"/>
    <w:rsid w:val="009143E0"/>
    <w:rsid w:val="00914C03"/>
    <w:rsid w:val="0092351C"/>
    <w:rsid w:val="009243DB"/>
    <w:rsid w:val="00925421"/>
    <w:rsid w:val="00925968"/>
    <w:rsid w:val="00925F20"/>
    <w:rsid w:val="00926D1F"/>
    <w:rsid w:val="00927812"/>
    <w:rsid w:val="00930248"/>
    <w:rsid w:val="0093061A"/>
    <w:rsid w:val="00931676"/>
    <w:rsid w:val="00933A84"/>
    <w:rsid w:val="00943799"/>
    <w:rsid w:val="0094452F"/>
    <w:rsid w:val="00945607"/>
    <w:rsid w:val="009459D9"/>
    <w:rsid w:val="009512F4"/>
    <w:rsid w:val="00954381"/>
    <w:rsid w:val="00956C44"/>
    <w:rsid w:val="00957D27"/>
    <w:rsid w:val="009610BE"/>
    <w:rsid w:val="009633A7"/>
    <w:rsid w:val="0096662E"/>
    <w:rsid w:val="00981254"/>
    <w:rsid w:val="00983C16"/>
    <w:rsid w:val="00985B95"/>
    <w:rsid w:val="00986832"/>
    <w:rsid w:val="00987B58"/>
    <w:rsid w:val="00994661"/>
    <w:rsid w:val="009A7F2E"/>
    <w:rsid w:val="009B0BCE"/>
    <w:rsid w:val="009B4895"/>
    <w:rsid w:val="009C12DD"/>
    <w:rsid w:val="009C33C3"/>
    <w:rsid w:val="009C507B"/>
    <w:rsid w:val="009D0A51"/>
    <w:rsid w:val="009D4D4F"/>
    <w:rsid w:val="009E1DB0"/>
    <w:rsid w:val="009E501E"/>
    <w:rsid w:val="009F092B"/>
    <w:rsid w:val="009F435E"/>
    <w:rsid w:val="009F4D4B"/>
    <w:rsid w:val="009F54C9"/>
    <w:rsid w:val="009F5A78"/>
    <w:rsid w:val="009F65DC"/>
    <w:rsid w:val="00A02821"/>
    <w:rsid w:val="00A030F8"/>
    <w:rsid w:val="00A06BD8"/>
    <w:rsid w:val="00A1353A"/>
    <w:rsid w:val="00A14187"/>
    <w:rsid w:val="00A23FF9"/>
    <w:rsid w:val="00A24797"/>
    <w:rsid w:val="00A2652C"/>
    <w:rsid w:val="00A26C35"/>
    <w:rsid w:val="00A27E5F"/>
    <w:rsid w:val="00A335F8"/>
    <w:rsid w:val="00A34118"/>
    <w:rsid w:val="00A356D8"/>
    <w:rsid w:val="00A36297"/>
    <w:rsid w:val="00A372BA"/>
    <w:rsid w:val="00A46110"/>
    <w:rsid w:val="00A54512"/>
    <w:rsid w:val="00A60A42"/>
    <w:rsid w:val="00A61235"/>
    <w:rsid w:val="00A61E50"/>
    <w:rsid w:val="00A64273"/>
    <w:rsid w:val="00A71F20"/>
    <w:rsid w:val="00A762AD"/>
    <w:rsid w:val="00A85ADA"/>
    <w:rsid w:val="00A91D26"/>
    <w:rsid w:val="00A954EE"/>
    <w:rsid w:val="00AA0899"/>
    <w:rsid w:val="00AA09BE"/>
    <w:rsid w:val="00AA26D5"/>
    <w:rsid w:val="00AA4ACF"/>
    <w:rsid w:val="00AA6A37"/>
    <w:rsid w:val="00AB02E8"/>
    <w:rsid w:val="00AB1420"/>
    <w:rsid w:val="00AB614F"/>
    <w:rsid w:val="00AB66B8"/>
    <w:rsid w:val="00AC421E"/>
    <w:rsid w:val="00AC55FE"/>
    <w:rsid w:val="00AC7D13"/>
    <w:rsid w:val="00AD1806"/>
    <w:rsid w:val="00AD5345"/>
    <w:rsid w:val="00AD53B8"/>
    <w:rsid w:val="00AE2B30"/>
    <w:rsid w:val="00AE75B8"/>
    <w:rsid w:val="00AF51B8"/>
    <w:rsid w:val="00AF5D98"/>
    <w:rsid w:val="00B00169"/>
    <w:rsid w:val="00B07844"/>
    <w:rsid w:val="00B07C55"/>
    <w:rsid w:val="00B07EBE"/>
    <w:rsid w:val="00B10931"/>
    <w:rsid w:val="00B11268"/>
    <w:rsid w:val="00B15460"/>
    <w:rsid w:val="00B169D6"/>
    <w:rsid w:val="00B21008"/>
    <w:rsid w:val="00B237A1"/>
    <w:rsid w:val="00B26E63"/>
    <w:rsid w:val="00B323DA"/>
    <w:rsid w:val="00B42CE3"/>
    <w:rsid w:val="00B43F5B"/>
    <w:rsid w:val="00B45F76"/>
    <w:rsid w:val="00B46855"/>
    <w:rsid w:val="00B46A1E"/>
    <w:rsid w:val="00B47781"/>
    <w:rsid w:val="00B50068"/>
    <w:rsid w:val="00B504A2"/>
    <w:rsid w:val="00B50628"/>
    <w:rsid w:val="00B5357A"/>
    <w:rsid w:val="00B62845"/>
    <w:rsid w:val="00B64D08"/>
    <w:rsid w:val="00B65914"/>
    <w:rsid w:val="00B661F6"/>
    <w:rsid w:val="00B6684A"/>
    <w:rsid w:val="00B74258"/>
    <w:rsid w:val="00B765F6"/>
    <w:rsid w:val="00B84509"/>
    <w:rsid w:val="00B85A4A"/>
    <w:rsid w:val="00B85BDF"/>
    <w:rsid w:val="00B878EA"/>
    <w:rsid w:val="00B92B45"/>
    <w:rsid w:val="00B92B8A"/>
    <w:rsid w:val="00B96C3A"/>
    <w:rsid w:val="00BA232A"/>
    <w:rsid w:val="00BA4D8A"/>
    <w:rsid w:val="00BB001B"/>
    <w:rsid w:val="00BB020E"/>
    <w:rsid w:val="00BB72CB"/>
    <w:rsid w:val="00BC3D1C"/>
    <w:rsid w:val="00BC6626"/>
    <w:rsid w:val="00BD416C"/>
    <w:rsid w:val="00BD45D2"/>
    <w:rsid w:val="00BE0015"/>
    <w:rsid w:val="00BE71DC"/>
    <w:rsid w:val="00BF452E"/>
    <w:rsid w:val="00BF6B4B"/>
    <w:rsid w:val="00BF73A8"/>
    <w:rsid w:val="00C00D9C"/>
    <w:rsid w:val="00C00F77"/>
    <w:rsid w:val="00C011E2"/>
    <w:rsid w:val="00C05E1C"/>
    <w:rsid w:val="00C1232B"/>
    <w:rsid w:val="00C12CB3"/>
    <w:rsid w:val="00C16101"/>
    <w:rsid w:val="00C17B4E"/>
    <w:rsid w:val="00C23036"/>
    <w:rsid w:val="00C23B5A"/>
    <w:rsid w:val="00C23EE5"/>
    <w:rsid w:val="00C2651E"/>
    <w:rsid w:val="00C31F7D"/>
    <w:rsid w:val="00C35D9C"/>
    <w:rsid w:val="00C3799D"/>
    <w:rsid w:val="00C40192"/>
    <w:rsid w:val="00C406C9"/>
    <w:rsid w:val="00C40B5E"/>
    <w:rsid w:val="00C410B5"/>
    <w:rsid w:val="00C41125"/>
    <w:rsid w:val="00C42B98"/>
    <w:rsid w:val="00C4629A"/>
    <w:rsid w:val="00C524AA"/>
    <w:rsid w:val="00C5383F"/>
    <w:rsid w:val="00C6021D"/>
    <w:rsid w:val="00C61315"/>
    <w:rsid w:val="00C62218"/>
    <w:rsid w:val="00C6376D"/>
    <w:rsid w:val="00C64F82"/>
    <w:rsid w:val="00C67B64"/>
    <w:rsid w:val="00C73136"/>
    <w:rsid w:val="00C74B44"/>
    <w:rsid w:val="00C80819"/>
    <w:rsid w:val="00C835B2"/>
    <w:rsid w:val="00C86185"/>
    <w:rsid w:val="00C87D99"/>
    <w:rsid w:val="00C94C16"/>
    <w:rsid w:val="00C97793"/>
    <w:rsid w:val="00CA3F75"/>
    <w:rsid w:val="00CA5857"/>
    <w:rsid w:val="00CC5293"/>
    <w:rsid w:val="00CD3037"/>
    <w:rsid w:val="00CD5BC9"/>
    <w:rsid w:val="00CE0FA8"/>
    <w:rsid w:val="00CE21AD"/>
    <w:rsid w:val="00CE3DB1"/>
    <w:rsid w:val="00CF0739"/>
    <w:rsid w:val="00CF3121"/>
    <w:rsid w:val="00CF32FA"/>
    <w:rsid w:val="00D04554"/>
    <w:rsid w:val="00D117AE"/>
    <w:rsid w:val="00D12F06"/>
    <w:rsid w:val="00D15E94"/>
    <w:rsid w:val="00D163F2"/>
    <w:rsid w:val="00D21321"/>
    <w:rsid w:val="00D22676"/>
    <w:rsid w:val="00D24FC6"/>
    <w:rsid w:val="00D26ADB"/>
    <w:rsid w:val="00D30C2E"/>
    <w:rsid w:val="00D3329A"/>
    <w:rsid w:val="00D4428F"/>
    <w:rsid w:val="00D54F58"/>
    <w:rsid w:val="00D57F00"/>
    <w:rsid w:val="00D64EAC"/>
    <w:rsid w:val="00D67FAD"/>
    <w:rsid w:val="00D71BDE"/>
    <w:rsid w:val="00D720C6"/>
    <w:rsid w:val="00D75C58"/>
    <w:rsid w:val="00D775F4"/>
    <w:rsid w:val="00D83116"/>
    <w:rsid w:val="00D83391"/>
    <w:rsid w:val="00D95714"/>
    <w:rsid w:val="00D95C95"/>
    <w:rsid w:val="00D96E77"/>
    <w:rsid w:val="00DA5473"/>
    <w:rsid w:val="00DA6AE7"/>
    <w:rsid w:val="00DA6B8A"/>
    <w:rsid w:val="00DA7975"/>
    <w:rsid w:val="00DB6070"/>
    <w:rsid w:val="00DB6593"/>
    <w:rsid w:val="00DB6653"/>
    <w:rsid w:val="00DB78A0"/>
    <w:rsid w:val="00DC1ECE"/>
    <w:rsid w:val="00DC266B"/>
    <w:rsid w:val="00DC4FDC"/>
    <w:rsid w:val="00DC5792"/>
    <w:rsid w:val="00DD004E"/>
    <w:rsid w:val="00DD01B8"/>
    <w:rsid w:val="00DD0966"/>
    <w:rsid w:val="00DD411A"/>
    <w:rsid w:val="00DE10B5"/>
    <w:rsid w:val="00DE602D"/>
    <w:rsid w:val="00DE73C5"/>
    <w:rsid w:val="00DF65FC"/>
    <w:rsid w:val="00DF7C53"/>
    <w:rsid w:val="00E00285"/>
    <w:rsid w:val="00E00A82"/>
    <w:rsid w:val="00E02AFF"/>
    <w:rsid w:val="00E170FF"/>
    <w:rsid w:val="00E20849"/>
    <w:rsid w:val="00E22045"/>
    <w:rsid w:val="00E229FD"/>
    <w:rsid w:val="00E260E5"/>
    <w:rsid w:val="00E31613"/>
    <w:rsid w:val="00E318A5"/>
    <w:rsid w:val="00E32435"/>
    <w:rsid w:val="00E36FDF"/>
    <w:rsid w:val="00E4259F"/>
    <w:rsid w:val="00E5127E"/>
    <w:rsid w:val="00E54537"/>
    <w:rsid w:val="00E5503D"/>
    <w:rsid w:val="00E56834"/>
    <w:rsid w:val="00E63D4C"/>
    <w:rsid w:val="00E679F9"/>
    <w:rsid w:val="00E709FE"/>
    <w:rsid w:val="00E7637B"/>
    <w:rsid w:val="00E801E6"/>
    <w:rsid w:val="00E9398D"/>
    <w:rsid w:val="00E978CC"/>
    <w:rsid w:val="00EA6F77"/>
    <w:rsid w:val="00EB10C6"/>
    <w:rsid w:val="00EB2266"/>
    <w:rsid w:val="00EB3122"/>
    <w:rsid w:val="00EB585F"/>
    <w:rsid w:val="00EB59C8"/>
    <w:rsid w:val="00EC24A5"/>
    <w:rsid w:val="00EC35D6"/>
    <w:rsid w:val="00EC51AD"/>
    <w:rsid w:val="00EC6806"/>
    <w:rsid w:val="00ED13C7"/>
    <w:rsid w:val="00ED1D81"/>
    <w:rsid w:val="00EE029D"/>
    <w:rsid w:val="00EE07F4"/>
    <w:rsid w:val="00EE0C59"/>
    <w:rsid w:val="00EE467D"/>
    <w:rsid w:val="00EE4BFA"/>
    <w:rsid w:val="00EF05B6"/>
    <w:rsid w:val="00EF0CE8"/>
    <w:rsid w:val="00EF13D7"/>
    <w:rsid w:val="00EF3782"/>
    <w:rsid w:val="00EF6025"/>
    <w:rsid w:val="00EF6F1F"/>
    <w:rsid w:val="00EF76CD"/>
    <w:rsid w:val="00F006FC"/>
    <w:rsid w:val="00F05ADF"/>
    <w:rsid w:val="00F0636B"/>
    <w:rsid w:val="00F065AF"/>
    <w:rsid w:val="00F07929"/>
    <w:rsid w:val="00F11871"/>
    <w:rsid w:val="00F120DC"/>
    <w:rsid w:val="00F1546D"/>
    <w:rsid w:val="00F16BCE"/>
    <w:rsid w:val="00F172CF"/>
    <w:rsid w:val="00F22959"/>
    <w:rsid w:val="00F318BB"/>
    <w:rsid w:val="00F34564"/>
    <w:rsid w:val="00F35270"/>
    <w:rsid w:val="00F42921"/>
    <w:rsid w:val="00F43AFE"/>
    <w:rsid w:val="00F45F4D"/>
    <w:rsid w:val="00F46BE8"/>
    <w:rsid w:val="00F46CF0"/>
    <w:rsid w:val="00F477BE"/>
    <w:rsid w:val="00F505F6"/>
    <w:rsid w:val="00F5261C"/>
    <w:rsid w:val="00F5371B"/>
    <w:rsid w:val="00F54A66"/>
    <w:rsid w:val="00F57407"/>
    <w:rsid w:val="00F605C3"/>
    <w:rsid w:val="00F63276"/>
    <w:rsid w:val="00F6655B"/>
    <w:rsid w:val="00F66F10"/>
    <w:rsid w:val="00F6787C"/>
    <w:rsid w:val="00F67D19"/>
    <w:rsid w:val="00F72AB2"/>
    <w:rsid w:val="00F751FF"/>
    <w:rsid w:val="00F81918"/>
    <w:rsid w:val="00F849EB"/>
    <w:rsid w:val="00F92D08"/>
    <w:rsid w:val="00F93292"/>
    <w:rsid w:val="00F9544C"/>
    <w:rsid w:val="00FA10DA"/>
    <w:rsid w:val="00FA60E5"/>
    <w:rsid w:val="00FA74B9"/>
    <w:rsid w:val="00FB3C76"/>
    <w:rsid w:val="00FB544E"/>
    <w:rsid w:val="00FC260E"/>
    <w:rsid w:val="00FD1F6E"/>
    <w:rsid w:val="00FD4D76"/>
    <w:rsid w:val="00FD601F"/>
    <w:rsid w:val="00FD7E8E"/>
    <w:rsid w:val="00FE0FF1"/>
    <w:rsid w:val="00FE441F"/>
    <w:rsid w:val="00FE7FDA"/>
    <w:rsid w:val="00FF2C98"/>
    <w:rsid w:val="00FF327E"/>
    <w:rsid w:val="00FF6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AD36"/>
  <w15:chartTrackingRefBased/>
  <w15:docId w15:val="{FB51F075-4FA7-4C43-8A08-37AD734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45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iPriority w:val="99"/>
    <w:unhideWhenUsed/>
    <w:qFormat/>
    <w:rsid w:val="009E1DB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rsid w:val="009E1DB0"/>
    <w:rPr>
      <w:sz w:val="20"/>
      <w:szCs w:val="20"/>
    </w:rPr>
  </w:style>
  <w:style w:type="character" w:styleId="Refdenotaalpie">
    <w:name w:val="footnote reference"/>
    <w:basedOn w:val="Fuentedeprrafopredeter"/>
    <w:uiPriority w:val="99"/>
    <w:semiHidden/>
    <w:unhideWhenUsed/>
    <w:rsid w:val="009E1DB0"/>
    <w:rPr>
      <w:vertAlign w:val="superscript"/>
    </w:rPr>
  </w:style>
  <w:style w:type="paragraph" w:styleId="Encabezado">
    <w:name w:val="header"/>
    <w:basedOn w:val="Normal"/>
    <w:link w:val="EncabezadoCar"/>
    <w:uiPriority w:val="99"/>
    <w:unhideWhenUsed/>
    <w:rsid w:val="00681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F98"/>
  </w:style>
  <w:style w:type="paragraph" w:styleId="Piedepgina">
    <w:name w:val="footer"/>
    <w:basedOn w:val="Normal"/>
    <w:link w:val="PiedepginaCar"/>
    <w:uiPriority w:val="99"/>
    <w:unhideWhenUsed/>
    <w:rsid w:val="00681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F98"/>
  </w:style>
  <w:style w:type="paragraph" w:styleId="Textodeglobo">
    <w:name w:val="Balloon Text"/>
    <w:basedOn w:val="Normal"/>
    <w:link w:val="TextodegloboCar"/>
    <w:uiPriority w:val="99"/>
    <w:semiHidden/>
    <w:unhideWhenUsed/>
    <w:rsid w:val="002A6F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F62"/>
    <w:rPr>
      <w:rFonts w:ascii="Segoe UI" w:hAnsi="Segoe UI" w:cs="Segoe UI"/>
      <w:sz w:val="18"/>
      <w:szCs w:val="18"/>
    </w:rPr>
  </w:style>
  <w:style w:type="paragraph" w:styleId="Prrafodelista">
    <w:name w:val="List Paragraph"/>
    <w:aliases w:val="Cita texto,Footnote,Párrafo de lista1,List Paragraph1,Colorful List - Accent 11,TEXTO GENERAL SENTENCIAS,Cuadrícula clara - Énfasis 31,Cuadrícula media 1 - Énfasis 21,Lista vistosa - Énfasis 11,Lista media 2 - Énfasis 41,CNBV Parrafo1"/>
    <w:basedOn w:val="Normal"/>
    <w:link w:val="PrrafodelistaCar"/>
    <w:uiPriority w:val="72"/>
    <w:qFormat/>
    <w:rsid w:val="0064214E"/>
    <w:pPr>
      <w:ind w:left="720"/>
      <w:contextualSpacing/>
    </w:pPr>
  </w:style>
  <w:style w:type="table" w:styleId="Tablaconcuadrcula">
    <w:name w:val="Table Grid"/>
    <w:basedOn w:val="Tablanormal"/>
    <w:uiPriority w:val="39"/>
    <w:rsid w:val="005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239C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239C9"/>
    <w:rPr>
      <w:rFonts w:eastAsiaTheme="minorEastAsia"/>
      <w:lang w:eastAsia="es-MX"/>
    </w:rPr>
  </w:style>
  <w:style w:type="paragraph" w:styleId="Revisin">
    <w:name w:val="Revision"/>
    <w:hidden/>
    <w:uiPriority w:val="99"/>
    <w:semiHidden/>
    <w:rsid w:val="00540AA6"/>
    <w:pPr>
      <w:spacing w:after="0" w:line="240" w:lineRule="auto"/>
    </w:pPr>
  </w:style>
  <w:style w:type="paragraph" w:customStyle="1" w:styleId="corte2ponente">
    <w:name w:val="corte2 ponente"/>
    <w:basedOn w:val="Normal"/>
    <w:link w:val="corte2ponenteCar"/>
    <w:qFormat/>
    <w:rsid w:val="00F63276"/>
    <w:pPr>
      <w:spacing w:after="0" w:line="360" w:lineRule="auto"/>
      <w:ind w:hanging="709"/>
      <w:jc w:val="both"/>
    </w:pPr>
    <w:rPr>
      <w:rFonts w:ascii="Arial" w:eastAsia="Times New Roman" w:hAnsi="Arial" w:cs="Times New Roman"/>
      <w:b/>
      <w:caps/>
      <w:sz w:val="30"/>
      <w:szCs w:val="20"/>
      <w:lang w:val="es-ES_tradnl" w:eastAsia="es-MX"/>
    </w:rPr>
  </w:style>
  <w:style w:type="character" w:customStyle="1" w:styleId="corte2ponenteCar">
    <w:name w:val="corte2 ponente Car"/>
    <w:link w:val="corte2ponente"/>
    <w:rsid w:val="00F63276"/>
    <w:rPr>
      <w:rFonts w:ascii="Arial" w:eastAsia="Times New Roman" w:hAnsi="Arial" w:cs="Times New Roman"/>
      <w:b/>
      <w:caps/>
      <w:sz w:val="30"/>
      <w:szCs w:val="20"/>
      <w:lang w:val="es-ES_tradnl" w:eastAsia="es-MX"/>
    </w:rPr>
  </w:style>
  <w:style w:type="paragraph" w:customStyle="1" w:styleId="Listavistosa-nfasis111">
    <w:name w:val="Lista vistosa - Énfasis 111"/>
    <w:basedOn w:val="Normal"/>
    <w:uiPriority w:val="34"/>
    <w:qFormat/>
    <w:rsid w:val="00F63276"/>
    <w:pPr>
      <w:spacing w:after="0" w:line="360" w:lineRule="auto"/>
      <w:ind w:left="708" w:hanging="709"/>
      <w:jc w:val="both"/>
    </w:pPr>
    <w:rPr>
      <w:rFonts w:ascii="Times New Roman" w:eastAsia="Times New Roman" w:hAnsi="Times New Roman" w:cs="Times New Roman"/>
      <w:sz w:val="20"/>
      <w:szCs w:val="20"/>
      <w:lang w:val="es-ES_tradnl" w:eastAsia="es-MX"/>
    </w:rPr>
  </w:style>
  <w:style w:type="character" w:styleId="Refdecomentario">
    <w:name w:val="annotation reference"/>
    <w:basedOn w:val="Fuentedeprrafopredeter"/>
    <w:uiPriority w:val="99"/>
    <w:semiHidden/>
    <w:unhideWhenUsed/>
    <w:rsid w:val="00F065AF"/>
    <w:rPr>
      <w:sz w:val="16"/>
      <w:szCs w:val="16"/>
    </w:rPr>
  </w:style>
  <w:style w:type="paragraph" w:styleId="Textocomentario">
    <w:name w:val="annotation text"/>
    <w:basedOn w:val="Normal"/>
    <w:link w:val="TextocomentarioCar"/>
    <w:uiPriority w:val="99"/>
    <w:unhideWhenUsed/>
    <w:rsid w:val="00F065AF"/>
    <w:pPr>
      <w:spacing w:line="240" w:lineRule="auto"/>
    </w:pPr>
    <w:rPr>
      <w:rFonts w:eastAsiaTheme="minorEastAsia"/>
      <w:sz w:val="20"/>
      <w:szCs w:val="20"/>
    </w:rPr>
  </w:style>
  <w:style w:type="character" w:customStyle="1" w:styleId="TextocomentarioCar">
    <w:name w:val="Texto comentario Car"/>
    <w:basedOn w:val="Fuentedeprrafopredeter"/>
    <w:link w:val="Textocomentario"/>
    <w:uiPriority w:val="99"/>
    <w:rsid w:val="00F065AF"/>
    <w:rPr>
      <w:rFonts w:eastAsiaTheme="minorEastAsia"/>
      <w:sz w:val="20"/>
      <w:szCs w:val="20"/>
    </w:rPr>
  </w:style>
  <w:style w:type="paragraph" w:customStyle="1" w:styleId="corte4fondo">
    <w:name w:val="corte4 fondo"/>
    <w:basedOn w:val="Normal"/>
    <w:link w:val="corte4fondoCar3"/>
    <w:qFormat/>
    <w:rsid w:val="00A61E50"/>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3">
    <w:name w:val="corte4 fondo Car3"/>
    <w:link w:val="corte4fondo"/>
    <w:locked/>
    <w:rsid w:val="00A61E50"/>
    <w:rPr>
      <w:rFonts w:ascii="Arial" w:eastAsia="Times New Roman" w:hAnsi="Arial" w:cs="Times New Roman"/>
      <w:sz w:val="30"/>
      <w:szCs w:val="20"/>
      <w:lang w:val="es-ES_tradnl" w:eastAsia="es-MX"/>
    </w:rPr>
  </w:style>
  <w:style w:type="character" w:customStyle="1" w:styleId="PrrafodelistaCar">
    <w:name w:val="Párrafo de lista Car"/>
    <w:aliases w:val="Cita texto Car,Footnote Car,Párrafo de lista1 Car,List Paragraph1 Car,Colorful List - Accent 11 Car,TEXTO GENERAL SENTENCIAS Car,Cuadrícula clara - Énfasis 31 Car,Cuadrícula media 1 - Énfasis 21 Car,Lista vistosa - Énfasis 11 Car"/>
    <w:link w:val="Prrafodelista"/>
    <w:uiPriority w:val="72"/>
    <w:locked/>
    <w:rsid w:val="00F72AB2"/>
  </w:style>
  <w:style w:type="paragraph" w:customStyle="1" w:styleId="Normal0">
    <w:name w:val="Normal0"/>
    <w:qFormat/>
    <w:rsid w:val="00674886"/>
    <w:pPr>
      <w:spacing w:after="0" w:line="240" w:lineRule="auto"/>
    </w:pPr>
    <w:rPr>
      <w:rFonts w:ascii="Times New Roman" w:eastAsia="Times New Roman" w:hAnsi="Times New Roman" w:cs="Times New Roman"/>
      <w:sz w:val="20"/>
      <w:szCs w:val="20"/>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7970">
      <w:bodyDiv w:val="1"/>
      <w:marLeft w:val="0"/>
      <w:marRight w:val="0"/>
      <w:marTop w:val="0"/>
      <w:marBottom w:val="0"/>
      <w:divBdr>
        <w:top w:val="none" w:sz="0" w:space="0" w:color="auto"/>
        <w:left w:val="none" w:sz="0" w:space="0" w:color="auto"/>
        <w:bottom w:val="none" w:sz="0" w:space="0" w:color="auto"/>
        <w:right w:val="none" w:sz="0" w:space="0" w:color="auto"/>
      </w:divBdr>
    </w:div>
    <w:div w:id="911240189">
      <w:bodyDiv w:val="1"/>
      <w:marLeft w:val="0"/>
      <w:marRight w:val="0"/>
      <w:marTop w:val="0"/>
      <w:marBottom w:val="0"/>
      <w:divBdr>
        <w:top w:val="none" w:sz="0" w:space="0" w:color="auto"/>
        <w:left w:val="none" w:sz="0" w:space="0" w:color="auto"/>
        <w:bottom w:val="none" w:sz="0" w:space="0" w:color="auto"/>
        <w:right w:val="none" w:sz="0" w:space="0" w:color="auto"/>
      </w:divBdr>
    </w:div>
    <w:div w:id="2048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0739-1C27-4B1F-AD61-C55ED2B4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461</TotalTime>
  <Pages>3</Pages>
  <Words>926</Words>
  <Characters>5095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ARZATE ALEMAN</dc:creator>
  <cp:keywords/>
  <dc:description/>
  <cp:lastModifiedBy>BRUNO ALEJANDRO PATIÑO RENTERIA</cp:lastModifiedBy>
  <cp:revision>35</cp:revision>
  <cp:lastPrinted>2021-06-08T20:16:00Z</cp:lastPrinted>
  <dcterms:created xsi:type="dcterms:W3CDTF">2023-04-28T00:15:00Z</dcterms:created>
  <dcterms:modified xsi:type="dcterms:W3CDTF">2023-08-15T21:06:00Z</dcterms:modified>
</cp:coreProperties>
</file>