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B5FC7" w14:textId="04FEC849" w:rsidR="001624A8" w:rsidRPr="00B64D08" w:rsidRDefault="001624A8"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3D56598F" w14:textId="77777777" w:rsidR="00B64D08" w:rsidRPr="00B64D08" w:rsidRDefault="00B64D08"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62BD3EBD" w14:textId="4A09EAAF" w:rsidR="00EE029D" w:rsidRPr="00046D48" w:rsidRDefault="00595325" w:rsidP="00B323DA">
      <w:pPr>
        <w:shd w:val="clear" w:color="auto" w:fill="E7E6E6" w:themeFill="background2"/>
        <w:spacing w:after="0" w:line="276" w:lineRule="auto"/>
        <w:ind w:right="49"/>
        <w:jc w:val="center"/>
        <w:rPr>
          <w:rFonts w:ascii="Arial Nova" w:hAnsi="Arial Nova" w:cs="Times New Roman"/>
          <w:b/>
          <w:bCs/>
          <w:smallCaps/>
          <w:color w:val="002060"/>
        </w:rPr>
      </w:pPr>
      <w:r w:rsidRPr="00595325">
        <w:rPr>
          <w:rFonts w:ascii="Arial Nova" w:hAnsi="Arial Nova" w:cs="Times New Roman"/>
          <w:b/>
          <w:bCs/>
          <w:smallCaps/>
          <w:color w:val="002060"/>
        </w:rPr>
        <w:t>FRAUDE PROCESAL</w:t>
      </w:r>
      <w:r>
        <w:rPr>
          <w:rFonts w:ascii="Arial Nova" w:hAnsi="Arial Nova" w:cs="Times New Roman"/>
          <w:b/>
          <w:bCs/>
          <w:smallCaps/>
          <w:color w:val="002060"/>
        </w:rPr>
        <w:t xml:space="preserve">. COMETE ESTE DELITO </w:t>
      </w:r>
      <w:r w:rsidRPr="00595325">
        <w:rPr>
          <w:rFonts w:ascii="Arial Nova" w:hAnsi="Arial Nova" w:cs="Times New Roman"/>
          <w:b/>
          <w:bCs/>
          <w:smallCaps/>
          <w:color w:val="002060"/>
        </w:rPr>
        <w:t xml:space="preserve">QUIEN </w:t>
      </w:r>
      <w:r w:rsidR="00FB5352">
        <w:rPr>
          <w:rFonts w:ascii="Arial Nova" w:hAnsi="Arial Nova" w:cs="Times New Roman"/>
          <w:b/>
          <w:bCs/>
          <w:smallCaps/>
          <w:color w:val="002060"/>
        </w:rPr>
        <w:t>CON LA REALIZACIÓN DE LAS CONDUCTAS QUE SANCIONA ESTE TIPO PENAL</w:t>
      </w:r>
      <w:r w:rsidRPr="00595325">
        <w:rPr>
          <w:rFonts w:ascii="Arial Nova" w:hAnsi="Arial Nova" w:cs="Times New Roman"/>
          <w:b/>
          <w:bCs/>
          <w:smallCaps/>
          <w:color w:val="002060"/>
        </w:rPr>
        <w:t xml:space="preserve"> OBTIENE UN BENEFICIO INDEBIDO, SIN IMPORTAR SI ÉSTE ES O NO DE TIPO ECONÓMICO</w:t>
      </w:r>
      <w:r>
        <w:rPr>
          <w:rFonts w:ascii="Arial Nova" w:hAnsi="Arial Nova" w:cs="Times New Roman"/>
          <w:b/>
          <w:bCs/>
          <w:smallCaps/>
          <w:color w:val="002060"/>
        </w:rPr>
        <w:t xml:space="preserve"> (LEGISLACIÓN DE LA CIUDAD DE MÉXICO)</w:t>
      </w:r>
    </w:p>
    <w:p w14:paraId="6FB7DAC2" w14:textId="77777777" w:rsidR="001C01EC" w:rsidRPr="004E314C" w:rsidRDefault="001C01EC"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41C44226" w14:textId="77777777" w:rsidR="00046D48" w:rsidRPr="004E314C" w:rsidRDefault="00046D48"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3D6CDE51" w14:textId="6881A344" w:rsidR="00832148" w:rsidRPr="001624A8" w:rsidRDefault="000018A2" w:rsidP="001624A8">
      <w:pPr>
        <w:shd w:val="clear" w:color="auto" w:fill="EDEDED" w:themeFill="accent3" w:themeFillTint="33"/>
        <w:spacing w:after="0" w:line="240" w:lineRule="auto"/>
        <w:ind w:left="3544"/>
        <w:jc w:val="right"/>
        <w:rPr>
          <w:rFonts w:ascii="Arial Nova" w:hAnsi="Arial Nova" w:cs="Times New Roman"/>
          <w:smallCaps/>
          <w:color w:val="002060"/>
        </w:rPr>
      </w:pPr>
      <w:bookmarkStart w:id="0" w:name="_Hlk133506787"/>
      <w:bookmarkStart w:id="1" w:name="_Hlk133506760"/>
      <w:r w:rsidRPr="001624A8">
        <w:rPr>
          <w:rFonts w:ascii="Arial Nova" w:hAnsi="Arial Nova" w:cs="Times New Roman"/>
          <w:b/>
          <w:bCs/>
          <w:smallCaps/>
          <w:color w:val="002060"/>
        </w:rPr>
        <w:t xml:space="preserve">Ponente: </w:t>
      </w:r>
      <w:r w:rsidR="00DD0966" w:rsidRPr="001624A8">
        <w:rPr>
          <w:rFonts w:ascii="Arial Nova" w:hAnsi="Arial Nova" w:cs="Times New Roman"/>
          <w:b/>
          <w:bCs/>
          <w:smallCaps/>
          <w:color w:val="002060"/>
        </w:rPr>
        <w:t>Ministr</w:t>
      </w:r>
      <w:r w:rsidR="00595325">
        <w:rPr>
          <w:rFonts w:ascii="Arial Nova" w:hAnsi="Arial Nova" w:cs="Times New Roman"/>
          <w:b/>
          <w:bCs/>
          <w:smallCaps/>
          <w:color w:val="002060"/>
        </w:rPr>
        <w:t>o</w:t>
      </w:r>
      <w:r w:rsidR="00DD0966" w:rsidRPr="001624A8">
        <w:rPr>
          <w:rFonts w:ascii="Arial Nova" w:hAnsi="Arial Nova" w:cs="Times New Roman"/>
          <w:b/>
          <w:bCs/>
          <w:smallCaps/>
          <w:color w:val="002060"/>
        </w:rPr>
        <w:t xml:space="preserve"> </w:t>
      </w:r>
      <w:r w:rsidR="00595325">
        <w:rPr>
          <w:rFonts w:ascii="Arial Nova" w:hAnsi="Arial Nova" w:cs="Times New Roman"/>
          <w:b/>
          <w:bCs/>
          <w:smallCaps/>
          <w:color w:val="002060"/>
        </w:rPr>
        <w:t>Jorge Mario Pardo Rebolledo</w:t>
      </w:r>
      <w:r w:rsidR="00B92B45" w:rsidRPr="001624A8">
        <w:rPr>
          <w:rFonts w:ascii="Arial Nova" w:hAnsi="Arial Nova" w:cs="Times New Roman"/>
          <w:smallCaps/>
          <w:color w:val="002060"/>
        </w:rPr>
        <w:t>.</w:t>
      </w:r>
    </w:p>
    <w:p w14:paraId="63E065DC" w14:textId="0A53FF54" w:rsidR="00832148" w:rsidRPr="001624A8" w:rsidRDefault="000018A2" w:rsidP="001624A8">
      <w:pPr>
        <w:shd w:val="clear" w:color="auto" w:fill="EDEDED" w:themeFill="accent3" w:themeFillTint="33"/>
        <w:spacing w:after="0" w:line="240" w:lineRule="auto"/>
        <w:ind w:left="3544"/>
        <w:jc w:val="right"/>
        <w:rPr>
          <w:rFonts w:ascii="Arial Nova" w:hAnsi="Arial Nova" w:cs="Times New Roman"/>
          <w:smallCaps/>
          <w:color w:val="002060"/>
        </w:rPr>
      </w:pPr>
      <w:bookmarkStart w:id="2" w:name="_Hlk133506801"/>
      <w:bookmarkEnd w:id="0"/>
      <w:r w:rsidRPr="001624A8">
        <w:rPr>
          <w:rFonts w:ascii="Arial Nova" w:hAnsi="Arial Nova" w:cs="Times New Roman"/>
          <w:smallCaps/>
          <w:color w:val="002060"/>
        </w:rPr>
        <w:t>Secretari</w:t>
      </w:r>
      <w:r w:rsidR="00300F95" w:rsidRPr="001624A8">
        <w:rPr>
          <w:rFonts w:ascii="Arial Nova" w:hAnsi="Arial Nova" w:cs="Times New Roman"/>
          <w:smallCaps/>
          <w:color w:val="002060"/>
        </w:rPr>
        <w:t>o</w:t>
      </w:r>
      <w:r w:rsidRPr="001624A8">
        <w:rPr>
          <w:rFonts w:ascii="Arial Nova" w:hAnsi="Arial Nova" w:cs="Times New Roman"/>
          <w:smallCaps/>
          <w:color w:val="002060"/>
        </w:rPr>
        <w:t xml:space="preserve">: </w:t>
      </w:r>
      <w:r w:rsidR="00595325">
        <w:rPr>
          <w:rFonts w:ascii="Arial Nova" w:hAnsi="Arial Nova" w:cs="Times New Roman"/>
          <w:smallCaps/>
          <w:color w:val="002060"/>
        </w:rPr>
        <w:t>Manuel Baráibar Tovar</w:t>
      </w:r>
      <w:r w:rsidR="00B92B45" w:rsidRPr="001624A8">
        <w:rPr>
          <w:rFonts w:ascii="Arial Nova" w:hAnsi="Arial Nova" w:cs="Times New Roman"/>
          <w:smallCaps/>
          <w:color w:val="002060"/>
        </w:rPr>
        <w:t>.</w:t>
      </w:r>
      <w:bookmarkEnd w:id="2"/>
    </w:p>
    <w:p w14:paraId="1C0B4F90" w14:textId="54373737" w:rsidR="001C01EC" w:rsidRPr="004C2D17" w:rsidRDefault="001C01EC" w:rsidP="001624A8">
      <w:pPr>
        <w:shd w:val="clear" w:color="auto" w:fill="EDEDED" w:themeFill="accent3" w:themeFillTint="33"/>
        <w:spacing w:after="0" w:line="240" w:lineRule="auto"/>
        <w:ind w:left="3544"/>
        <w:jc w:val="right"/>
        <w:rPr>
          <w:rFonts w:ascii="Arial Nova" w:hAnsi="Arial Nova" w:cs="Times New Roman"/>
          <w:smallCaps/>
        </w:rPr>
      </w:pPr>
      <w:bookmarkStart w:id="3" w:name="_Hlk133506816"/>
      <w:r w:rsidRPr="001624A8">
        <w:rPr>
          <w:rFonts w:ascii="Arial Nova" w:hAnsi="Arial Nova" w:cs="Times New Roman"/>
          <w:smallCaps/>
          <w:color w:val="002060"/>
        </w:rPr>
        <w:t xml:space="preserve">Expediente: Amparo </w:t>
      </w:r>
      <w:r w:rsidR="00595325">
        <w:rPr>
          <w:rFonts w:ascii="Arial Nova" w:hAnsi="Arial Nova" w:cs="Times New Roman"/>
          <w:smallCaps/>
          <w:color w:val="002060"/>
        </w:rPr>
        <w:t xml:space="preserve">Directo </w:t>
      </w:r>
      <w:r w:rsidR="00D04554" w:rsidRPr="001624A8">
        <w:rPr>
          <w:rFonts w:ascii="Arial Nova" w:hAnsi="Arial Nova" w:cs="Times New Roman"/>
          <w:smallCaps/>
          <w:color w:val="002060"/>
        </w:rPr>
        <w:t xml:space="preserve">en </w:t>
      </w:r>
      <w:r w:rsidRPr="001624A8">
        <w:rPr>
          <w:rFonts w:ascii="Arial Nova" w:hAnsi="Arial Nova" w:cs="Times New Roman"/>
          <w:smallCaps/>
          <w:color w:val="002060"/>
        </w:rPr>
        <w:t>Revisión 2</w:t>
      </w:r>
      <w:r w:rsidR="00595325">
        <w:rPr>
          <w:rFonts w:ascii="Arial Nova" w:hAnsi="Arial Nova" w:cs="Times New Roman"/>
          <w:smallCaps/>
          <w:color w:val="002060"/>
        </w:rPr>
        <w:t>674</w:t>
      </w:r>
      <w:r w:rsidRPr="001624A8">
        <w:rPr>
          <w:rFonts w:ascii="Arial Nova" w:hAnsi="Arial Nova" w:cs="Times New Roman"/>
          <w:smallCaps/>
          <w:color w:val="002060"/>
        </w:rPr>
        <w:t>/202</w:t>
      </w:r>
      <w:r w:rsidR="00595325">
        <w:rPr>
          <w:rFonts w:ascii="Arial Nova" w:hAnsi="Arial Nova" w:cs="Times New Roman"/>
          <w:smallCaps/>
          <w:color w:val="002060"/>
        </w:rPr>
        <w:t>3</w:t>
      </w:r>
      <w:r w:rsidRPr="004C2D17">
        <w:rPr>
          <w:rFonts w:ascii="Arial Nova" w:hAnsi="Arial Nova" w:cs="Times New Roman"/>
          <w:smallCaps/>
        </w:rPr>
        <w:t>.</w:t>
      </w:r>
      <w:bookmarkEnd w:id="1"/>
      <w:bookmarkEnd w:id="3"/>
    </w:p>
    <w:p w14:paraId="4ED83672" w14:textId="77777777" w:rsidR="001C01EC" w:rsidRPr="004E314C" w:rsidRDefault="001C01EC"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p w14:paraId="23CDDC7C" w14:textId="77777777" w:rsidR="001624A8" w:rsidRPr="004E314C" w:rsidRDefault="001624A8" w:rsidP="004E314C">
      <w:pPr>
        <w:shd w:val="clear" w:color="auto" w:fill="FFFFFF" w:themeFill="background1"/>
        <w:spacing w:after="0" w:line="240" w:lineRule="auto"/>
        <w:rPr>
          <w:rFonts w:ascii="Arial Nova" w:hAnsi="Arial Nova" w:cs="Times New Roman"/>
          <w:sz w:val="20"/>
          <w:szCs w:val="20"/>
          <w14:shadow w14:blurRad="0" w14:dist="38100" w14:dir="2700000" w14:sx="100000" w14:sy="100000" w14:kx="0" w14:ky="0" w14:algn="bl">
            <w14:schemeClr w14:val="accent5"/>
          </w14:shadow>
          <w14:textOutline w14:w="6731" w14:cap="flat" w14:cmpd="sng" w14:algn="ctr">
            <w14:solidFill>
              <w14:schemeClr w14:val="accent5">
                <w14:lumMod w14:val="20000"/>
                <w14:lumOff w14:val="80000"/>
              </w14:schemeClr>
            </w14:solidFill>
            <w14:prstDash w14:val="solid"/>
            <w14:round/>
          </w14:textOutline>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808"/>
      </w:tblGrid>
      <w:tr w:rsidR="00584C2F" w14:paraId="0DC470A1" w14:textId="77777777" w:rsidTr="001624A8">
        <w:tc>
          <w:tcPr>
            <w:tcW w:w="8828" w:type="dxa"/>
            <w:tcBorders>
              <w:top w:val="double" w:sz="4" w:space="0" w:color="2F5496" w:themeColor="accent1" w:themeShade="BF"/>
              <w:left w:val="double" w:sz="4" w:space="0" w:color="2F5496" w:themeColor="accent1" w:themeShade="BF"/>
              <w:bottom w:val="double" w:sz="4" w:space="0" w:color="2F5496" w:themeColor="accent1" w:themeShade="BF"/>
              <w:right w:val="double" w:sz="4" w:space="0" w:color="2F5496" w:themeColor="accent1" w:themeShade="BF"/>
            </w:tcBorders>
            <w:shd w:val="clear" w:color="auto" w:fill="auto"/>
          </w:tcPr>
          <w:p w14:paraId="45703613" w14:textId="77777777" w:rsidR="00E32435" w:rsidRPr="00046D48" w:rsidRDefault="00E32435" w:rsidP="00C30AA0">
            <w:pPr>
              <w:jc w:val="both"/>
              <w:rPr>
                <w:rFonts w:ascii="Times New Roman" w:hAnsi="Times New Roman" w:cs="Times New Roman"/>
                <w:b/>
                <w:bCs/>
                <w:color w:val="002060"/>
                <w:sz w:val="20"/>
                <w:szCs w:val="20"/>
              </w:rPr>
            </w:pPr>
          </w:p>
          <w:p w14:paraId="213F2911" w14:textId="1B37FFC4" w:rsidR="00B65914" w:rsidRPr="00B323DA" w:rsidRDefault="00B323DA" w:rsidP="00B65914">
            <w:pPr>
              <w:shd w:val="clear" w:color="auto" w:fill="FFFFFF" w:themeFill="background1"/>
              <w:spacing w:line="276" w:lineRule="auto"/>
              <w:rPr>
                <w:rFonts w:ascii="Arial Nova" w:hAnsi="Arial Nova" w:cs="Times New Roman"/>
                <w:smallCaps/>
                <w:color w:val="002060"/>
                <w:sz w:val="24"/>
                <w:szCs w:val="24"/>
              </w:rPr>
            </w:pPr>
            <w:r w:rsidRPr="00B323DA">
              <w:rPr>
                <w:rFonts w:ascii="Arial Nova" w:hAnsi="Arial Nova" w:cs="Times New Roman"/>
                <w:b/>
                <w:bCs/>
                <w:smallCaps/>
                <w:color w:val="000F2E"/>
                <w:sz w:val="28"/>
                <w:szCs w:val="28"/>
              </w:rPr>
              <w:t>R</w:t>
            </w:r>
            <w:r w:rsidRPr="00B323DA">
              <w:rPr>
                <w:rFonts w:ascii="Arial Nova" w:hAnsi="Arial Nova" w:cs="Times New Roman"/>
                <w:b/>
                <w:bCs/>
                <w:smallCaps/>
                <w:color w:val="000F2E"/>
                <w:sz w:val="24"/>
                <w:szCs w:val="24"/>
              </w:rPr>
              <w:t>esumen:</w:t>
            </w:r>
          </w:p>
          <w:p w14:paraId="171E7566" w14:textId="77777777" w:rsidR="00584C2F" w:rsidRPr="00046D48" w:rsidRDefault="00584C2F" w:rsidP="00C30AA0">
            <w:pPr>
              <w:jc w:val="both"/>
              <w:rPr>
                <w:rFonts w:ascii="Arial Nova" w:hAnsi="Arial Nova" w:cs="Times New Roman"/>
                <w:color w:val="002060"/>
                <w:sz w:val="20"/>
                <w:szCs w:val="20"/>
              </w:rPr>
            </w:pPr>
          </w:p>
          <w:p w14:paraId="121208B2" w14:textId="31101BA1" w:rsidR="00522170" w:rsidRPr="00522170" w:rsidRDefault="00522170" w:rsidP="00EF7297">
            <w:pPr>
              <w:jc w:val="both"/>
              <w:rPr>
                <w:rFonts w:ascii="Arial Nova" w:hAnsi="Arial Nova" w:cs="Times New Roman"/>
              </w:rPr>
            </w:pPr>
            <w:r w:rsidRPr="00522170">
              <w:rPr>
                <w:rFonts w:ascii="Arial Nova" w:hAnsi="Arial Nova" w:cs="Times New Roman"/>
              </w:rPr>
              <w:t xml:space="preserve">En el caso, dos personas que en un juicio sucesorio omitieron informar sobre la existencia de otros posibles herederos y simularon emplazar a otros en un domicilio que no era el suyo, fueron condenadas por el delito de fraude procesal, </w:t>
            </w:r>
            <w:r w:rsidR="00EF7297">
              <w:rPr>
                <w:rFonts w:ascii="Arial Nova" w:hAnsi="Arial Nova" w:cs="Times New Roman"/>
              </w:rPr>
              <w:t>previsto y sancionado por el artículo</w:t>
            </w:r>
            <w:r w:rsidR="00EF7297" w:rsidRPr="00522170">
              <w:rPr>
                <w:rFonts w:ascii="Arial Nova" w:hAnsi="Arial Nova" w:cs="Times New Roman"/>
              </w:rPr>
              <w:t xml:space="preserve"> 310 </w:t>
            </w:r>
            <w:r w:rsidR="00EF7297" w:rsidRPr="00EF7297">
              <w:rPr>
                <w:rFonts w:ascii="Arial Nova" w:hAnsi="Arial Nova" w:cs="Times New Roman"/>
              </w:rPr>
              <w:t>del Código Penal para el Distrito Federal ahora Ciudad de México</w:t>
            </w:r>
            <w:r w:rsidR="00EF7297">
              <w:rPr>
                <w:rFonts w:ascii="Arial Nova" w:hAnsi="Arial Nova" w:cs="Times New Roman"/>
              </w:rPr>
              <w:t>,</w:t>
            </w:r>
            <w:r w:rsidR="00EF7297" w:rsidRPr="00522170">
              <w:rPr>
                <w:rFonts w:ascii="Arial Nova" w:hAnsi="Arial Nova" w:cs="Times New Roman"/>
              </w:rPr>
              <w:t xml:space="preserve"> </w:t>
            </w:r>
            <w:r w:rsidR="00EF7297">
              <w:rPr>
                <w:rFonts w:ascii="Arial Nova" w:hAnsi="Arial Nova" w:cs="Times New Roman"/>
              </w:rPr>
              <w:t>conforme al cual, “a</w:t>
            </w:r>
            <w:r w:rsidR="00EF7297" w:rsidRPr="00EF7297">
              <w:rPr>
                <w:rFonts w:ascii="Arial Nova" w:hAnsi="Arial Nova" w:cs="Times New Roman"/>
              </w:rPr>
              <w:t>l que para obtener un beneficio indebido para sí o para otro, simule un acto jurídico, un</w:t>
            </w:r>
            <w:r w:rsidR="00EF7297">
              <w:rPr>
                <w:rFonts w:ascii="Arial Nova" w:hAnsi="Arial Nova" w:cs="Times New Roman"/>
              </w:rPr>
              <w:t xml:space="preserve"> </w:t>
            </w:r>
            <w:r w:rsidR="00EF7297" w:rsidRPr="00EF7297">
              <w:rPr>
                <w:rFonts w:ascii="Arial Nova" w:hAnsi="Arial Nova" w:cs="Times New Roman"/>
              </w:rPr>
              <w:t>acto o escrito judicial o altere elementos de prueba y los presente en juicio, o realice cualquier otro acto</w:t>
            </w:r>
            <w:r w:rsidR="00EF7297">
              <w:rPr>
                <w:rFonts w:ascii="Arial Nova" w:hAnsi="Arial Nova" w:cs="Times New Roman"/>
              </w:rPr>
              <w:t xml:space="preserve"> </w:t>
            </w:r>
            <w:r w:rsidR="00EF7297" w:rsidRPr="00EF7297">
              <w:rPr>
                <w:rFonts w:ascii="Arial Nova" w:hAnsi="Arial Nova" w:cs="Times New Roman"/>
              </w:rPr>
              <w:t>tendiente a inducir a error a la autoridad judicial o administrativa, con el fin de obtener sentencia,</w:t>
            </w:r>
            <w:r w:rsidR="00EF7297">
              <w:rPr>
                <w:rFonts w:ascii="Arial Nova" w:hAnsi="Arial Nova" w:cs="Times New Roman"/>
              </w:rPr>
              <w:t xml:space="preserve"> </w:t>
            </w:r>
            <w:r w:rsidR="00EF7297" w:rsidRPr="00EF7297">
              <w:rPr>
                <w:rFonts w:ascii="Arial Nova" w:hAnsi="Arial Nova" w:cs="Times New Roman"/>
              </w:rPr>
              <w:t>resolución o acto administrativo contrario a la ley, se le impondrán de seis meses a seis años de prisión y</w:t>
            </w:r>
            <w:r w:rsidR="00EF7297">
              <w:rPr>
                <w:rFonts w:ascii="Arial Nova" w:hAnsi="Arial Nova" w:cs="Times New Roman"/>
              </w:rPr>
              <w:t xml:space="preserve"> </w:t>
            </w:r>
            <w:r w:rsidR="00EF7297" w:rsidRPr="00EF7297">
              <w:rPr>
                <w:rFonts w:ascii="Arial Nova" w:hAnsi="Arial Nova" w:cs="Times New Roman"/>
              </w:rPr>
              <w:t>de cincuenta a doscientos cincuenta días multa. Si el beneficio es de carácter económico, se impondrán las</w:t>
            </w:r>
            <w:r w:rsidR="00EF7297">
              <w:rPr>
                <w:rFonts w:ascii="Arial Nova" w:hAnsi="Arial Nova" w:cs="Times New Roman"/>
              </w:rPr>
              <w:t xml:space="preserve"> </w:t>
            </w:r>
            <w:r w:rsidR="00EF7297" w:rsidRPr="00EF7297">
              <w:rPr>
                <w:rFonts w:ascii="Arial Nova" w:hAnsi="Arial Nova" w:cs="Times New Roman"/>
              </w:rPr>
              <w:t xml:space="preserve">penas previstas para el delito de fraude. </w:t>
            </w:r>
            <w:r w:rsidRPr="00522170">
              <w:rPr>
                <w:rFonts w:ascii="Arial Nova" w:hAnsi="Arial Nova" w:cs="Times New Roman"/>
              </w:rPr>
              <w:t>decisión que fue confirmada en apelación</w:t>
            </w:r>
            <w:r w:rsidR="00EF7297">
              <w:rPr>
                <w:rFonts w:ascii="Arial Nova" w:hAnsi="Arial Nova" w:cs="Times New Roman"/>
              </w:rPr>
              <w:t>”</w:t>
            </w:r>
            <w:r w:rsidRPr="00522170">
              <w:rPr>
                <w:rFonts w:ascii="Arial Nova" w:hAnsi="Arial Nova" w:cs="Times New Roman"/>
              </w:rPr>
              <w:t>.</w:t>
            </w:r>
          </w:p>
          <w:p w14:paraId="58E45986" w14:textId="77777777" w:rsidR="00522170" w:rsidRPr="00522170" w:rsidRDefault="00522170" w:rsidP="00522170">
            <w:pPr>
              <w:jc w:val="both"/>
              <w:rPr>
                <w:rFonts w:ascii="Arial Nova" w:hAnsi="Arial Nova" w:cs="Times New Roman"/>
              </w:rPr>
            </w:pPr>
          </w:p>
          <w:p w14:paraId="4B4B40BF" w14:textId="5EA5241F" w:rsidR="00522170" w:rsidRDefault="00522170" w:rsidP="00522170">
            <w:pPr>
              <w:jc w:val="both"/>
              <w:rPr>
                <w:rFonts w:ascii="Arial Nova" w:hAnsi="Arial Nova" w:cs="Times New Roman"/>
              </w:rPr>
            </w:pPr>
            <w:r w:rsidRPr="00522170">
              <w:rPr>
                <w:rFonts w:ascii="Arial Nova" w:hAnsi="Arial Nova" w:cs="Times New Roman"/>
              </w:rPr>
              <w:t xml:space="preserve">En desacuerdo, los inculpados promovieron amparo directo en el que alegaron, entre otras cuestiones, que la última parte del </w:t>
            </w:r>
            <w:r w:rsidR="00EF7297">
              <w:rPr>
                <w:rFonts w:ascii="Arial Nova" w:hAnsi="Arial Nova" w:cs="Times New Roman"/>
              </w:rPr>
              <w:t>primer párrafo del artículo</w:t>
            </w:r>
            <w:r w:rsidRPr="00522170">
              <w:rPr>
                <w:rFonts w:ascii="Arial Nova" w:hAnsi="Arial Nova" w:cs="Times New Roman"/>
              </w:rPr>
              <w:t xml:space="preserve"> 310 </w:t>
            </w:r>
            <w:r w:rsidR="00EF7297">
              <w:rPr>
                <w:rFonts w:ascii="Arial Nova" w:hAnsi="Arial Nova" w:cs="Times New Roman"/>
              </w:rPr>
              <w:t>citado</w:t>
            </w:r>
            <w:r w:rsidRPr="00522170">
              <w:rPr>
                <w:rFonts w:ascii="Arial Nova" w:hAnsi="Arial Nova" w:cs="Times New Roman"/>
              </w:rPr>
              <w:t xml:space="preserve">, en su porción normativa “…si el beneficio es de carácter económico…”, no define si tal beneficio debe ser legal o ilegal, lo cual genera incertidumbre, por lo que es contrario al principio de legalidad en su vertiente de taxatividad. El Tribunal Colegiado del conocimiento negó el amparo pues con independencia de lo legal o </w:t>
            </w:r>
            <w:r w:rsidR="00191624">
              <w:rPr>
                <w:rFonts w:ascii="Arial Nova" w:hAnsi="Arial Nova" w:cs="Times New Roman"/>
              </w:rPr>
              <w:t>i</w:t>
            </w:r>
            <w:r w:rsidRPr="00522170">
              <w:rPr>
                <w:rFonts w:ascii="Arial Nova" w:hAnsi="Arial Nova" w:cs="Times New Roman"/>
              </w:rPr>
              <w:t>legal del beneficio pretendido, lo que la norma califica como “indebido” es propiamente el beneficio, lo que la ley alude como contrario a Derecho. Inconformes, los quejosos interpusieron recurso de revisión.</w:t>
            </w:r>
          </w:p>
          <w:p w14:paraId="0DD37359" w14:textId="77777777" w:rsidR="00522170" w:rsidRPr="00522170" w:rsidRDefault="00522170" w:rsidP="00522170">
            <w:pPr>
              <w:jc w:val="both"/>
              <w:rPr>
                <w:rFonts w:ascii="Arial Nova" w:hAnsi="Arial Nova" w:cs="Times New Roman"/>
              </w:rPr>
            </w:pPr>
          </w:p>
          <w:p w14:paraId="75C12A4F" w14:textId="335750D6" w:rsidR="00584C2F" w:rsidRPr="001624A8" w:rsidRDefault="00595325" w:rsidP="006E1F3D">
            <w:pPr>
              <w:jc w:val="both"/>
              <w:rPr>
                <w:rFonts w:ascii="Arial Nova" w:hAnsi="Arial Nova" w:cs="Times New Roman"/>
              </w:rPr>
            </w:pPr>
            <w:r>
              <w:rPr>
                <w:rFonts w:ascii="Arial Nova" w:hAnsi="Arial Nova" w:cs="Times New Roman"/>
              </w:rPr>
              <w:t>En su fallo, la Primera Sala resolvió que la</w:t>
            </w:r>
            <w:r w:rsidRPr="00595325">
              <w:rPr>
                <w:rFonts w:ascii="Arial Nova" w:hAnsi="Arial Nova" w:cs="Times New Roman"/>
              </w:rPr>
              <w:t xml:space="preserve"> disposición que tipifica este delito es acorde al principio de taxatividad en materia penal, ya que lo que se sanciona es la obtención de un beneficio a través de una sentencia o resolución indebida</w:t>
            </w:r>
            <w:r w:rsidR="002901D6" w:rsidRPr="001624A8">
              <w:rPr>
                <w:rFonts w:ascii="Arial Nova" w:hAnsi="Arial Nova" w:cs="Times New Roman"/>
              </w:rPr>
              <w:t>.</w:t>
            </w:r>
          </w:p>
          <w:p w14:paraId="068A96B6" w14:textId="2880F198" w:rsidR="0048582B" w:rsidRPr="00650F1C" w:rsidRDefault="0048582B" w:rsidP="006E1F3D">
            <w:pPr>
              <w:jc w:val="both"/>
              <w:rPr>
                <w:rFonts w:ascii="Times New Roman" w:hAnsi="Times New Roman" w:cs="Times New Roman"/>
                <w:sz w:val="20"/>
                <w:szCs w:val="20"/>
              </w:rPr>
            </w:pPr>
          </w:p>
        </w:tc>
      </w:tr>
    </w:tbl>
    <w:p w14:paraId="156102F9" w14:textId="02854FB5" w:rsidR="00584C2F" w:rsidRDefault="00584C2F" w:rsidP="000018A2">
      <w:pPr>
        <w:spacing w:after="0" w:line="240" w:lineRule="auto"/>
        <w:jc w:val="both"/>
        <w:rPr>
          <w:rFonts w:ascii="Times New Roman" w:hAnsi="Times New Roman" w:cs="Times New Roman"/>
          <w:sz w:val="24"/>
          <w:szCs w:val="24"/>
        </w:rPr>
      </w:pPr>
    </w:p>
    <w:p w14:paraId="12FA3ED2" w14:textId="42D663AA" w:rsidR="005F33A7" w:rsidRDefault="005F33A7" w:rsidP="000018A2">
      <w:pPr>
        <w:spacing w:after="0" w:line="240" w:lineRule="auto"/>
        <w:jc w:val="both"/>
        <w:rPr>
          <w:rFonts w:ascii="Times New Roman" w:hAnsi="Times New Roman" w:cs="Times New Roman"/>
          <w:sz w:val="24"/>
          <w:szCs w:val="24"/>
        </w:rPr>
      </w:pPr>
    </w:p>
    <w:p w14:paraId="6F01244D" w14:textId="752E8746" w:rsidR="00AD1806" w:rsidRPr="00642B2A" w:rsidRDefault="00B323DA" w:rsidP="00B65914">
      <w:pPr>
        <w:shd w:val="clear" w:color="auto" w:fill="B4C6E7" w:themeFill="accent1" w:themeFillTint="66"/>
        <w:spacing w:after="0" w:line="276"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A</w:t>
      </w:r>
      <w:r w:rsidRPr="00B323DA">
        <w:rPr>
          <w:rFonts w:ascii="Arial Nova" w:hAnsi="Arial Nova" w:cs="Times New Roman"/>
          <w:b/>
          <w:bCs/>
          <w:smallCaps/>
          <w:color w:val="000F2E"/>
          <w:sz w:val="24"/>
          <w:szCs w:val="24"/>
        </w:rPr>
        <w:t>ntecedentes:</w:t>
      </w:r>
    </w:p>
    <w:p w14:paraId="65736F69" w14:textId="4A64F869" w:rsidR="00AF51B8" w:rsidRPr="00E32435" w:rsidRDefault="00AF51B8" w:rsidP="000018A2">
      <w:pPr>
        <w:spacing w:after="0" w:line="240" w:lineRule="auto"/>
        <w:jc w:val="both"/>
        <w:rPr>
          <w:rFonts w:ascii="Arial Nova" w:hAnsi="Arial Nova" w:cs="Times New Roman"/>
          <w:sz w:val="24"/>
          <w:szCs w:val="24"/>
        </w:rPr>
      </w:pPr>
    </w:p>
    <w:p w14:paraId="1255302F" w14:textId="6A9A583B" w:rsidR="00187774" w:rsidRPr="00187774" w:rsidRDefault="00187774" w:rsidP="00187774">
      <w:pPr>
        <w:spacing w:after="0" w:line="240" w:lineRule="auto"/>
        <w:jc w:val="both"/>
        <w:rPr>
          <w:rFonts w:ascii="Arial Nova" w:hAnsi="Arial Nova" w:cs="Times New Roman"/>
          <w:sz w:val="24"/>
          <w:szCs w:val="24"/>
        </w:rPr>
      </w:pPr>
      <w:r>
        <w:rPr>
          <w:rFonts w:ascii="Arial Nova" w:hAnsi="Arial Nova" w:cs="Times New Roman"/>
          <w:sz w:val="24"/>
          <w:szCs w:val="24"/>
        </w:rPr>
        <w:t>En un juicio sucesorio,</w:t>
      </w:r>
      <w:r w:rsidRPr="00187774">
        <w:rPr>
          <w:rFonts w:ascii="Arial Nova" w:hAnsi="Arial Nova" w:cs="Times New Roman"/>
          <w:sz w:val="24"/>
          <w:szCs w:val="24"/>
        </w:rPr>
        <w:t xml:space="preserve"> </w:t>
      </w:r>
      <w:r>
        <w:rPr>
          <w:rFonts w:ascii="Arial Nova" w:hAnsi="Arial Nova" w:cs="Times New Roman"/>
          <w:sz w:val="24"/>
          <w:szCs w:val="24"/>
        </w:rPr>
        <w:t xml:space="preserve">una persona </w:t>
      </w:r>
      <w:r w:rsidRPr="00187774">
        <w:rPr>
          <w:rFonts w:ascii="Arial Nova" w:hAnsi="Arial Nova" w:cs="Times New Roman"/>
          <w:sz w:val="24"/>
          <w:szCs w:val="24"/>
        </w:rPr>
        <w:t>manifestó ante órgano jurisdiccional, que los únicos herederos legítimos de</w:t>
      </w:r>
      <w:r>
        <w:rPr>
          <w:rFonts w:ascii="Arial Nova" w:hAnsi="Arial Nova" w:cs="Times New Roman"/>
          <w:sz w:val="24"/>
          <w:szCs w:val="24"/>
        </w:rPr>
        <w:t>l autor de la sucesión</w:t>
      </w:r>
      <w:r w:rsidRPr="00187774">
        <w:rPr>
          <w:rFonts w:ascii="Arial Nova" w:hAnsi="Arial Nova" w:cs="Times New Roman"/>
          <w:sz w:val="24"/>
          <w:szCs w:val="24"/>
        </w:rPr>
        <w:t xml:space="preserve"> eran él sus hermanos</w:t>
      </w:r>
      <w:r>
        <w:rPr>
          <w:rFonts w:ascii="Arial Nova" w:hAnsi="Arial Nova" w:cs="Times New Roman"/>
          <w:sz w:val="24"/>
          <w:szCs w:val="24"/>
        </w:rPr>
        <w:t>, con quienes compartían apellidos</w:t>
      </w:r>
      <w:r w:rsidRPr="00187774">
        <w:rPr>
          <w:rFonts w:ascii="Arial Nova" w:hAnsi="Arial Nova" w:cs="Times New Roman"/>
          <w:sz w:val="24"/>
          <w:szCs w:val="24"/>
        </w:rPr>
        <w:t xml:space="preserve"> y bajo protestad de decir verdad, puntualizó que no existen más descendientes del </w:t>
      </w:r>
      <w:r w:rsidRPr="00187774">
        <w:rPr>
          <w:rFonts w:ascii="Arial Nova" w:hAnsi="Arial Nova" w:cs="Times New Roman"/>
          <w:i/>
          <w:iCs/>
          <w:sz w:val="24"/>
          <w:szCs w:val="24"/>
        </w:rPr>
        <w:t>de cujus</w:t>
      </w:r>
      <w:r w:rsidRPr="00187774">
        <w:rPr>
          <w:rFonts w:ascii="Arial Nova" w:hAnsi="Arial Nova" w:cs="Times New Roman"/>
          <w:sz w:val="24"/>
          <w:szCs w:val="24"/>
        </w:rPr>
        <w:t>, esto es, ocultó la existencia de sus medios hermanos.</w:t>
      </w:r>
    </w:p>
    <w:p w14:paraId="69263AC3" w14:textId="77777777" w:rsidR="00187774" w:rsidRPr="00187774" w:rsidRDefault="00187774" w:rsidP="00187774">
      <w:pPr>
        <w:spacing w:after="0" w:line="240" w:lineRule="auto"/>
        <w:jc w:val="both"/>
        <w:rPr>
          <w:rFonts w:ascii="Arial Nova" w:hAnsi="Arial Nova" w:cs="Times New Roman"/>
          <w:sz w:val="24"/>
          <w:szCs w:val="24"/>
        </w:rPr>
      </w:pPr>
    </w:p>
    <w:p w14:paraId="7AA933D0" w14:textId="6AEAC09F" w:rsidR="00187774" w:rsidRPr="00187774" w:rsidRDefault="00187774" w:rsidP="00187774">
      <w:pPr>
        <w:spacing w:after="0" w:line="240" w:lineRule="auto"/>
        <w:jc w:val="both"/>
        <w:rPr>
          <w:rFonts w:ascii="Arial Nova" w:hAnsi="Arial Nova" w:cs="Times New Roman"/>
          <w:sz w:val="24"/>
          <w:szCs w:val="24"/>
        </w:rPr>
      </w:pPr>
      <w:r w:rsidRPr="00187774">
        <w:rPr>
          <w:rFonts w:ascii="Arial Nova" w:hAnsi="Arial Nova" w:cs="Times New Roman"/>
          <w:sz w:val="24"/>
          <w:szCs w:val="24"/>
        </w:rPr>
        <w:t xml:space="preserve">Además, proporcionó como domicilio para notificar a todos de </w:t>
      </w:r>
      <w:r>
        <w:rPr>
          <w:rFonts w:ascii="Arial Nova" w:hAnsi="Arial Nova" w:cs="Times New Roman"/>
          <w:sz w:val="24"/>
          <w:szCs w:val="24"/>
        </w:rPr>
        <w:t>los posibles herederos</w:t>
      </w:r>
      <w:r w:rsidRPr="00187774">
        <w:rPr>
          <w:rFonts w:ascii="Arial Nova" w:hAnsi="Arial Nova" w:cs="Times New Roman"/>
          <w:sz w:val="24"/>
          <w:szCs w:val="24"/>
        </w:rPr>
        <w:t>, su propio domicilio.</w:t>
      </w:r>
    </w:p>
    <w:p w14:paraId="48359EC2" w14:textId="77777777" w:rsidR="00187774" w:rsidRPr="00187774" w:rsidRDefault="00187774" w:rsidP="00187774">
      <w:pPr>
        <w:spacing w:after="0" w:line="240" w:lineRule="auto"/>
        <w:jc w:val="both"/>
        <w:rPr>
          <w:rFonts w:ascii="Arial Nova" w:hAnsi="Arial Nova" w:cs="Times New Roman"/>
          <w:sz w:val="24"/>
          <w:szCs w:val="24"/>
        </w:rPr>
      </w:pPr>
    </w:p>
    <w:p w14:paraId="4C185D68" w14:textId="499926AA" w:rsidR="00187774" w:rsidRPr="00187774" w:rsidRDefault="00187774" w:rsidP="00187774">
      <w:pPr>
        <w:spacing w:after="0" w:line="240" w:lineRule="auto"/>
        <w:jc w:val="both"/>
        <w:rPr>
          <w:rFonts w:ascii="Arial Nova" w:hAnsi="Arial Nova" w:cs="Times New Roman"/>
          <w:sz w:val="24"/>
          <w:szCs w:val="24"/>
        </w:rPr>
      </w:pPr>
      <w:r w:rsidRPr="00187774">
        <w:rPr>
          <w:rFonts w:ascii="Arial Nova" w:hAnsi="Arial Nova" w:cs="Times New Roman"/>
          <w:sz w:val="24"/>
          <w:szCs w:val="24"/>
        </w:rPr>
        <w:t xml:space="preserve">Por lo anterior, en la diligencia de notificación, la actuaria judicial entregó a </w:t>
      </w:r>
      <w:r>
        <w:rPr>
          <w:rFonts w:ascii="Arial Nova" w:hAnsi="Arial Nova" w:cs="Times New Roman"/>
          <w:sz w:val="24"/>
          <w:szCs w:val="24"/>
        </w:rPr>
        <w:t>una mujer</w:t>
      </w:r>
      <w:r w:rsidRPr="00187774">
        <w:rPr>
          <w:rFonts w:ascii="Arial Nova" w:hAnsi="Arial Nova" w:cs="Times New Roman"/>
          <w:sz w:val="24"/>
          <w:szCs w:val="24"/>
        </w:rPr>
        <w:t xml:space="preserve"> las cédulas de notificación dirigidas a </w:t>
      </w:r>
      <w:r>
        <w:rPr>
          <w:rFonts w:ascii="Arial Nova" w:hAnsi="Arial Nova" w:cs="Times New Roman"/>
          <w:sz w:val="24"/>
          <w:szCs w:val="24"/>
        </w:rPr>
        <w:t>los posibles herederos</w:t>
      </w:r>
      <w:r w:rsidRPr="00187774">
        <w:rPr>
          <w:rFonts w:ascii="Arial Nova" w:hAnsi="Arial Nova" w:cs="Times New Roman"/>
          <w:sz w:val="24"/>
          <w:szCs w:val="24"/>
        </w:rPr>
        <w:t xml:space="preserve">, toda vez que </w:t>
      </w:r>
      <w:r>
        <w:rPr>
          <w:rFonts w:ascii="Arial Nova" w:hAnsi="Arial Nova" w:cs="Times New Roman"/>
          <w:sz w:val="24"/>
          <w:szCs w:val="24"/>
        </w:rPr>
        <w:t>ésta</w:t>
      </w:r>
      <w:r w:rsidRPr="00187774">
        <w:rPr>
          <w:rFonts w:ascii="Arial Nova" w:hAnsi="Arial Nova" w:cs="Times New Roman"/>
          <w:sz w:val="24"/>
          <w:szCs w:val="24"/>
        </w:rPr>
        <w:t xml:space="preserve"> señaló “que son sus cuñados, que viven allí, pero que en ese momento no se encontraban por haber salido a trabajar”, por lo que fueron emplazados por conducto de </w:t>
      </w:r>
      <w:r>
        <w:rPr>
          <w:rFonts w:ascii="Arial Nova" w:hAnsi="Arial Nova" w:cs="Times New Roman"/>
          <w:sz w:val="24"/>
          <w:szCs w:val="24"/>
        </w:rPr>
        <w:t>dicha persona</w:t>
      </w:r>
      <w:r w:rsidRPr="00187774">
        <w:rPr>
          <w:rFonts w:ascii="Arial Nova" w:hAnsi="Arial Nova" w:cs="Times New Roman"/>
          <w:sz w:val="24"/>
          <w:szCs w:val="24"/>
        </w:rPr>
        <w:t>.</w:t>
      </w:r>
    </w:p>
    <w:p w14:paraId="5DC42BF5" w14:textId="77777777" w:rsidR="00187774" w:rsidRDefault="00187774" w:rsidP="00187774">
      <w:pPr>
        <w:spacing w:after="0" w:line="240" w:lineRule="auto"/>
        <w:jc w:val="both"/>
        <w:rPr>
          <w:rFonts w:ascii="Arial Nova" w:hAnsi="Arial Nova" w:cs="Times New Roman"/>
          <w:sz w:val="24"/>
          <w:szCs w:val="24"/>
        </w:rPr>
      </w:pPr>
    </w:p>
    <w:p w14:paraId="4ABAFCA3" w14:textId="7F01D20D" w:rsidR="00187774" w:rsidRDefault="00187774" w:rsidP="00187774">
      <w:pPr>
        <w:spacing w:after="0" w:line="240" w:lineRule="auto"/>
        <w:jc w:val="both"/>
        <w:rPr>
          <w:rFonts w:ascii="Arial Nova" w:hAnsi="Arial Nova" w:cs="Times New Roman"/>
          <w:sz w:val="24"/>
          <w:szCs w:val="24"/>
        </w:rPr>
      </w:pPr>
      <w:r w:rsidRPr="00187774">
        <w:rPr>
          <w:rFonts w:ascii="Arial Nova" w:hAnsi="Arial Nova" w:cs="Times New Roman"/>
          <w:sz w:val="24"/>
          <w:szCs w:val="24"/>
        </w:rPr>
        <w:t xml:space="preserve">Por los anteriores hechos, con las denuncias presentadas por </w:t>
      </w:r>
      <w:r>
        <w:rPr>
          <w:rFonts w:ascii="Arial Nova" w:hAnsi="Arial Nova" w:cs="Times New Roman"/>
          <w:sz w:val="24"/>
          <w:szCs w:val="24"/>
        </w:rPr>
        <w:t xml:space="preserve">algunas de las personas afectadas, se inició un proceso penal en contra de la persona que manifestó bajo protesta de decir vedad los nombres de los posibles herederos del </w:t>
      </w:r>
      <w:r>
        <w:rPr>
          <w:rFonts w:ascii="Arial Nova" w:hAnsi="Arial Nova" w:cs="Times New Roman"/>
          <w:i/>
          <w:iCs/>
          <w:sz w:val="24"/>
          <w:szCs w:val="24"/>
        </w:rPr>
        <w:t>de cujus</w:t>
      </w:r>
      <w:r>
        <w:rPr>
          <w:rFonts w:ascii="Arial Nova" w:hAnsi="Arial Nova" w:cs="Times New Roman"/>
          <w:sz w:val="24"/>
          <w:szCs w:val="24"/>
        </w:rPr>
        <w:t>, así como de la mujer que recibió las notificaciones por conducto de las cuales se emplazó a los posibles herederos.</w:t>
      </w:r>
    </w:p>
    <w:p w14:paraId="1C8A418F" w14:textId="77777777" w:rsidR="00187774" w:rsidRPr="00187774" w:rsidRDefault="00187774" w:rsidP="00187774">
      <w:pPr>
        <w:spacing w:after="0" w:line="240" w:lineRule="auto"/>
        <w:jc w:val="both"/>
        <w:rPr>
          <w:rFonts w:ascii="Arial Nova" w:hAnsi="Arial Nova" w:cs="Times New Roman"/>
          <w:sz w:val="24"/>
          <w:szCs w:val="24"/>
        </w:rPr>
      </w:pPr>
    </w:p>
    <w:p w14:paraId="71B6A7B1" w14:textId="0273AED3" w:rsidR="00C87D99" w:rsidRDefault="00187774" w:rsidP="00187774">
      <w:pPr>
        <w:spacing w:after="0" w:line="240" w:lineRule="auto"/>
        <w:jc w:val="both"/>
        <w:rPr>
          <w:rFonts w:ascii="Arial Nova" w:hAnsi="Arial Nova" w:cs="Times New Roman"/>
          <w:sz w:val="24"/>
          <w:szCs w:val="24"/>
        </w:rPr>
      </w:pPr>
      <w:r w:rsidRPr="00187774">
        <w:rPr>
          <w:rFonts w:ascii="Arial Nova" w:hAnsi="Arial Nova" w:cs="Times New Roman"/>
          <w:sz w:val="24"/>
          <w:szCs w:val="24"/>
        </w:rPr>
        <w:t>Seguida la secuela procesal, se dictó sentencia en contra de los ahora recurrentes por el delito de fraude procesal, imponiéndoles una sanción privativa de libertad de siete años, diez meses, quince días de prisión, entre otras sanciones.</w:t>
      </w:r>
      <w:r w:rsidR="00522170">
        <w:rPr>
          <w:rFonts w:ascii="Arial Nova" w:hAnsi="Arial Nova" w:cs="Times New Roman"/>
          <w:sz w:val="24"/>
          <w:szCs w:val="24"/>
        </w:rPr>
        <w:t xml:space="preserve"> </w:t>
      </w:r>
      <w:r w:rsidR="00F05047">
        <w:rPr>
          <w:rFonts w:ascii="Arial Nova" w:hAnsi="Arial Nova" w:cs="Times New Roman"/>
          <w:sz w:val="24"/>
          <w:szCs w:val="24"/>
        </w:rPr>
        <w:t xml:space="preserve">Lo anterior, de conformidad con lo </w:t>
      </w:r>
      <w:r w:rsidR="00F05047" w:rsidRPr="00F05047">
        <w:rPr>
          <w:rFonts w:ascii="Arial Nova" w:hAnsi="Arial Nova" w:cs="Times New Roman"/>
          <w:sz w:val="24"/>
          <w:szCs w:val="24"/>
        </w:rPr>
        <w:t>previsto y sancionado por el artículo 310 del Código Penal para el Distrito Federal ahora Ciudad de México</w:t>
      </w:r>
      <w:r w:rsidR="00F05047">
        <w:rPr>
          <w:rFonts w:ascii="Arial Nova" w:hAnsi="Arial Nova" w:cs="Times New Roman"/>
          <w:sz w:val="24"/>
          <w:szCs w:val="24"/>
        </w:rPr>
        <w:t>.</w:t>
      </w:r>
      <w:r w:rsidR="00F05047" w:rsidRPr="00F05047">
        <w:rPr>
          <w:rFonts w:ascii="Arial Nova" w:hAnsi="Arial Nova" w:cs="Times New Roman"/>
          <w:sz w:val="24"/>
          <w:szCs w:val="24"/>
        </w:rPr>
        <w:t xml:space="preserve"> </w:t>
      </w:r>
      <w:r w:rsidR="00522170">
        <w:rPr>
          <w:rFonts w:ascii="Arial Nova" w:hAnsi="Arial Nova" w:cs="Times New Roman"/>
          <w:sz w:val="24"/>
          <w:szCs w:val="24"/>
        </w:rPr>
        <w:t>Esta decisión fue modificada en apelación, para establecer un grado de culpabilidad menor.</w:t>
      </w:r>
    </w:p>
    <w:p w14:paraId="4B23B38B" w14:textId="77777777" w:rsidR="00522170" w:rsidRDefault="00522170" w:rsidP="00187774">
      <w:pPr>
        <w:spacing w:after="0" w:line="240" w:lineRule="auto"/>
        <w:jc w:val="both"/>
        <w:rPr>
          <w:rFonts w:ascii="Arial Nova" w:hAnsi="Arial Nova" w:cs="Times New Roman"/>
          <w:sz w:val="24"/>
          <w:szCs w:val="24"/>
        </w:rPr>
      </w:pPr>
    </w:p>
    <w:p w14:paraId="091B0B5E" w14:textId="7A41FF14" w:rsidR="00187774" w:rsidRPr="00E32435" w:rsidRDefault="00522170" w:rsidP="00187774">
      <w:pPr>
        <w:spacing w:after="0" w:line="240" w:lineRule="auto"/>
        <w:jc w:val="both"/>
        <w:rPr>
          <w:rFonts w:ascii="Arial Nova" w:hAnsi="Arial Nova" w:cs="Times New Roman"/>
          <w:sz w:val="24"/>
          <w:szCs w:val="24"/>
        </w:rPr>
      </w:pPr>
      <w:r>
        <w:rPr>
          <w:rFonts w:ascii="Arial Nova" w:hAnsi="Arial Nova" w:cs="Times New Roman"/>
          <w:sz w:val="24"/>
          <w:szCs w:val="24"/>
        </w:rPr>
        <w:t xml:space="preserve">Inconformes, los inculpados promovieron juicio de amparo directo, </w:t>
      </w:r>
      <w:r w:rsidR="00EF7297" w:rsidRPr="00EF7297">
        <w:rPr>
          <w:rFonts w:ascii="Arial Nova" w:hAnsi="Arial Nova" w:cs="Times New Roman"/>
          <w:sz w:val="24"/>
          <w:szCs w:val="24"/>
        </w:rPr>
        <w:t>en el que alegaron, entre otras cuestiones, que la última parte del primer párrafo del artículo 310 citado, en su porción normativa “…si el beneficio es de carácter económico…”, no define si tal beneficio debe ser legal o ilegal, lo cual genera incertidumbre, por lo que es contrario al principio de legalidad en su vertiente de taxatividad</w:t>
      </w:r>
      <w:r w:rsidR="00EF7297">
        <w:rPr>
          <w:rFonts w:ascii="Arial Nova" w:hAnsi="Arial Nova" w:cs="Times New Roman"/>
          <w:sz w:val="24"/>
          <w:szCs w:val="24"/>
        </w:rPr>
        <w:t>. El Tribunal Colegiado negó la protección constitucional solicitada</w:t>
      </w:r>
      <w:r>
        <w:rPr>
          <w:rFonts w:ascii="Arial Nova" w:hAnsi="Arial Nova" w:cs="Times New Roman"/>
          <w:sz w:val="24"/>
          <w:szCs w:val="24"/>
        </w:rPr>
        <w:t>, determinación contra la cual los quejosos interpusieron un recurso de revisión.</w:t>
      </w:r>
    </w:p>
    <w:p w14:paraId="71E551C1" w14:textId="77777777" w:rsidR="00BA4D8A" w:rsidRDefault="00BA4D8A" w:rsidP="00187774">
      <w:pPr>
        <w:spacing w:after="0" w:line="240" w:lineRule="auto"/>
        <w:jc w:val="both"/>
        <w:rPr>
          <w:rFonts w:ascii="Arial Nova" w:hAnsi="Arial Nova" w:cs="Times New Roman"/>
          <w:sz w:val="24"/>
          <w:szCs w:val="24"/>
        </w:rPr>
      </w:pPr>
    </w:p>
    <w:p w14:paraId="36B213DE" w14:textId="77777777" w:rsidR="00F05047" w:rsidRDefault="00F05047" w:rsidP="00187774">
      <w:pPr>
        <w:spacing w:after="0" w:line="240" w:lineRule="auto"/>
        <w:jc w:val="both"/>
        <w:rPr>
          <w:rFonts w:ascii="Arial Nova" w:hAnsi="Arial Nova" w:cs="Times New Roman"/>
          <w:sz w:val="24"/>
          <w:szCs w:val="24"/>
        </w:rPr>
      </w:pPr>
    </w:p>
    <w:p w14:paraId="6926C9D9" w14:textId="77777777" w:rsidR="00F05047" w:rsidRDefault="00F05047" w:rsidP="00187774">
      <w:pPr>
        <w:spacing w:after="0" w:line="240" w:lineRule="auto"/>
        <w:jc w:val="both"/>
        <w:rPr>
          <w:rFonts w:ascii="Arial Nova" w:hAnsi="Arial Nova" w:cs="Times New Roman"/>
          <w:sz w:val="24"/>
          <w:szCs w:val="24"/>
        </w:rPr>
      </w:pPr>
    </w:p>
    <w:p w14:paraId="63D27C97" w14:textId="77777777" w:rsidR="00F05047" w:rsidRDefault="00F05047" w:rsidP="00187774">
      <w:pPr>
        <w:spacing w:after="0" w:line="240" w:lineRule="auto"/>
        <w:jc w:val="both"/>
        <w:rPr>
          <w:rFonts w:ascii="Arial Nova" w:hAnsi="Arial Nova" w:cs="Times New Roman"/>
          <w:sz w:val="24"/>
          <w:szCs w:val="24"/>
        </w:rPr>
      </w:pPr>
    </w:p>
    <w:p w14:paraId="6BA52939" w14:textId="4CDF03DC" w:rsidR="0048582B" w:rsidRPr="008B0FEE" w:rsidRDefault="00B323DA" w:rsidP="00187774">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lastRenderedPageBreak/>
        <w:t>D</w:t>
      </w:r>
      <w:r w:rsidRPr="00B323DA">
        <w:rPr>
          <w:rFonts w:ascii="Arial Nova" w:hAnsi="Arial Nova" w:cs="Times New Roman"/>
          <w:b/>
          <w:bCs/>
          <w:smallCaps/>
          <w:color w:val="000F2E"/>
          <w:sz w:val="24"/>
          <w:szCs w:val="24"/>
        </w:rPr>
        <w:t xml:space="preserve">ecisión de la </w:t>
      </w:r>
      <w:r w:rsidRPr="00B323DA">
        <w:rPr>
          <w:rFonts w:ascii="Arial Nova" w:hAnsi="Arial Nova" w:cs="Times New Roman"/>
          <w:b/>
          <w:bCs/>
          <w:smallCaps/>
          <w:color w:val="000F2E"/>
          <w:sz w:val="28"/>
          <w:szCs w:val="28"/>
        </w:rPr>
        <w:t>S</w:t>
      </w:r>
      <w:r w:rsidRPr="00B323DA">
        <w:rPr>
          <w:rFonts w:ascii="Arial Nova" w:hAnsi="Arial Nova" w:cs="Times New Roman"/>
          <w:b/>
          <w:bCs/>
          <w:smallCaps/>
          <w:color w:val="000F2E"/>
          <w:sz w:val="24"/>
          <w:szCs w:val="24"/>
        </w:rPr>
        <w:t>ala:</w:t>
      </w:r>
    </w:p>
    <w:p w14:paraId="76D25F2C" w14:textId="77777777" w:rsidR="0048582B" w:rsidRPr="00E32435" w:rsidRDefault="0048582B" w:rsidP="00187774">
      <w:pPr>
        <w:spacing w:after="0" w:line="240" w:lineRule="auto"/>
        <w:jc w:val="both"/>
        <w:rPr>
          <w:rFonts w:ascii="Arial Nova" w:hAnsi="Arial Nova" w:cs="Times New Roman"/>
          <w:b/>
          <w:bCs/>
          <w:sz w:val="24"/>
          <w:szCs w:val="24"/>
          <w:shd w:val="clear" w:color="auto" w:fill="B4C6E7" w:themeFill="accent1" w:themeFillTint="66"/>
        </w:rPr>
      </w:pPr>
    </w:p>
    <w:p w14:paraId="70853C2B" w14:textId="77777777" w:rsidR="00522170" w:rsidRPr="00522170"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En su fallo, la Primera Sala consideró que, al enlazar cada uno de los elementos normativos que componen el precepto analizado, se advierte que, en su primera parte, está prevista la condición de punibilidad, consistente en que quien realice la conducta indebida obtenga un beneficio. Mientras que, en su segunda parte, se hace referencia al beneficio económico, producido como resultado de una sentencia o resolución favorable.</w:t>
      </w:r>
    </w:p>
    <w:p w14:paraId="42623EF3" w14:textId="77777777" w:rsidR="00522170" w:rsidRPr="00522170" w:rsidRDefault="00522170" w:rsidP="00522170">
      <w:pPr>
        <w:spacing w:after="0" w:line="240" w:lineRule="auto"/>
        <w:jc w:val="both"/>
        <w:rPr>
          <w:rFonts w:ascii="Arial Nova" w:hAnsi="Arial Nova" w:cs="Times New Roman"/>
          <w:sz w:val="24"/>
          <w:szCs w:val="24"/>
        </w:rPr>
      </w:pPr>
    </w:p>
    <w:p w14:paraId="4E15B789" w14:textId="77777777" w:rsidR="00522170" w:rsidRPr="00522170"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Al respecto, la Sala destacó que el vocablo “indebido” debe entenderse en el sentido de que el tipo penal señala deberes jurídicos a cargo de los gobernados y conductas que les están prohibidas, de manera que, ante cualquier violación de la ley o en el dejar de hacer aquello que les es exigido por el correspondiente ordenamiento, se estará ante un comportamiento ilícito.</w:t>
      </w:r>
    </w:p>
    <w:p w14:paraId="322ED2A5" w14:textId="77777777" w:rsidR="00522170" w:rsidRPr="00522170" w:rsidRDefault="00522170" w:rsidP="00522170">
      <w:pPr>
        <w:spacing w:after="0" w:line="240" w:lineRule="auto"/>
        <w:jc w:val="both"/>
        <w:rPr>
          <w:rFonts w:ascii="Arial Nova" w:hAnsi="Arial Nova" w:cs="Times New Roman"/>
          <w:sz w:val="24"/>
          <w:szCs w:val="24"/>
        </w:rPr>
      </w:pPr>
    </w:p>
    <w:p w14:paraId="4953CF8B" w14:textId="77777777" w:rsidR="00522170" w:rsidRPr="00522170"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En este sentido, la Sala estimó correcto que el legislador no precisara que el beneficio económico que pueda obtenerse deba ser legal o ilegal para configurar este delito, toda vez que dicho resultado no es el acto que como tal se sanciona, sino la acción en sí que genera un beneficio en favor de quien comete el ilícito. Además, la obtención de un beneficio de tipo económico constituye un hecho de realización incierta.</w:t>
      </w:r>
    </w:p>
    <w:p w14:paraId="2F4DEBE7" w14:textId="77777777" w:rsidR="00522170" w:rsidRPr="00522170" w:rsidRDefault="00522170" w:rsidP="00522170">
      <w:pPr>
        <w:spacing w:after="0" w:line="240" w:lineRule="auto"/>
        <w:jc w:val="both"/>
        <w:rPr>
          <w:rFonts w:ascii="Arial Nova" w:hAnsi="Arial Nova" w:cs="Times New Roman"/>
          <w:sz w:val="24"/>
          <w:szCs w:val="24"/>
        </w:rPr>
      </w:pPr>
    </w:p>
    <w:p w14:paraId="5B5FBFAE" w14:textId="77777777" w:rsidR="00522170" w:rsidRPr="00522170"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Por lo tanto, la obtención de un beneficio de tipo económico es accesorio en relación con lo que realmente se tipifica, que es la obtención de una sentencia o resolución indebida y, por ende, cualquier resultado derivado de esa sentencia o resolución será ilícito.</w:t>
      </w:r>
    </w:p>
    <w:p w14:paraId="034949FC" w14:textId="77777777" w:rsidR="00522170" w:rsidRPr="00522170" w:rsidRDefault="00522170" w:rsidP="00522170">
      <w:pPr>
        <w:spacing w:after="0" w:line="240" w:lineRule="auto"/>
        <w:jc w:val="both"/>
        <w:rPr>
          <w:rFonts w:ascii="Arial Nova" w:hAnsi="Arial Nova" w:cs="Times New Roman"/>
          <w:sz w:val="24"/>
          <w:szCs w:val="24"/>
        </w:rPr>
      </w:pPr>
    </w:p>
    <w:p w14:paraId="2DA7FEDF" w14:textId="77777777" w:rsidR="00522170" w:rsidRPr="00522170"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Ello es así, toda vez que el bien jurídico tutelado no se refiere al patrimonio de las personas, sino a la correcta administración de la justicia ante una sentencia o resolución contraria a la ley.</w:t>
      </w:r>
    </w:p>
    <w:p w14:paraId="20E97EF1" w14:textId="77777777" w:rsidR="00522170" w:rsidRPr="00522170" w:rsidRDefault="00522170" w:rsidP="00522170">
      <w:pPr>
        <w:spacing w:after="0" w:line="240" w:lineRule="auto"/>
        <w:jc w:val="both"/>
        <w:rPr>
          <w:rFonts w:ascii="Arial Nova" w:hAnsi="Arial Nova" w:cs="Times New Roman"/>
          <w:sz w:val="24"/>
          <w:szCs w:val="24"/>
        </w:rPr>
      </w:pPr>
    </w:p>
    <w:p w14:paraId="7506CF07" w14:textId="38B7AA6F" w:rsidR="00012771" w:rsidRPr="00E32435" w:rsidRDefault="00522170" w:rsidP="00522170">
      <w:pPr>
        <w:spacing w:after="0" w:line="240" w:lineRule="auto"/>
        <w:jc w:val="both"/>
        <w:rPr>
          <w:rFonts w:ascii="Arial Nova" w:hAnsi="Arial Nova" w:cs="Times New Roman"/>
          <w:sz w:val="24"/>
          <w:szCs w:val="24"/>
        </w:rPr>
      </w:pPr>
      <w:r w:rsidRPr="00522170">
        <w:rPr>
          <w:rFonts w:ascii="Arial Nova" w:hAnsi="Arial Nova" w:cs="Times New Roman"/>
          <w:sz w:val="24"/>
          <w:szCs w:val="24"/>
        </w:rPr>
        <w:t>A partir de estas razones, la Primera Sala reconoció la constitucionalidad del artículo analizado, en su porción normativa “…si el beneficio es de carácter económico…”.</w:t>
      </w:r>
    </w:p>
    <w:p w14:paraId="53D080FC" w14:textId="77777777" w:rsidR="00252246" w:rsidRPr="00E32435" w:rsidRDefault="00252246" w:rsidP="00187774">
      <w:pPr>
        <w:spacing w:after="0" w:line="240" w:lineRule="auto"/>
        <w:jc w:val="both"/>
        <w:rPr>
          <w:rFonts w:ascii="Arial Nova" w:hAnsi="Arial Nova" w:cs="Times New Roman"/>
          <w:sz w:val="24"/>
          <w:szCs w:val="24"/>
        </w:rPr>
      </w:pPr>
    </w:p>
    <w:p w14:paraId="6555BF86" w14:textId="468A3E49" w:rsidR="0048582B" w:rsidRPr="00642B2A" w:rsidRDefault="00B323DA" w:rsidP="00187774">
      <w:pPr>
        <w:shd w:val="clear" w:color="auto" w:fill="B4C6E7" w:themeFill="accent1" w:themeFillTint="66"/>
        <w:spacing w:after="0" w:line="240" w:lineRule="auto"/>
        <w:jc w:val="right"/>
        <w:rPr>
          <w:rFonts w:ascii="Arial Nova" w:hAnsi="Arial Nova" w:cs="Times New Roman"/>
          <w:smallCaps/>
          <w:color w:val="000F2E"/>
          <w:sz w:val="24"/>
          <w:szCs w:val="24"/>
        </w:rPr>
      </w:pPr>
      <w:r w:rsidRPr="00B323DA">
        <w:rPr>
          <w:rFonts w:ascii="Arial Nova" w:hAnsi="Arial Nova" w:cs="Times New Roman"/>
          <w:b/>
          <w:bCs/>
          <w:smallCaps/>
          <w:color w:val="000F2E"/>
          <w:sz w:val="28"/>
          <w:szCs w:val="28"/>
        </w:rPr>
        <w:t>V</w:t>
      </w:r>
      <w:r w:rsidRPr="00B323DA">
        <w:rPr>
          <w:rFonts w:ascii="Arial Nova" w:hAnsi="Arial Nova" w:cs="Times New Roman"/>
          <w:b/>
          <w:bCs/>
          <w:smallCaps/>
          <w:color w:val="000F2E"/>
          <w:sz w:val="24"/>
          <w:szCs w:val="24"/>
        </w:rPr>
        <w:t>otación:</w:t>
      </w:r>
    </w:p>
    <w:p w14:paraId="0C7EBC6A" w14:textId="77777777" w:rsidR="0048582B" w:rsidRPr="00E32435" w:rsidRDefault="0048582B" w:rsidP="00187774">
      <w:pPr>
        <w:spacing w:after="0" w:line="240" w:lineRule="auto"/>
        <w:jc w:val="both"/>
        <w:rPr>
          <w:rFonts w:ascii="Arial Nova" w:hAnsi="Arial Nova" w:cs="Times New Roman"/>
          <w:b/>
          <w:bCs/>
          <w:sz w:val="24"/>
          <w:szCs w:val="24"/>
          <w:shd w:val="clear" w:color="auto" w:fill="B4C6E7" w:themeFill="accent1" w:themeFillTint="66"/>
        </w:rPr>
      </w:pPr>
    </w:p>
    <w:p w14:paraId="7FD6E955" w14:textId="2B580970" w:rsidR="005651E4" w:rsidRDefault="00187774" w:rsidP="005651E4">
      <w:pPr>
        <w:spacing w:after="0" w:line="240" w:lineRule="auto"/>
        <w:jc w:val="both"/>
        <w:rPr>
          <w:rFonts w:ascii="Arial Nova" w:hAnsi="Arial Nova" w:cs="Times New Roman"/>
          <w:sz w:val="24"/>
          <w:szCs w:val="24"/>
        </w:rPr>
      </w:pPr>
      <w:r w:rsidRPr="00E32435">
        <w:rPr>
          <w:rFonts w:ascii="Arial Nova" w:hAnsi="Arial Nova" w:cs="Times New Roman"/>
          <w:sz w:val="24"/>
          <w:szCs w:val="24"/>
        </w:rPr>
        <w:t xml:space="preserve">El asunto fue aprobado en sesión de la Primera Sala del </w:t>
      </w:r>
      <w:r>
        <w:rPr>
          <w:rFonts w:ascii="Arial Nova" w:hAnsi="Arial Nova" w:cs="Times New Roman"/>
          <w:sz w:val="24"/>
          <w:szCs w:val="24"/>
        </w:rPr>
        <w:t>29</w:t>
      </w:r>
      <w:r w:rsidRPr="00E32435">
        <w:rPr>
          <w:rFonts w:ascii="Arial Nova" w:hAnsi="Arial Nova" w:cs="Times New Roman"/>
          <w:sz w:val="24"/>
          <w:szCs w:val="24"/>
        </w:rPr>
        <w:t xml:space="preserve"> de noviembre de 202</w:t>
      </w:r>
      <w:r>
        <w:rPr>
          <w:rFonts w:ascii="Arial Nova" w:hAnsi="Arial Nova" w:cs="Times New Roman"/>
          <w:sz w:val="24"/>
          <w:szCs w:val="24"/>
        </w:rPr>
        <w:t>3</w:t>
      </w:r>
      <w:r w:rsidRPr="00E32435">
        <w:rPr>
          <w:rFonts w:ascii="Arial Nova" w:hAnsi="Arial Nova" w:cs="Times New Roman"/>
          <w:sz w:val="24"/>
          <w:szCs w:val="24"/>
        </w:rPr>
        <w:t xml:space="preserve">, por </w:t>
      </w:r>
      <w:r>
        <w:rPr>
          <w:rFonts w:ascii="Arial Nova" w:hAnsi="Arial Nova" w:cs="Times New Roman"/>
          <w:sz w:val="24"/>
          <w:szCs w:val="24"/>
        </w:rPr>
        <w:t xml:space="preserve">mayoría </w:t>
      </w:r>
      <w:r w:rsidRPr="00E32435">
        <w:rPr>
          <w:rFonts w:ascii="Arial Nova" w:hAnsi="Arial Nova" w:cs="Times New Roman"/>
          <w:sz w:val="24"/>
          <w:szCs w:val="24"/>
        </w:rPr>
        <w:t xml:space="preserve">de </w:t>
      </w:r>
      <w:r>
        <w:rPr>
          <w:rFonts w:ascii="Arial Nova" w:hAnsi="Arial Nova" w:cs="Times New Roman"/>
          <w:sz w:val="24"/>
          <w:szCs w:val="24"/>
        </w:rPr>
        <w:t>cuatro</w:t>
      </w:r>
      <w:r w:rsidRPr="00E32435">
        <w:rPr>
          <w:rFonts w:ascii="Arial Nova" w:hAnsi="Arial Nova" w:cs="Times New Roman"/>
          <w:sz w:val="24"/>
          <w:szCs w:val="24"/>
        </w:rPr>
        <w:t xml:space="preserve"> votos de las </w:t>
      </w:r>
      <w:r>
        <w:rPr>
          <w:rFonts w:ascii="Arial Nova" w:hAnsi="Arial Nova" w:cs="Times New Roman"/>
          <w:sz w:val="24"/>
          <w:szCs w:val="24"/>
        </w:rPr>
        <w:t xml:space="preserve">Señoras </w:t>
      </w:r>
      <w:r w:rsidRPr="00E32435">
        <w:rPr>
          <w:rFonts w:ascii="Arial Nova" w:hAnsi="Arial Nova" w:cs="Times New Roman"/>
          <w:sz w:val="24"/>
          <w:szCs w:val="24"/>
        </w:rPr>
        <w:t xml:space="preserve">Ministras </w:t>
      </w:r>
      <w:r>
        <w:rPr>
          <w:rFonts w:ascii="Arial Nova" w:hAnsi="Arial Nova" w:cs="Times New Roman"/>
          <w:sz w:val="24"/>
          <w:szCs w:val="24"/>
        </w:rPr>
        <w:t xml:space="preserve">Loretta Ortiz Ahlf y Ana Margarita Ríos Farjat, así como de los Señores Ministros </w:t>
      </w:r>
      <w:r w:rsidRPr="00E32435">
        <w:rPr>
          <w:rFonts w:ascii="Arial Nova" w:hAnsi="Arial Nova" w:cs="Times New Roman"/>
          <w:sz w:val="24"/>
          <w:szCs w:val="24"/>
        </w:rPr>
        <w:t>Alfredo Gutiérrez Ortiz Mena</w:t>
      </w:r>
      <w:r>
        <w:rPr>
          <w:rFonts w:ascii="Arial Nova" w:hAnsi="Arial Nova" w:cs="Times New Roman"/>
          <w:sz w:val="24"/>
          <w:szCs w:val="24"/>
        </w:rPr>
        <w:t xml:space="preserve"> y</w:t>
      </w:r>
      <w:r w:rsidRPr="00E32435">
        <w:rPr>
          <w:rFonts w:ascii="Arial Nova" w:hAnsi="Arial Nova" w:cs="Times New Roman"/>
          <w:sz w:val="24"/>
          <w:szCs w:val="24"/>
        </w:rPr>
        <w:t xml:space="preserve"> Jorge Mario Pardo Rebolledo</w:t>
      </w:r>
      <w:r>
        <w:rPr>
          <w:rFonts w:ascii="Arial Nova" w:hAnsi="Arial Nova" w:cs="Times New Roman"/>
          <w:sz w:val="24"/>
          <w:szCs w:val="24"/>
        </w:rPr>
        <w:t xml:space="preserve"> (Presidente)</w:t>
      </w:r>
      <w:r w:rsidRPr="00E32435">
        <w:rPr>
          <w:rFonts w:ascii="Arial Nova" w:hAnsi="Arial Nova" w:cs="Times New Roman"/>
          <w:sz w:val="24"/>
          <w:szCs w:val="24"/>
        </w:rPr>
        <w:t>.</w:t>
      </w:r>
      <w:r>
        <w:rPr>
          <w:rFonts w:ascii="Arial Nova" w:hAnsi="Arial Nova" w:cs="Times New Roman"/>
          <w:sz w:val="24"/>
          <w:szCs w:val="24"/>
        </w:rPr>
        <w:t xml:space="preserve"> E</w:t>
      </w:r>
      <w:r w:rsidRPr="003E4163">
        <w:rPr>
          <w:rFonts w:ascii="Arial Nova" w:hAnsi="Arial Nova" w:cs="Times New Roman"/>
          <w:sz w:val="24"/>
          <w:szCs w:val="24"/>
        </w:rPr>
        <w:t>n contra</w:t>
      </w:r>
      <w:r>
        <w:rPr>
          <w:rFonts w:ascii="Arial Nova" w:hAnsi="Arial Nova" w:cs="Times New Roman"/>
          <w:sz w:val="24"/>
          <w:szCs w:val="24"/>
        </w:rPr>
        <w:t>,</w:t>
      </w:r>
      <w:r w:rsidRPr="003E4163">
        <w:rPr>
          <w:rFonts w:ascii="Arial Nova" w:hAnsi="Arial Nova" w:cs="Times New Roman"/>
          <w:sz w:val="24"/>
          <w:szCs w:val="24"/>
        </w:rPr>
        <w:t xml:space="preserve"> el emitido por el Ministro Juan Luis González Alcántara Carrancá, quien se reserva el derecho a formular voto particular.</w:t>
      </w:r>
    </w:p>
    <w:p w14:paraId="04F5A63D" w14:textId="77777777" w:rsidR="00642B2A" w:rsidRDefault="00642B2A" w:rsidP="005651E4">
      <w:pPr>
        <w:spacing w:after="0" w:line="240" w:lineRule="auto"/>
        <w:jc w:val="both"/>
        <w:rPr>
          <w:rFonts w:ascii="Arial Nova" w:hAnsi="Arial Nova" w:cs="Times New Roman"/>
          <w:sz w:val="24"/>
          <w:szCs w:val="24"/>
        </w:rPr>
      </w:pPr>
    </w:p>
    <w:p w14:paraId="0BFE51E9" w14:textId="77777777" w:rsidR="00642B2A" w:rsidRPr="00E32435" w:rsidRDefault="00642B2A" w:rsidP="005651E4">
      <w:pPr>
        <w:spacing w:after="0" w:line="240" w:lineRule="auto"/>
        <w:jc w:val="both"/>
        <w:rPr>
          <w:rFonts w:ascii="Arial Nova" w:hAnsi="Arial Nova" w:cs="Times New Roman"/>
          <w:sz w:val="24"/>
          <w:szCs w:val="24"/>
        </w:rPr>
      </w:pPr>
    </w:p>
    <w:tbl>
      <w:tblPr>
        <w:tblStyle w:val="Tablaconcuadrcula"/>
        <w:tblW w:w="0" w:type="auto"/>
        <w:tblLook w:val="04A0" w:firstRow="1" w:lastRow="0" w:firstColumn="1" w:lastColumn="0" w:noHBand="0" w:noVBand="1"/>
      </w:tblPr>
      <w:tblGrid>
        <w:gridCol w:w="8808"/>
      </w:tblGrid>
      <w:tr w:rsidR="005651E4" w:rsidRPr="00E32435" w14:paraId="3B7225C1" w14:textId="77777777" w:rsidTr="004C2D17">
        <w:tc>
          <w:tcPr>
            <w:tcW w:w="8828"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auto"/>
          </w:tcPr>
          <w:p w14:paraId="46CCD773" w14:textId="5BD76BDF" w:rsidR="005651E4" w:rsidRPr="00E32435" w:rsidRDefault="005651E4" w:rsidP="004C2D17">
            <w:pPr>
              <w:jc w:val="center"/>
              <w:rPr>
                <w:rFonts w:ascii="Arial Nova" w:hAnsi="Arial Nova" w:cs="Times New Roman"/>
                <w:sz w:val="20"/>
                <w:szCs w:val="20"/>
              </w:rPr>
            </w:pPr>
            <w:r w:rsidRPr="00AF5D98">
              <w:rPr>
                <w:rFonts w:ascii="Arial Nova" w:hAnsi="Arial Nova" w:cs="Times New Roman"/>
                <w:b/>
                <w:bCs/>
                <w:smallCaps/>
                <w:color w:val="000F2E"/>
                <w:sz w:val="20"/>
                <w:szCs w:val="20"/>
              </w:rPr>
              <w:t>Documento con fines de difusión. Las únicas fuentes oficiales son las sentencias emitidas por la Suprema Corte de Justicia de la Nación, así como el Semanario Judicial de la Federación y su Gaceta.</w:t>
            </w:r>
          </w:p>
        </w:tc>
      </w:tr>
    </w:tbl>
    <w:p w14:paraId="008BB2D1" w14:textId="77777777" w:rsidR="005651E4" w:rsidRPr="00E32435" w:rsidRDefault="005651E4" w:rsidP="0048582B">
      <w:pPr>
        <w:spacing w:after="0" w:line="240" w:lineRule="auto"/>
        <w:jc w:val="both"/>
        <w:rPr>
          <w:rFonts w:ascii="Arial Nova" w:hAnsi="Arial Nova" w:cs="Times New Roman"/>
          <w:sz w:val="24"/>
          <w:szCs w:val="24"/>
        </w:rPr>
      </w:pPr>
    </w:p>
    <w:sectPr w:rsidR="005651E4" w:rsidRPr="00E32435" w:rsidSect="00510D51">
      <w:headerReference w:type="even" r:id="rId8"/>
      <w:headerReference w:type="default" r:id="rId9"/>
      <w:footerReference w:type="even" r:id="rId10"/>
      <w:footerReference w:type="default" r:id="rId11"/>
      <w:headerReference w:type="first" r:id="rId12"/>
      <w:pgSz w:w="12240" w:h="15840"/>
      <w:pgMar w:top="1702" w:right="1701" w:bottom="170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E9065D" w14:textId="77777777" w:rsidR="00510D51" w:rsidRDefault="00510D51" w:rsidP="000A7E7B">
      <w:pPr>
        <w:spacing w:after="0" w:line="240" w:lineRule="auto"/>
      </w:pPr>
      <w:r>
        <w:separator/>
      </w:r>
    </w:p>
    <w:p w14:paraId="1BA5E7D1" w14:textId="77777777" w:rsidR="00510D51" w:rsidRDefault="00510D51"/>
  </w:endnote>
  <w:endnote w:type="continuationSeparator" w:id="0">
    <w:p w14:paraId="0F4BD292" w14:textId="77777777" w:rsidR="00510D51" w:rsidRDefault="00510D51" w:rsidP="000A7E7B">
      <w:pPr>
        <w:spacing w:after="0" w:line="240" w:lineRule="auto"/>
      </w:pPr>
      <w:r>
        <w:continuationSeparator/>
      </w:r>
    </w:p>
    <w:p w14:paraId="6AD9F6F0" w14:textId="77777777" w:rsidR="00510D51" w:rsidRDefault="00510D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9E8E" w14:textId="77777777" w:rsidR="004239C9" w:rsidRDefault="004239C9">
    <w:pPr>
      <w:pStyle w:val="Piedepgina"/>
    </w:pPr>
  </w:p>
  <w:p w14:paraId="0742D40C" w14:textId="77777777" w:rsidR="00C12CB3" w:rsidRDefault="00C12CB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6924308"/>
      <w:docPartObj>
        <w:docPartGallery w:val="Page Numbers (Bottom of Page)"/>
        <w:docPartUnique/>
      </w:docPartObj>
    </w:sdtPr>
    <w:sdtEndPr>
      <w:rPr>
        <w:rFonts w:ascii="Times New Roman" w:hAnsi="Times New Roman" w:cs="Times New Roman"/>
        <w:b/>
        <w:bCs/>
        <w:color w:val="002060"/>
        <w:sz w:val="24"/>
        <w:szCs w:val="24"/>
      </w:rPr>
    </w:sdtEndPr>
    <w:sdtContent>
      <w:p w14:paraId="57BAE159" w14:textId="25990CC1" w:rsidR="00681F98" w:rsidRPr="008B0FEE" w:rsidRDefault="00681F98" w:rsidP="00681F98">
        <w:pPr>
          <w:pStyle w:val="Piedepgina"/>
          <w:jc w:val="center"/>
          <w:rPr>
            <w:b/>
            <w:bCs/>
            <w:color w:val="002060"/>
          </w:rPr>
        </w:pPr>
        <w:r w:rsidRPr="008B0FEE">
          <w:rPr>
            <w:rFonts w:ascii="Arial Nova" w:hAnsi="Arial Nova" w:cs="Times New Roman"/>
            <w:b/>
            <w:bCs/>
            <w:color w:val="002060"/>
            <w:sz w:val="24"/>
            <w:szCs w:val="24"/>
          </w:rPr>
          <w:fldChar w:fldCharType="begin"/>
        </w:r>
        <w:r w:rsidRPr="008B0FEE">
          <w:rPr>
            <w:rFonts w:ascii="Arial Nova" w:hAnsi="Arial Nova" w:cs="Times New Roman"/>
            <w:b/>
            <w:bCs/>
            <w:color w:val="002060"/>
            <w:sz w:val="24"/>
            <w:szCs w:val="24"/>
          </w:rPr>
          <w:instrText>PAGE   \* MERGEFORMAT</w:instrText>
        </w:r>
        <w:r w:rsidRPr="008B0FEE">
          <w:rPr>
            <w:rFonts w:ascii="Arial Nova" w:hAnsi="Arial Nova" w:cs="Times New Roman"/>
            <w:b/>
            <w:bCs/>
            <w:color w:val="002060"/>
            <w:sz w:val="24"/>
            <w:szCs w:val="24"/>
          </w:rPr>
          <w:fldChar w:fldCharType="separate"/>
        </w:r>
        <w:r w:rsidRPr="008B0FEE">
          <w:rPr>
            <w:rFonts w:ascii="Arial Nova" w:hAnsi="Arial Nova" w:cs="Times New Roman"/>
            <w:b/>
            <w:bCs/>
            <w:color w:val="002060"/>
            <w:sz w:val="24"/>
            <w:szCs w:val="24"/>
            <w:lang w:val="es-ES"/>
          </w:rPr>
          <w:t>2</w:t>
        </w:r>
        <w:r w:rsidRPr="008B0FEE">
          <w:rPr>
            <w:rFonts w:ascii="Arial Nova" w:hAnsi="Arial Nova" w:cs="Times New Roman"/>
            <w:b/>
            <w:bCs/>
            <w:color w:val="002060"/>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FD6CF" w14:textId="77777777" w:rsidR="00510D51" w:rsidRDefault="00510D51" w:rsidP="000A7E7B">
      <w:pPr>
        <w:spacing w:after="0" w:line="240" w:lineRule="auto"/>
      </w:pPr>
      <w:r>
        <w:separator/>
      </w:r>
    </w:p>
    <w:p w14:paraId="1D706837" w14:textId="77777777" w:rsidR="00510D51" w:rsidRDefault="00510D51"/>
  </w:footnote>
  <w:footnote w:type="continuationSeparator" w:id="0">
    <w:p w14:paraId="43BCB5D0" w14:textId="77777777" w:rsidR="00510D51" w:rsidRDefault="00510D51" w:rsidP="000A7E7B">
      <w:pPr>
        <w:spacing w:after="0" w:line="240" w:lineRule="auto"/>
      </w:pPr>
      <w:r>
        <w:continuationSeparator/>
      </w:r>
    </w:p>
    <w:p w14:paraId="3997B638" w14:textId="77777777" w:rsidR="00510D51" w:rsidRDefault="00510D5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363C" w14:textId="77777777" w:rsidR="004239C9" w:rsidRDefault="004239C9">
    <w:pPr>
      <w:pStyle w:val="Encabezado"/>
    </w:pPr>
  </w:p>
  <w:p w14:paraId="68851EB9" w14:textId="77777777" w:rsidR="00C12CB3" w:rsidRDefault="00C12CB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3F8F" w14:textId="0C0462EF" w:rsidR="0048582B" w:rsidRPr="00046D48" w:rsidRDefault="0048582B" w:rsidP="00595325">
    <w:pPr>
      <w:pStyle w:val="Encabezado"/>
      <w:ind w:left="3686"/>
      <w:jc w:val="right"/>
      <w:rPr>
        <w:rFonts w:ascii="Arial Nova" w:hAnsi="Arial Nova" w:cs="Times New Roman"/>
        <w:b/>
        <w:bCs/>
        <w:color w:val="002060"/>
        <w:sz w:val="20"/>
        <w:szCs w:val="20"/>
      </w:rPr>
    </w:pPr>
    <w:r w:rsidRPr="00046D48">
      <w:rPr>
        <w:rFonts w:ascii="Arial Nova" w:hAnsi="Arial Nova" w:cs="Times New Roman"/>
        <w:b/>
        <w:bCs/>
        <w:color w:val="002060"/>
        <w:sz w:val="20"/>
        <w:szCs w:val="20"/>
      </w:rPr>
      <w:t>SENTENCIAS RELEVANTES DE LA PRIMERA SALA</w:t>
    </w:r>
  </w:p>
  <w:p w14:paraId="601B28C2" w14:textId="5C8A96EE" w:rsidR="0048582B" w:rsidRPr="00046D48" w:rsidRDefault="0048582B" w:rsidP="00595325">
    <w:pPr>
      <w:pStyle w:val="Encabezado"/>
      <w:ind w:left="3686"/>
      <w:jc w:val="right"/>
      <w:rPr>
        <w:rFonts w:ascii="Arial Nova" w:hAnsi="Arial Nova"/>
        <w:color w:val="002060"/>
        <w:sz w:val="20"/>
        <w:szCs w:val="20"/>
      </w:rPr>
    </w:pPr>
    <w:r w:rsidRPr="00046D48">
      <w:rPr>
        <w:rFonts w:ascii="Arial Nova" w:hAnsi="Arial Nova" w:cs="Times New Roman"/>
        <w:b/>
        <w:bCs/>
        <w:color w:val="002060"/>
        <w:sz w:val="20"/>
        <w:szCs w:val="20"/>
      </w:rPr>
      <w:t xml:space="preserve">AMPARO </w:t>
    </w:r>
    <w:r w:rsidR="00595325">
      <w:rPr>
        <w:rFonts w:ascii="Arial Nova" w:hAnsi="Arial Nova" w:cs="Times New Roman"/>
        <w:b/>
        <w:bCs/>
        <w:color w:val="002060"/>
        <w:sz w:val="20"/>
        <w:szCs w:val="20"/>
      </w:rPr>
      <w:t xml:space="preserve">DIRECTO </w:t>
    </w:r>
    <w:r w:rsidRPr="00046D48">
      <w:rPr>
        <w:rFonts w:ascii="Arial Nova" w:hAnsi="Arial Nova" w:cs="Times New Roman"/>
        <w:b/>
        <w:bCs/>
        <w:color w:val="002060"/>
        <w:sz w:val="20"/>
        <w:szCs w:val="20"/>
      </w:rPr>
      <w:t xml:space="preserve">EN REVISIÓN </w:t>
    </w:r>
    <w:r w:rsidR="00187774">
      <w:rPr>
        <w:rFonts w:ascii="Arial Nova" w:hAnsi="Arial Nova" w:cs="Times New Roman"/>
        <w:b/>
        <w:bCs/>
        <w:color w:val="002060"/>
        <w:sz w:val="20"/>
        <w:szCs w:val="20"/>
      </w:rPr>
      <w:t>2674</w:t>
    </w:r>
    <w:r w:rsidRPr="00046D48">
      <w:rPr>
        <w:rFonts w:ascii="Arial Nova" w:hAnsi="Arial Nova" w:cs="Times New Roman"/>
        <w:b/>
        <w:bCs/>
        <w:color w:val="002060"/>
        <w:sz w:val="20"/>
        <w:szCs w:val="20"/>
      </w:rPr>
      <w:t>/202</w:t>
    </w:r>
    <w:r w:rsidR="00187774">
      <w:rPr>
        <w:rFonts w:ascii="Arial Nova" w:hAnsi="Arial Nova" w:cs="Times New Roman"/>
        <w:b/>
        <w:bCs/>
        <w:color w:val="002060"/>
        <w:sz w:val="20"/>
        <w:szCs w:val="20"/>
      </w:rPr>
      <w:t>3</w:t>
    </w:r>
  </w:p>
  <w:p w14:paraId="1935EA7D" w14:textId="77777777" w:rsidR="00C12CB3" w:rsidRDefault="00C12CB3" w:rsidP="00595325">
    <w:pPr>
      <w:ind w:left="3686"/>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785EB" w14:textId="77777777" w:rsidR="00B64D08" w:rsidRPr="0051268B" w:rsidRDefault="00B64D08" w:rsidP="00B64D08">
    <w:pPr>
      <w:shd w:val="clear" w:color="auto" w:fill="002060"/>
      <w:spacing w:after="0" w:line="240" w:lineRule="auto"/>
      <w:rPr>
        <w:rFonts w:ascii="Baskerville Old Face" w:hAnsi="Baskerville Old Face" w:cs="Times New Roman"/>
        <w:color w:val="002060"/>
      </w:rPr>
    </w:pPr>
    <w:bookmarkStart w:id="4" w:name="_Hlk133506313"/>
    <w:r w:rsidRPr="0051268B">
      <w:rPr>
        <w:noProof/>
        <w:color w:val="002060"/>
      </w:rPr>
      <w:drawing>
        <wp:anchor distT="0" distB="0" distL="114300" distR="114300" simplePos="0" relativeHeight="251659264" behindDoc="0" locked="0" layoutInCell="1" allowOverlap="1" wp14:anchorId="2FA5DBB2" wp14:editId="58A3A8AC">
          <wp:simplePos x="0" y="0"/>
          <wp:positionH relativeFrom="column">
            <wp:posOffset>615315</wp:posOffset>
          </wp:positionH>
          <wp:positionV relativeFrom="paragraph">
            <wp:posOffset>92710</wp:posOffset>
          </wp:positionV>
          <wp:extent cx="975896" cy="895350"/>
          <wp:effectExtent l="0" t="0" r="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975896" cy="895350"/>
                  </a:xfrm>
                  <a:prstGeom prst="rect">
                    <a:avLst/>
                  </a:prstGeom>
                </pic:spPr>
              </pic:pic>
            </a:graphicData>
          </a:graphic>
          <wp14:sizeRelH relativeFrom="margin">
            <wp14:pctWidth>0</wp14:pctWidth>
          </wp14:sizeRelH>
          <wp14:sizeRelV relativeFrom="margin">
            <wp14:pctHeight>0</wp14:pctHeight>
          </wp14:sizeRelV>
        </wp:anchor>
      </w:drawing>
    </w:r>
    <w:r w:rsidR="00B323DA" w:rsidRPr="0051268B">
      <w:rPr>
        <w:noProof/>
        <w:color w:val="002060"/>
      </w:rPr>
      <mc:AlternateContent>
        <mc:Choice Requires="wps">
          <w:drawing>
            <wp:anchor distT="0" distB="0" distL="114300" distR="114300" simplePos="0" relativeHeight="251660288" behindDoc="0" locked="0" layoutInCell="1" allowOverlap="1" wp14:anchorId="165C1225" wp14:editId="1D186417">
              <wp:simplePos x="0" y="0"/>
              <wp:positionH relativeFrom="column">
                <wp:posOffset>2158365</wp:posOffset>
              </wp:positionH>
              <wp:positionV relativeFrom="paragraph">
                <wp:posOffset>92710</wp:posOffset>
              </wp:positionV>
              <wp:extent cx="0" cy="828675"/>
              <wp:effectExtent l="0" t="0" r="38100" b="28575"/>
              <wp:wrapNone/>
              <wp:docPr id="5" name="Conector recto 5"/>
              <wp:cNvGraphicFramePr/>
              <a:graphic xmlns:a="http://schemas.openxmlformats.org/drawingml/2006/main">
                <a:graphicData uri="http://schemas.microsoft.com/office/word/2010/wordprocessingShape">
                  <wps:wsp>
                    <wps:cNvCnPr/>
                    <wps:spPr>
                      <a:xfrm>
                        <a:off x="0" y="0"/>
                        <a:ext cx="0" cy="828675"/>
                      </a:xfrm>
                      <a:prstGeom prst="line">
                        <a:avLst/>
                      </a:prstGeom>
                      <a:ln w="1905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9F856B8" id="Conector recto 5"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69.95pt,7.3pt" to="169.95pt,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" strokecolor="white [3212]" strokeweight="1.5pt">
              <v:stroke joinstyle="miter"/>
            </v:line>
          </w:pict>
        </mc:Fallback>
      </mc:AlternateContent>
    </w:r>
    <w:r w:rsidR="00B323DA" w:rsidRPr="0051268B">
      <w:rPr>
        <w:rFonts w:ascii="Baskerville Old Face" w:hAnsi="Baskerville Old Face" w:cs="Times New Roman"/>
        <w:color w:val="002060"/>
        <w:sz w:val="52"/>
        <w:szCs w:val="52"/>
      </w:rPr>
      <w:t xml:space="preserve">                      </w:t>
    </w:r>
    <w:bookmarkEnd w:id="4"/>
    <w:r w:rsidRPr="0051268B">
      <w:rPr>
        <w:rFonts w:ascii="Baskerville Old Face" w:hAnsi="Baskerville Old Face" w:cs="Times New Roman"/>
        <w:color w:val="002060"/>
        <w:sz w:val="52"/>
        <w:szCs w:val="52"/>
      </w:rPr>
      <w:t xml:space="preserve">       </w:t>
    </w:r>
  </w:p>
  <w:p w14:paraId="4B806C28" w14:textId="56FD1795" w:rsidR="00B64D08" w:rsidRDefault="00B64D08" w:rsidP="00B64D08">
    <w:pPr>
      <w:shd w:val="clear" w:color="auto" w:fill="002060"/>
      <w:spacing w:after="0" w:line="240" w:lineRule="auto"/>
      <w:rPr>
        <w:rFonts w:ascii="Baskerville Old Face" w:hAnsi="Baskerville Old Face" w:cs="Times New Roman"/>
        <w:b/>
        <w:bCs/>
        <w:color w:val="FFFFFF" w:themeColor="background1"/>
        <w:sz w:val="36"/>
        <w:szCs w:val="36"/>
      </w:rPr>
    </w:pPr>
    <w:r w:rsidRPr="0051268B">
      <w:rPr>
        <w:rFonts w:ascii="Baskerville Old Face" w:hAnsi="Baskerville Old Face" w:cs="Times New Roman"/>
        <w:b/>
        <w:bCs/>
        <w:color w:val="002060"/>
        <w:sz w:val="48"/>
        <w:szCs w:val="48"/>
      </w:rPr>
      <w:t xml:space="preserve">                               </w:t>
    </w:r>
    <w:r w:rsidRPr="00B64D08">
      <w:rPr>
        <w:rFonts w:ascii="Baskerville Old Face" w:hAnsi="Baskerville Old Face" w:cs="Times New Roman"/>
        <w:b/>
        <w:bCs/>
        <w:color w:val="FFFFFF" w:themeColor="background1"/>
        <w:sz w:val="48"/>
        <w:szCs w:val="48"/>
      </w:rPr>
      <w:t>S</w:t>
    </w:r>
    <w:r w:rsidRPr="00B64D08">
      <w:rPr>
        <w:rFonts w:ascii="Baskerville Old Face" w:hAnsi="Baskerville Old Face" w:cs="Times New Roman"/>
        <w:color w:val="FFFFFF" w:themeColor="background1"/>
        <w:sz w:val="36"/>
        <w:szCs w:val="36"/>
      </w:rPr>
      <w:t>ENTENCIAS</w:t>
    </w:r>
    <w:r w:rsidRPr="0051268B">
      <w:rPr>
        <w:rFonts w:ascii="Baskerville Old Face" w:hAnsi="Baskerville Old Face" w:cs="Times New Roman"/>
        <w:b/>
        <w:bCs/>
        <w:color w:val="002060"/>
        <w:sz w:val="40"/>
        <w:szCs w:val="40"/>
      </w:rPr>
      <w:t xml:space="preserve"> </w:t>
    </w:r>
    <w:r w:rsidRPr="00B64D08">
      <w:rPr>
        <w:rFonts w:ascii="Baskerville Old Face" w:hAnsi="Baskerville Old Face" w:cs="Times New Roman"/>
        <w:b/>
        <w:bCs/>
        <w:color w:val="FFFFFF" w:themeColor="background1"/>
        <w:sz w:val="48"/>
        <w:szCs w:val="48"/>
      </w:rPr>
      <w:t>R</w:t>
    </w:r>
    <w:r w:rsidRPr="00B64D08">
      <w:rPr>
        <w:rFonts w:ascii="Baskerville Old Face" w:hAnsi="Baskerville Old Face" w:cs="Times New Roman"/>
        <w:color w:val="FFFFFF" w:themeColor="background1"/>
        <w:sz w:val="36"/>
        <w:szCs w:val="36"/>
      </w:rPr>
      <w:t>ELEVANTES</w:t>
    </w:r>
  </w:p>
  <w:p w14:paraId="24F03ECC" w14:textId="04BD8EE8" w:rsidR="00B323DA" w:rsidRPr="0051268B" w:rsidRDefault="00B64D08" w:rsidP="00B64D08">
    <w:pPr>
      <w:shd w:val="clear" w:color="auto" w:fill="002060"/>
      <w:spacing w:after="0" w:line="240" w:lineRule="auto"/>
      <w:rPr>
        <w:rFonts w:ascii="Baskerville Old Face" w:hAnsi="Baskerville Old Face" w:cs="Times New Roman"/>
        <w:color w:val="002060"/>
        <w:sz w:val="20"/>
        <w:szCs w:val="20"/>
      </w:rPr>
    </w:pPr>
    <w:r w:rsidRPr="0051268B">
      <w:rPr>
        <w:rFonts w:ascii="Baskerville Old Face" w:hAnsi="Baskerville Old Face" w:cs="Times New Roman"/>
        <w:b/>
        <w:bCs/>
        <w:color w:val="002060"/>
        <w:sz w:val="52"/>
        <w:szCs w:val="52"/>
      </w:rPr>
      <w:t xml:space="preserve">                                   </w:t>
    </w:r>
    <w:r w:rsidRPr="00B64D08">
      <w:rPr>
        <w:rFonts w:ascii="Baskerville Old Face" w:hAnsi="Baskerville Old Face" w:cs="Times New Roman"/>
        <w:b/>
        <w:bCs/>
        <w:color w:val="FFFFFF" w:themeColor="background1"/>
        <w:sz w:val="52"/>
        <w:szCs w:val="52"/>
      </w:rPr>
      <w:t>P</w:t>
    </w:r>
    <w:r w:rsidRPr="00B64D08">
      <w:rPr>
        <w:rFonts w:ascii="Baskerville Old Face" w:hAnsi="Baskerville Old Face" w:cs="Times New Roman"/>
        <w:color w:val="FFFFFF" w:themeColor="background1"/>
        <w:sz w:val="36"/>
        <w:szCs w:val="36"/>
      </w:rPr>
      <w:t>RIMERA</w:t>
    </w:r>
    <w:r w:rsidRPr="0051268B">
      <w:rPr>
        <w:rFonts w:ascii="Baskerville Old Face" w:hAnsi="Baskerville Old Face" w:cs="Times New Roman"/>
        <w:color w:val="002060"/>
        <w:sz w:val="48"/>
        <w:szCs w:val="48"/>
      </w:rPr>
      <w:t xml:space="preserve"> </w:t>
    </w:r>
    <w:r w:rsidRPr="00B64D08">
      <w:rPr>
        <w:rFonts w:ascii="Baskerville Old Face" w:hAnsi="Baskerville Old Face" w:cs="Times New Roman"/>
        <w:color w:val="FFFFFF" w:themeColor="background1"/>
        <w:sz w:val="52"/>
        <w:szCs w:val="52"/>
      </w:rPr>
      <w:t>S</w:t>
    </w:r>
    <w:r w:rsidRPr="00B64D08">
      <w:rPr>
        <w:rFonts w:ascii="Baskerville Old Face" w:hAnsi="Baskerville Old Face" w:cs="Times New Roman"/>
        <w:color w:val="FFFFFF" w:themeColor="background1"/>
        <w:sz w:val="36"/>
        <w:szCs w:val="36"/>
      </w:rPr>
      <w:t>ALA</w:t>
    </w:r>
    <w:r w:rsidRPr="0051268B">
      <w:rPr>
        <w:rFonts w:ascii="Baskerville Old Face" w:hAnsi="Baskerville Old Face" w:cs="Times New Roman"/>
        <w:color w:val="002060"/>
        <w:sz w:val="48"/>
        <w:szCs w:val="48"/>
      </w:rPr>
      <w:t xml:space="preserve">   </w:t>
    </w:r>
  </w:p>
  <w:p w14:paraId="4291837B" w14:textId="16D36AFE" w:rsidR="00B323DA" w:rsidRPr="0051268B" w:rsidRDefault="00B323DA" w:rsidP="00B323DA">
    <w:pPr>
      <w:shd w:val="clear" w:color="auto" w:fill="002060"/>
      <w:spacing w:after="0" w:line="240" w:lineRule="auto"/>
      <w:rPr>
        <w:rFonts w:ascii="Baskerville Old Face" w:hAnsi="Baskerville Old Face" w:cs="Times New Roman"/>
        <w:color w:val="00206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641978"/>
    <w:multiLevelType w:val="hybridMultilevel"/>
    <w:tmpl w:val="67AA6BA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63076156"/>
    <w:multiLevelType w:val="hybridMultilevel"/>
    <w:tmpl w:val="DCFA0798"/>
    <w:lvl w:ilvl="0" w:tplc="B1D6FCC6">
      <w:start w:val="1"/>
      <w:numFmt w:val="decimal"/>
      <w:lvlText w:val="%1."/>
      <w:lvlJc w:val="left"/>
      <w:pPr>
        <w:ind w:left="360" w:hanging="360"/>
      </w:pPr>
      <w:rPr>
        <w:rFonts w:ascii="Arial" w:hAnsi="Arial" w:cs="Arial" w:hint="default"/>
        <w:b w:val="0"/>
        <w:bCs/>
        <w:sz w:val="26"/>
        <w:szCs w:val="26"/>
      </w:rPr>
    </w:lvl>
    <w:lvl w:ilvl="1" w:tplc="080A0019">
      <w:start w:val="1"/>
      <w:numFmt w:val="lowerLetter"/>
      <w:lvlText w:val="%2."/>
      <w:lvlJc w:val="left"/>
      <w:pPr>
        <w:ind w:left="2148" w:hanging="360"/>
      </w:pPr>
    </w:lvl>
    <w:lvl w:ilvl="2" w:tplc="080A001B">
      <w:start w:val="1"/>
      <w:numFmt w:val="lowerRoman"/>
      <w:lvlText w:val="%3."/>
      <w:lvlJc w:val="right"/>
      <w:pPr>
        <w:ind w:left="2868" w:hanging="180"/>
      </w:pPr>
    </w:lvl>
    <w:lvl w:ilvl="3" w:tplc="080A000F">
      <w:start w:val="1"/>
      <w:numFmt w:val="decimal"/>
      <w:lvlText w:val="%4."/>
      <w:lvlJc w:val="left"/>
      <w:pPr>
        <w:ind w:left="3588" w:hanging="360"/>
      </w:pPr>
    </w:lvl>
    <w:lvl w:ilvl="4" w:tplc="080A0019">
      <w:start w:val="1"/>
      <w:numFmt w:val="lowerLetter"/>
      <w:lvlText w:val="%5."/>
      <w:lvlJc w:val="left"/>
      <w:pPr>
        <w:ind w:left="4308" w:hanging="360"/>
      </w:pPr>
    </w:lvl>
    <w:lvl w:ilvl="5" w:tplc="080A001B">
      <w:start w:val="1"/>
      <w:numFmt w:val="lowerRoman"/>
      <w:lvlText w:val="%6."/>
      <w:lvlJc w:val="right"/>
      <w:pPr>
        <w:ind w:left="5028" w:hanging="180"/>
      </w:pPr>
    </w:lvl>
    <w:lvl w:ilvl="6" w:tplc="080A000F">
      <w:start w:val="1"/>
      <w:numFmt w:val="decimal"/>
      <w:lvlText w:val="%7."/>
      <w:lvlJc w:val="left"/>
      <w:pPr>
        <w:ind w:left="5748" w:hanging="360"/>
      </w:pPr>
    </w:lvl>
    <w:lvl w:ilvl="7" w:tplc="080A0019">
      <w:start w:val="1"/>
      <w:numFmt w:val="lowerLetter"/>
      <w:lvlText w:val="%8."/>
      <w:lvlJc w:val="left"/>
      <w:pPr>
        <w:ind w:left="6468" w:hanging="360"/>
      </w:pPr>
    </w:lvl>
    <w:lvl w:ilvl="8" w:tplc="080A001B">
      <w:start w:val="1"/>
      <w:numFmt w:val="lowerRoman"/>
      <w:lvlText w:val="%9."/>
      <w:lvlJc w:val="right"/>
      <w:pPr>
        <w:ind w:left="7188" w:hanging="180"/>
      </w:pPr>
    </w:lvl>
  </w:abstractNum>
  <w:num w:numId="1" w16cid:durableId="829909688">
    <w:abstractNumId w:val="1"/>
  </w:num>
  <w:num w:numId="2" w16cid:durableId="2887112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B23"/>
    <w:rsid w:val="000015D9"/>
    <w:rsid w:val="000018A2"/>
    <w:rsid w:val="000044C6"/>
    <w:rsid w:val="00012771"/>
    <w:rsid w:val="00023E29"/>
    <w:rsid w:val="00024AF3"/>
    <w:rsid w:val="00026C6C"/>
    <w:rsid w:val="00037474"/>
    <w:rsid w:val="0004681E"/>
    <w:rsid w:val="00046D48"/>
    <w:rsid w:val="000474D9"/>
    <w:rsid w:val="000614E2"/>
    <w:rsid w:val="000643FD"/>
    <w:rsid w:val="00072FD1"/>
    <w:rsid w:val="00080AAC"/>
    <w:rsid w:val="00084403"/>
    <w:rsid w:val="000911E5"/>
    <w:rsid w:val="00093A38"/>
    <w:rsid w:val="000A0E87"/>
    <w:rsid w:val="000A5B78"/>
    <w:rsid w:val="000A67FF"/>
    <w:rsid w:val="000A7E7B"/>
    <w:rsid w:val="000B04DC"/>
    <w:rsid w:val="000B39EC"/>
    <w:rsid w:val="000B569F"/>
    <w:rsid w:val="000C3CBD"/>
    <w:rsid w:val="000D1A12"/>
    <w:rsid w:val="000D2EBD"/>
    <w:rsid w:val="000D4803"/>
    <w:rsid w:val="000D5F59"/>
    <w:rsid w:val="000E0245"/>
    <w:rsid w:val="000E3651"/>
    <w:rsid w:val="000E64E7"/>
    <w:rsid w:val="000F00C8"/>
    <w:rsid w:val="000F495F"/>
    <w:rsid w:val="00100C8F"/>
    <w:rsid w:val="00101718"/>
    <w:rsid w:val="001058A3"/>
    <w:rsid w:val="00111977"/>
    <w:rsid w:val="00114E7A"/>
    <w:rsid w:val="00117441"/>
    <w:rsid w:val="00121276"/>
    <w:rsid w:val="00121D2D"/>
    <w:rsid w:val="001268F0"/>
    <w:rsid w:val="00126C0B"/>
    <w:rsid w:val="00134364"/>
    <w:rsid w:val="00146208"/>
    <w:rsid w:val="00155F2E"/>
    <w:rsid w:val="0016052F"/>
    <w:rsid w:val="00160CAC"/>
    <w:rsid w:val="001621BB"/>
    <w:rsid w:val="00162364"/>
    <w:rsid w:val="001624A8"/>
    <w:rsid w:val="001633B5"/>
    <w:rsid w:val="00165F78"/>
    <w:rsid w:val="00166644"/>
    <w:rsid w:val="001724BA"/>
    <w:rsid w:val="00176353"/>
    <w:rsid w:val="00176FF3"/>
    <w:rsid w:val="00177692"/>
    <w:rsid w:val="0018629A"/>
    <w:rsid w:val="00187774"/>
    <w:rsid w:val="00190BB8"/>
    <w:rsid w:val="00191624"/>
    <w:rsid w:val="00193595"/>
    <w:rsid w:val="001936AC"/>
    <w:rsid w:val="001949FA"/>
    <w:rsid w:val="00197921"/>
    <w:rsid w:val="001A0621"/>
    <w:rsid w:val="001A49C7"/>
    <w:rsid w:val="001A59DF"/>
    <w:rsid w:val="001A67C7"/>
    <w:rsid w:val="001A7541"/>
    <w:rsid w:val="001C01EC"/>
    <w:rsid w:val="001C0F20"/>
    <w:rsid w:val="001C63EB"/>
    <w:rsid w:val="001D13B2"/>
    <w:rsid w:val="001D21EB"/>
    <w:rsid w:val="001D4B75"/>
    <w:rsid w:val="001D5AB2"/>
    <w:rsid w:val="001E084E"/>
    <w:rsid w:val="001E25BF"/>
    <w:rsid w:val="001E577C"/>
    <w:rsid w:val="001E64C1"/>
    <w:rsid w:val="001E75D9"/>
    <w:rsid w:val="001F200E"/>
    <w:rsid w:val="001F378E"/>
    <w:rsid w:val="001F4F5F"/>
    <w:rsid w:val="00203CAF"/>
    <w:rsid w:val="00205864"/>
    <w:rsid w:val="00206824"/>
    <w:rsid w:val="00210867"/>
    <w:rsid w:val="00210EC4"/>
    <w:rsid w:val="00212791"/>
    <w:rsid w:val="00212E34"/>
    <w:rsid w:val="002134A3"/>
    <w:rsid w:val="00215E7E"/>
    <w:rsid w:val="00217872"/>
    <w:rsid w:val="002253EA"/>
    <w:rsid w:val="00225959"/>
    <w:rsid w:val="00226176"/>
    <w:rsid w:val="00226830"/>
    <w:rsid w:val="00227105"/>
    <w:rsid w:val="0023060C"/>
    <w:rsid w:val="0023754B"/>
    <w:rsid w:val="002376B7"/>
    <w:rsid w:val="00241663"/>
    <w:rsid w:val="0024330C"/>
    <w:rsid w:val="00244FC7"/>
    <w:rsid w:val="002502AE"/>
    <w:rsid w:val="00252246"/>
    <w:rsid w:val="00252CBA"/>
    <w:rsid w:val="00252F5F"/>
    <w:rsid w:val="00253A10"/>
    <w:rsid w:val="00253BAC"/>
    <w:rsid w:val="00254D5B"/>
    <w:rsid w:val="00255622"/>
    <w:rsid w:val="0025579D"/>
    <w:rsid w:val="0025754D"/>
    <w:rsid w:val="00261987"/>
    <w:rsid w:val="0026783A"/>
    <w:rsid w:val="00275EB5"/>
    <w:rsid w:val="00275F4F"/>
    <w:rsid w:val="00283A9B"/>
    <w:rsid w:val="002901D6"/>
    <w:rsid w:val="00291AB0"/>
    <w:rsid w:val="00292788"/>
    <w:rsid w:val="00296126"/>
    <w:rsid w:val="0029700B"/>
    <w:rsid w:val="002A6F62"/>
    <w:rsid w:val="002B0FC2"/>
    <w:rsid w:val="002B6947"/>
    <w:rsid w:val="002C0C35"/>
    <w:rsid w:val="002C53C2"/>
    <w:rsid w:val="002D0BA1"/>
    <w:rsid w:val="002D2054"/>
    <w:rsid w:val="002D458E"/>
    <w:rsid w:val="002D6E50"/>
    <w:rsid w:val="002E2DF0"/>
    <w:rsid w:val="002E4082"/>
    <w:rsid w:val="002E68E4"/>
    <w:rsid w:val="002F024C"/>
    <w:rsid w:val="002F4387"/>
    <w:rsid w:val="002F5189"/>
    <w:rsid w:val="002F5E8B"/>
    <w:rsid w:val="002F6958"/>
    <w:rsid w:val="00300F95"/>
    <w:rsid w:val="00302903"/>
    <w:rsid w:val="00315E53"/>
    <w:rsid w:val="00320183"/>
    <w:rsid w:val="003213F0"/>
    <w:rsid w:val="00322A63"/>
    <w:rsid w:val="00323C00"/>
    <w:rsid w:val="00324F35"/>
    <w:rsid w:val="003266E1"/>
    <w:rsid w:val="00326989"/>
    <w:rsid w:val="00332C63"/>
    <w:rsid w:val="00333908"/>
    <w:rsid w:val="00334473"/>
    <w:rsid w:val="00340154"/>
    <w:rsid w:val="00340F79"/>
    <w:rsid w:val="00344F45"/>
    <w:rsid w:val="00345379"/>
    <w:rsid w:val="003456DC"/>
    <w:rsid w:val="003464B8"/>
    <w:rsid w:val="003468DB"/>
    <w:rsid w:val="00346BA5"/>
    <w:rsid w:val="00346BA6"/>
    <w:rsid w:val="00354BF0"/>
    <w:rsid w:val="003649F3"/>
    <w:rsid w:val="00366734"/>
    <w:rsid w:val="00366748"/>
    <w:rsid w:val="00376697"/>
    <w:rsid w:val="003815E4"/>
    <w:rsid w:val="003826D1"/>
    <w:rsid w:val="0038311F"/>
    <w:rsid w:val="00385DE5"/>
    <w:rsid w:val="00392EB3"/>
    <w:rsid w:val="00394C47"/>
    <w:rsid w:val="003A4A72"/>
    <w:rsid w:val="003A672A"/>
    <w:rsid w:val="003B0C5A"/>
    <w:rsid w:val="003B33AE"/>
    <w:rsid w:val="003B515C"/>
    <w:rsid w:val="003B55DB"/>
    <w:rsid w:val="003B6A72"/>
    <w:rsid w:val="003D4B08"/>
    <w:rsid w:val="003E12C6"/>
    <w:rsid w:val="003E2559"/>
    <w:rsid w:val="003E3C96"/>
    <w:rsid w:val="003E6A38"/>
    <w:rsid w:val="003E6C60"/>
    <w:rsid w:val="003E6D4F"/>
    <w:rsid w:val="003F5933"/>
    <w:rsid w:val="0040081A"/>
    <w:rsid w:val="00401724"/>
    <w:rsid w:val="0040524F"/>
    <w:rsid w:val="004066A2"/>
    <w:rsid w:val="00410C7B"/>
    <w:rsid w:val="0041275E"/>
    <w:rsid w:val="0041288D"/>
    <w:rsid w:val="00413926"/>
    <w:rsid w:val="00414B37"/>
    <w:rsid w:val="00416322"/>
    <w:rsid w:val="004239C9"/>
    <w:rsid w:val="00435177"/>
    <w:rsid w:val="0044166C"/>
    <w:rsid w:val="00447670"/>
    <w:rsid w:val="0044784E"/>
    <w:rsid w:val="00447D23"/>
    <w:rsid w:val="00450AFE"/>
    <w:rsid w:val="004518CB"/>
    <w:rsid w:val="00452C04"/>
    <w:rsid w:val="00460D1E"/>
    <w:rsid w:val="0046660B"/>
    <w:rsid w:val="004716A3"/>
    <w:rsid w:val="004723D9"/>
    <w:rsid w:val="004737F5"/>
    <w:rsid w:val="00476867"/>
    <w:rsid w:val="004835A9"/>
    <w:rsid w:val="00484742"/>
    <w:rsid w:val="004855FE"/>
    <w:rsid w:val="0048582B"/>
    <w:rsid w:val="00486D91"/>
    <w:rsid w:val="00492458"/>
    <w:rsid w:val="00492E22"/>
    <w:rsid w:val="004A3113"/>
    <w:rsid w:val="004A515E"/>
    <w:rsid w:val="004B0908"/>
    <w:rsid w:val="004B3CAB"/>
    <w:rsid w:val="004B3D59"/>
    <w:rsid w:val="004B5FFD"/>
    <w:rsid w:val="004C2D17"/>
    <w:rsid w:val="004C3B9D"/>
    <w:rsid w:val="004C4404"/>
    <w:rsid w:val="004C467B"/>
    <w:rsid w:val="004C56B1"/>
    <w:rsid w:val="004C6C7A"/>
    <w:rsid w:val="004D25C9"/>
    <w:rsid w:val="004D389B"/>
    <w:rsid w:val="004D3B4A"/>
    <w:rsid w:val="004D4628"/>
    <w:rsid w:val="004D5768"/>
    <w:rsid w:val="004E08A2"/>
    <w:rsid w:val="004E314C"/>
    <w:rsid w:val="004E37A1"/>
    <w:rsid w:val="004E5091"/>
    <w:rsid w:val="004E6414"/>
    <w:rsid w:val="004F29E0"/>
    <w:rsid w:val="00504C12"/>
    <w:rsid w:val="00510D4F"/>
    <w:rsid w:val="00510D51"/>
    <w:rsid w:val="0051268B"/>
    <w:rsid w:val="005131ED"/>
    <w:rsid w:val="00522170"/>
    <w:rsid w:val="00526AE0"/>
    <w:rsid w:val="00526F66"/>
    <w:rsid w:val="00527634"/>
    <w:rsid w:val="00532133"/>
    <w:rsid w:val="0053735F"/>
    <w:rsid w:val="00544056"/>
    <w:rsid w:val="0055469E"/>
    <w:rsid w:val="00554BB3"/>
    <w:rsid w:val="00554CAF"/>
    <w:rsid w:val="005552DB"/>
    <w:rsid w:val="00564FF0"/>
    <w:rsid w:val="005651E4"/>
    <w:rsid w:val="005723A9"/>
    <w:rsid w:val="0057274B"/>
    <w:rsid w:val="00577488"/>
    <w:rsid w:val="00583C0F"/>
    <w:rsid w:val="00584C2F"/>
    <w:rsid w:val="00587CCA"/>
    <w:rsid w:val="00593D25"/>
    <w:rsid w:val="00595325"/>
    <w:rsid w:val="005962C5"/>
    <w:rsid w:val="005A31A2"/>
    <w:rsid w:val="005A400D"/>
    <w:rsid w:val="005A4594"/>
    <w:rsid w:val="005A7C21"/>
    <w:rsid w:val="005B0792"/>
    <w:rsid w:val="005B1972"/>
    <w:rsid w:val="005B4A77"/>
    <w:rsid w:val="005B677C"/>
    <w:rsid w:val="005B7089"/>
    <w:rsid w:val="005C0E5C"/>
    <w:rsid w:val="005C1063"/>
    <w:rsid w:val="005C1266"/>
    <w:rsid w:val="005C19AF"/>
    <w:rsid w:val="005C3C11"/>
    <w:rsid w:val="005C6396"/>
    <w:rsid w:val="005C7783"/>
    <w:rsid w:val="005D02B6"/>
    <w:rsid w:val="005D4956"/>
    <w:rsid w:val="005D668C"/>
    <w:rsid w:val="005D7615"/>
    <w:rsid w:val="005D7AF6"/>
    <w:rsid w:val="005E054A"/>
    <w:rsid w:val="005F33A7"/>
    <w:rsid w:val="005F6321"/>
    <w:rsid w:val="005F6734"/>
    <w:rsid w:val="006126BA"/>
    <w:rsid w:val="006146C9"/>
    <w:rsid w:val="006206CA"/>
    <w:rsid w:val="00622CF0"/>
    <w:rsid w:val="00624A06"/>
    <w:rsid w:val="00624A59"/>
    <w:rsid w:val="00630C4B"/>
    <w:rsid w:val="00630FC2"/>
    <w:rsid w:val="006317C8"/>
    <w:rsid w:val="00634DD2"/>
    <w:rsid w:val="006408E4"/>
    <w:rsid w:val="0064214E"/>
    <w:rsid w:val="006421A3"/>
    <w:rsid w:val="00642B2A"/>
    <w:rsid w:val="00644F86"/>
    <w:rsid w:val="00646B50"/>
    <w:rsid w:val="00650211"/>
    <w:rsid w:val="006524F2"/>
    <w:rsid w:val="00653A76"/>
    <w:rsid w:val="0065440E"/>
    <w:rsid w:val="00663064"/>
    <w:rsid w:val="0068196C"/>
    <w:rsid w:val="00681F98"/>
    <w:rsid w:val="006916BA"/>
    <w:rsid w:val="00694131"/>
    <w:rsid w:val="006A0C3F"/>
    <w:rsid w:val="006A366D"/>
    <w:rsid w:val="006B2893"/>
    <w:rsid w:val="006B7665"/>
    <w:rsid w:val="006D203A"/>
    <w:rsid w:val="006D7779"/>
    <w:rsid w:val="006D7DF3"/>
    <w:rsid w:val="006E0F21"/>
    <w:rsid w:val="006E151E"/>
    <w:rsid w:val="006E1F3D"/>
    <w:rsid w:val="006E289A"/>
    <w:rsid w:val="006E2ECA"/>
    <w:rsid w:val="006E33FF"/>
    <w:rsid w:val="006E3B6D"/>
    <w:rsid w:val="006E5703"/>
    <w:rsid w:val="006F08E2"/>
    <w:rsid w:val="006F3D04"/>
    <w:rsid w:val="006F56C0"/>
    <w:rsid w:val="006F7569"/>
    <w:rsid w:val="006F7B23"/>
    <w:rsid w:val="007001C5"/>
    <w:rsid w:val="00700DE7"/>
    <w:rsid w:val="00703A44"/>
    <w:rsid w:val="007041A6"/>
    <w:rsid w:val="0070628D"/>
    <w:rsid w:val="00706E67"/>
    <w:rsid w:val="00707354"/>
    <w:rsid w:val="00707953"/>
    <w:rsid w:val="00715D38"/>
    <w:rsid w:val="007205CE"/>
    <w:rsid w:val="0072107B"/>
    <w:rsid w:val="00725DED"/>
    <w:rsid w:val="007307A1"/>
    <w:rsid w:val="00731840"/>
    <w:rsid w:val="00732D54"/>
    <w:rsid w:val="0073508F"/>
    <w:rsid w:val="00736530"/>
    <w:rsid w:val="00745528"/>
    <w:rsid w:val="007550E6"/>
    <w:rsid w:val="0075631D"/>
    <w:rsid w:val="00757007"/>
    <w:rsid w:val="007574DF"/>
    <w:rsid w:val="00760762"/>
    <w:rsid w:val="00761115"/>
    <w:rsid w:val="007616FA"/>
    <w:rsid w:val="0077110E"/>
    <w:rsid w:val="007723D2"/>
    <w:rsid w:val="00776823"/>
    <w:rsid w:val="00785542"/>
    <w:rsid w:val="00796584"/>
    <w:rsid w:val="00797413"/>
    <w:rsid w:val="007A1AC0"/>
    <w:rsid w:val="007A286B"/>
    <w:rsid w:val="007A33F2"/>
    <w:rsid w:val="007A5A9F"/>
    <w:rsid w:val="007A7085"/>
    <w:rsid w:val="007B25BC"/>
    <w:rsid w:val="007B27CA"/>
    <w:rsid w:val="007B346F"/>
    <w:rsid w:val="007D500D"/>
    <w:rsid w:val="007D5D5D"/>
    <w:rsid w:val="007E2277"/>
    <w:rsid w:val="007E67CA"/>
    <w:rsid w:val="007F270C"/>
    <w:rsid w:val="007F3616"/>
    <w:rsid w:val="008109A5"/>
    <w:rsid w:val="00813028"/>
    <w:rsid w:val="008134BE"/>
    <w:rsid w:val="00823513"/>
    <w:rsid w:val="0082358F"/>
    <w:rsid w:val="00825464"/>
    <w:rsid w:val="00832148"/>
    <w:rsid w:val="00833EEB"/>
    <w:rsid w:val="00840553"/>
    <w:rsid w:val="00845044"/>
    <w:rsid w:val="00847F6F"/>
    <w:rsid w:val="00850179"/>
    <w:rsid w:val="00852527"/>
    <w:rsid w:val="00853441"/>
    <w:rsid w:val="00853CD4"/>
    <w:rsid w:val="008569CF"/>
    <w:rsid w:val="008571D1"/>
    <w:rsid w:val="008605FA"/>
    <w:rsid w:val="0086190B"/>
    <w:rsid w:val="008624B5"/>
    <w:rsid w:val="00862BA9"/>
    <w:rsid w:val="00865D46"/>
    <w:rsid w:val="00871A80"/>
    <w:rsid w:val="00872F38"/>
    <w:rsid w:val="0087404F"/>
    <w:rsid w:val="00880E4E"/>
    <w:rsid w:val="008827AF"/>
    <w:rsid w:val="0088492A"/>
    <w:rsid w:val="00890B9D"/>
    <w:rsid w:val="00892BD5"/>
    <w:rsid w:val="00894197"/>
    <w:rsid w:val="00894EF7"/>
    <w:rsid w:val="008977C2"/>
    <w:rsid w:val="008A0670"/>
    <w:rsid w:val="008A2FC6"/>
    <w:rsid w:val="008A55C8"/>
    <w:rsid w:val="008B0FEE"/>
    <w:rsid w:val="008C1837"/>
    <w:rsid w:val="008C2656"/>
    <w:rsid w:val="008C6934"/>
    <w:rsid w:val="008C79D6"/>
    <w:rsid w:val="008E2BAC"/>
    <w:rsid w:val="008E342F"/>
    <w:rsid w:val="00900489"/>
    <w:rsid w:val="0090105E"/>
    <w:rsid w:val="009116D9"/>
    <w:rsid w:val="009143E0"/>
    <w:rsid w:val="00914C03"/>
    <w:rsid w:val="0092351C"/>
    <w:rsid w:val="009243DB"/>
    <w:rsid w:val="00925421"/>
    <w:rsid w:val="00925968"/>
    <w:rsid w:val="00925F20"/>
    <w:rsid w:val="00926D1F"/>
    <w:rsid w:val="00927812"/>
    <w:rsid w:val="00930248"/>
    <w:rsid w:val="0093061A"/>
    <w:rsid w:val="00931676"/>
    <w:rsid w:val="00943799"/>
    <w:rsid w:val="0094452F"/>
    <w:rsid w:val="00945607"/>
    <w:rsid w:val="009459D9"/>
    <w:rsid w:val="009512F4"/>
    <w:rsid w:val="00954381"/>
    <w:rsid w:val="00956C44"/>
    <w:rsid w:val="00957D27"/>
    <w:rsid w:val="009610BE"/>
    <w:rsid w:val="009633A7"/>
    <w:rsid w:val="0096662E"/>
    <w:rsid w:val="00981254"/>
    <w:rsid w:val="00983C16"/>
    <w:rsid w:val="00985B95"/>
    <w:rsid w:val="00986832"/>
    <w:rsid w:val="00987B58"/>
    <w:rsid w:val="00994661"/>
    <w:rsid w:val="009A7F2E"/>
    <w:rsid w:val="009B0BCE"/>
    <w:rsid w:val="009B4895"/>
    <w:rsid w:val="009C12DD"/>
    <w:rsid w:val="009C33C3"/>
    <w:rsid w:val="009D0A51"/>
    <w:rsid w:val="009D4D4F"/>
    <w:rsid w:val="009E1DB0"/>
    <w:rsid w:val="009E501E"/>
    <w:rsid w:val="009F092B"/>
    <w:rsid w:val="009F435E"/>
    <w:rsid w:val="009F4D4B"/>
    <w:rsid w:val="009F54C9"/>
    <w:rsid w:val="009F5A78"/>
    <w:rsid w:val="009F65DC"/>
    <w:rsid w:val="00A02821"/>
    <w:rsid w:val="00A030F8"/>
    <w:rsid w:val="00A06BD8"/>
    <w:rsid w:val="00A1353A"/>
    <w:rsid w:val="00A14187"/>
    <w:rsid w:val="00A23FF9"/>
    <w:rsid w:val="00A24797"/>
    <w:rsid w:val="00A2652C"/>
    <w:rsid w:val="00A26C35"/>
    <w:rsid w:val="00A335F8"/>
    <w:rsid w:val="00A34118"/>
    <w:rsid w:val="00A356D8"/>
    <w:rsid w:val="00A372BA"/>
    <w:rsid w:val="00A46110"/>
    <w:rsid w:val="00A54512"/>
    <w:rsid w:val="00A60A42"/>
    <w:rsid w:val="00A61235"/>
    <w:rsid w:val="00A64273"/>
    <w:rsid w:val="00A71F20"/>
    <w:rsid w:val="00A762AD"/>
    <w:rsid w:val="00A85ADA"/>
    <w:rsid w:val="00A91D26"/>
    <w:rsid w:val="00A954EE"/>
    <w:rsid w:val="00AA0899"/>
    <w:rsid w:val="00AA09BE"/>
    <w:rsid w:val="00AA26D5"/>
    <w:rsid w:val="00AA4ACF"/>
    <w:rsid w:val="00AA6A37"/>
    <w:rsid w:val="00AB02E8"/>
    <w:rsid w:val="00AB1420"/>
    <w:rsid w:val="00AB66B8"/>
    <w:rsid w:val="00AC421E"/>
    <w:rsid w:val="00AC55FE"/>
    <w:rsid w:val="00AC7D13"/>
    <w:rsid w:val="00AD1806"/>
    <w:rsid w:val="00AD5345"/>
    <w:rsid w:val="00AD53B8"/>
    <w:rsid w:val="00AE75B8"/>
    <w:rsid w:val="00AF51B8"/>
    <w:rsid w:val="00AF5D98"/>
    <w:rsid w:val="00B00169"/>
    <w:rsid w:val="00B07844"/>
    <w:rsid w:val="00B07C55"/>
    <w:rsid w:val="00B07EBE"/>
    <w:rsid w:val="00B10931"/>
    <w:rsid w:val="00B11268"/>
    <w:rsid w:val="00B15460"/>
    <w:rsid w:val="00B169D6"/>
    <w:rsid w:val="00B21008"/>
    <w:rsid w:val="00B237A1"/>
    <w:rsid w:val="00B323DA"/>
    <w:rsid w:val="00B42CE3"/>
    <w:rsid w:val="00B43F5B"/>
    <w:rsid w:val="00B46855"/>
    <w:rsid w:val="00B46A1E"/>
    <w:rsid w:val="00B47781"/>
    <w:rsid w:val="00B50068"/>
    <w:rsid w:val="00B504A2"/>
    <w:rsid w:val="00B50628"/>
    <w:rsid w:val="00B5357A"/>
    <w:rsid w:val="00B62845"/>
    <w:rsid w:val="00B64D08"/>
    <w:rsid w:val="00B65914"/>
    <w:rsid w:val="00B661F6"/>
    <w:rsid w:val="00B6684A"/>
    <w:rsid w:val="00B74258"/>
    <w:rsid w:val="00B765F6"/>
    <w:rsid w:val="00B84509"/>
    <w:rsid w:val="00B85BDF"/>
    <w:rsid w:val="00B878EA"/>
    <w:rsid w:val="00B92B45"/>
    <w:rsid w:val="00B92B8A"/>
    <w:rsid w:val="00B96C3A"/>
    <w:rsid w:val="00BA232A"/>
    <w:rsid w:val="00BA4D8A"/>
    <w:rsid w:val="00BB001B"/>
    <w:rsid w:val="00BB020E"/>
    <w:rsid w:val="00BB72CB"/>
    <w:rsid w:val="00BC3D1C"/>
    <w:rsid w:val="00BC6626"/>
    <w:rsid w:val="00BD416C"/>
    <w:rsid w:val="00BD45D2"/>
    <w:rsid w:val="00BE0015"/>
    <w:rsid w:val="00BF452E"/>
    <w:rsid w:val="00BF6B4B"/>
    <w:rsid w:val="00BF73A8"/>
    <w:rsid w:val="00C00D9C"/>
    <w:rsid w:val="00C00F77"/>
    <w:rsid w:val="00C011E2"/>
    <w:rsid w:val="00C1232B"/>
    <w:rsid w:val="00C12CB3"/>
    <w:rsid w:val="00C16101"/>
    <w:rsid w:val="00C17B4E"/>
    <w:rsid w:val="00C23036"/>
    <w:rsid w:val="00C23B5A"/>
    <w:rsid w:val="00C23EE5"/>
    <w:rsid w:val="00C2651E"/>
    <w:rsid w:val="00C31F7D"/>
    <w:rsid w:val="00C3799D"/>
    <w:rsid w:val="00C40192"/>
    <w:rsid w:val="00C406C9"/>
    <w:rsid w:val="00C40B5E"/>
    <w:rsid w:val="00C410B5"/>
    <w:rsid w:val="00C41125"/>
    <w:rsid w:val="00C42B98"/>
    <w:rsid w:val="00C4629A"/>
    <w:rsid w:val="00C5383F"/>
    <w:rsid w:val="00C6021D"/>
    <w:rsid w:val="00C61315"/>
    <w:rsid w:val="00C62218"/>
    <w:rsid w:val="00C6376D"/>
    <w:rsid w:val="00C64F82"/>
    <w:rsid w:val="00C67B64"/>
    <w:rsid w:val="00C73136"/>
    <w:rsid w:val="00C74B44"/>
    <w:rsid w:val="00C80819"/>
    <w:rsid w:val="00C835B2"/>
    <w:rsid w:val="00C86185"/>
    <w:rsid w:val="00C87D99"/>
    <w:rsid w:val="00C94C16"/>
    <w:rsid w:val="00C97793"/>
    <w:rsid w:val="00CA3F75"/>
    <w:rsid w:val="00CA5857"/>
    <w:rsid w:val="00CC5293"/>
    <w:rsid w:val="00CD3037"/>
    <w:rsid w:val="00CE0FA8"/>
    <w:rsid w:val="00CE21AD"/>
    <w:rsid w:val="00CE3DB1"/>
    <w:rsid w:val="00CF0739"/>
    <w:rsid w:val="00CF3121"/>
    <w:rsid w:val="00CF32FA"/>
    <w:rsid w:val="00D04554"/>
    <w:rsid w:val="00D117AE"/>
    <w:rsid w:val="00D12F06"/>
    <w:rsid w:val="00D15E94"/>
    <w:rsid w:val="00D21321"/>
    <w:rsid w:val="00D22676"/>
    <w:rsid w:val="00D24FC6"/>
    <w:rsid w:val="00D26ADB"/>
    <w:rsid w:val="00D30C2E"/>
    <w:rsid w:val="00D3329A"/>
    <w:rsid w:val="00D4428F"/>
    <w:rsid w:val="00D54F58"/>
    <w:rsid w:val="00D57F00"/>
    <w:rsid w:val="00D64EAC"/>
    <w:rsid w:val="00D67FAD"/>
    <w:rsid w:val="00D71BDE"/>
    <w:rsid w:val="00D720C6"/>
    <w:rsid w:val="00D75C58"/>
    <w:rsid w:val="00D83116"/>
    <w:rsid w:val="00D83391"/>
    <w:rsid w:val="00D95714"/>
    <w:rsid w:val="00D95C95"/>
    <w:rsid w:val="00D96E77"/>
    <w:rsid w:val="00DA5473"/>
    <w:rsid w:val="00DA6AE7"/>
    <w:rsid w:val="00DA6B8A"/>
    <w:rsid w:val="00DA7975"/>
    <w:rsid w:val="00DB6070"/>
    <w:rsid w:val="00DB6593"/>
    <w:rsid w:val="00DB6653"/>
    <w:rsid w:val="00DC1ECE"/>
    <w:rsid w:val="00DC266B"/>
    <w:rsid w:val="00DC4FDC"/>
    <w:rsid w:val="00DC5792"/>
    <w:rsid w:val="00DD004E"/>
    <w:rsid w:val="00DD0966"/>
    <w:rsid w:val="00DE10B5"/>
    <w:rsid w:val="00DE602D"/>
    <w:rsid w:val="00DE73C5"/>
    <w:rsid w:val="00DF65FC"/>
    <w:rsid w:val="00DF7C53"/>
    <w:rsid w:val="00E00285"/>
    <w:rsid w:val="00E00A82"/>
    <w:rsid w:val="00E170FF"/>
    <w:rsid w:val="00E20849"/>
    <w:rsid w:val="00E22045"/>
    <w:rsid w:val="00E229FD"/>
    <w:rsid w:val="00E260E5"/>
    <w:rsid w:val="00E31613"/>
    <w:rsid w:val="00E318A5"/>
    <w:rsid w:val="00E32435"/>
    <w:rsid w:val="00E36FDF"/>
    <w:rsid w:val="00E4259F"/>
    <w:rsid w:val="00E5127E"/>
    <w:rsid w:val="00E54537"/>
    <w:rsid w:val="00E5503D"/>
    <w:rsid w:val="00E56834"/>
    <w:rsid w:val="00E63D4C"/>
    <w:rsid w:val="00E67373"/>
    <w:rsid w:val="00E679F9"/>
    <w:rsid w:val="00E709FE"/>
    <w:rsid w:val="00E7637B"/>
    <w:rsid w:val="00E801E6"/>
    <w:rsid w:val="00E9398D"/>
    <w:rsid w:val="00E978CC"/>
    <w:rsid w:val="00EA6F77"/>
    <w:rsid w:val="00EB10C6"/>
    <w:rsid w:val="00EB2266"/>
    <w:rsid w:val="00EB3122"/>
    <w:rsid w:val="00EB585F"/>
    <w:rsid w:val="00EB59C8"/>
    <w:rsid w:val="00EC24A5"/>
    <w:rsid w:val="00EC35D6"/>
    <w:rsid w:val="00EC51AD"/>
    <w:rsid w:val="00EC6806"/>
    <w:rsid w:val="00ED13C7"/>
    <w:rsid w:val="00ED1D81"/>
    <w:rsid w:val="00EE029D"/>
    <w:rsid w:val="00EE07F4"/>
    <w:rsid w:val="00EE0C59"/>
    <w:rsid w:val="00EE467D"/>
    <w:rsid w:val="00EE47B1"/>
    <w:rsid w:val="00EE4BFA"/>
    <w:rsid w:val="00EF05B6"/>
    <w:rsid w:val="00EF0CE8"/>
    <w:rsid w:val="00EF13D7"/>
    <w:rsid w:val="00EF3782"/>
    <w:rsid w:val="00EF6025"/>
    <w:rsid w:val="00EF6F1F"/>
    <w:rsid w:val="00EF7297"/>
    <w:rsid w:val="00EF76CD"/>
    <w:rsid w:val="00F006FC"/>
    <w:rsid w:val="00F05047"/>
    <w:rsid w:val="00F05ADF"/>
    <w:rsid w:val="00F0636B"/>
    <w:rsid w:val="00F07929"/>
    <w:rsid w:val="00F11871"/>
    <w:rsid w:val="00F120DC"/>
    <w:rsid w:val="00F1546D"/>
    <w:rsid w:val="00F16BCE"/>
    <w:rsid w:val="00F172CF"/>
    <w:rsid w:val="00F22959"/>
    <w:rsid w:val="00F318BB"/>
    <w:rsid w:val="00F34564"/>
    <w:rsid w:val="00F35270"/>
    <w:rsid w:val="00F42921"/>
    <w:rsid w:val="00F45F4D"/>
    <w:rsid w:val="00F46BE8"/>
    <w:rsid w:val="00F46CF0"/>
    <w:rsid w:val="00F477BE"/>
    <w:rsid w:val="00F505F6"/>
    <w:rsid w:val="00F5261C"/>
    <w:rsid w:val="00F5371B"/>
    <w:rsid w:val="00F54A66"/>
    <w:rsid w:val="00F605C3"/>
    <w:rsid w:val="00F6655B"/>
    <w:rsid w:val="00F66F10"/>
    <w:rsid w:val="00F6787C"/>
    <w:rsid w:val="00F67D19"/>
    <w:rsid w:val="00F751FF"/>
    <w:rsid w:val="00F81918"/>
    <w:rsid w:val="00F92D08"/>
    <w:rsid w:val="00F93292"/>
    <w:rsid w:val="00F9544C"/>
    <w:rsid w:val="00FA10DA"/>
    <w:rsid w:val="00FA60E5"/>
    <w:rsid w:val="00FA6A91"/>
    <w:rsid w:val="00FA74B9"/>
    <w:rsid w:val="00FB3C76"/>
    <w:rsid w:val="00FB5352"/>
    <w:rsid w:val="00FC260E"/>
    <w:rsid w:val="00FD1F6E"/>
    <w:rsid w:val="00FD4D76"/>
    <w:rsid w:val="00FD601F"/>
    <w:rsid w:val="00FD7E8E"/>
    <w:rsid w:val="00FE0FF1"/>
    <w:rsid w:val="00FE441F"/>
    <w:rsid w:val="00FE7FDA"/>
    <w:rsid w:val="00FF2C98"/>
    <w:rsid w:val="00FF327E"/>
    <w:rsid w:val="00FF653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27AD36"/>
  <w15:chartTrackingRefBased/>
  <w15:docId w15:val="{FB51F075-4FA7-4C43-8A08-37AD7344F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534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Car,Footnote Text Char Char Char,Footnote Text Cha,FA Fußnotentext,FA Fuﬂnotentext,Footnote Text Char Char,Car Car Car,FA Fu?notentext,Ca, C"/>
    <w:basedOn w:val="Normal"/>
    <w:link w:val="TextonotapieCar"/>
    <w:uiPriority w:val="99"/>
    <w:unhideWhenUsed/>
    <w:qFormat/>
    <w:rsid w:val="009E1DB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ar Car,Footnote Text Char Char Char Car,Footnote Text Cha Car,FA Fußnotentext Car,FA Fuﬂnotentext Car,Car Car Car Car"/>
    <w:basedOn w:val="Fuentedeprrafopredeter"/>
    <w:link w:val="Textonotapie"/>
    <w:uiPriority w:val="99"/>
    <w:rsid w:val="009E1DB0"/>
    <w:rPr>
      <w:sz w:val="20"/>
      <w:szCs w:val="20"/>
    </w:rPr>
  </w:style>
  <w:style w:type="character" w:styleId="Refdenotaalpie">
    <w:name w:val="footnote reference"/>
    <w:basedOn w:val="Fuentedeprrafopredeter"/>
    <w:uiPriority w:val="99"/>
    <w:semiHidden/>
    <w:unhideWhenUsed/>
    <w:rsid w:val="009E1DB0"/>
    <w:rPr>
      <w:vertAlign w:val="superscript"/>
    </w:rPr>
  </w:style>
  <w:style w:type="paragraph" w:styleId="Encabezado">
    <w:name w:val="header"/>
    <w:basedOn w:val="Normal"/>
    <w:link w:val="EncabezadoCar"/>
    <w:uiPriority w:val="99"/>
    <w:unhideWhenUsed/>
    <w:rsid w:val="00681F9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81F98"/>
  </w:style>
  <w:style w:type="paragraph" w:styleId="Piedepgina">
    <w:name w:val="footer"/>
    <w:basedOn w:val="Normal"/>
    <w:link w:val="PiedepginaCar"/>
    <w:uiPriority w:val="99"/>
    <w:unhideWhenUsed/>
    <w:rsid w:val="00681F9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81F98"/>
  </w:style>
  <w:style w:type="paragraph" w:styleId="Textodeglobo">
    <w:name w:val="Balloon Text"/>
    <w:basedOn w:val="Normal"/>
    <w:link w:val="TextodegloboCar"/>
    <w:uiPriority w:val="99"/>
    <w:semiHidden/>
    <w:unhideWhenUsed/>
    <w:rsid w:val="002A6F6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6F62"/>
    <w:rPr>
      <w:rFonts w:ascii="Segoe UI" w:hAnsi="Segoe UI" w:cs="Segoe UI"/>
      <w:sz w:val="18"/>
      <w:szCs w:val="18"/>
    </w:rPr>
  </w:style>
  <w:style w:type="paragraph" w:styleId="Prrafodelista">
    <w:name w:val="List Paragraph"/>
    <w:basedOn w:val="Normal"/>
    <w:uiPriority w:val="34"/>
    <w:qFormat/>
    <w:rsid w:val="0064214E"/>
    <w:pPr>
      <w:ind w:left="720"/>
      <w:contextualSpacing/>
    </w:pPr>
  </w:style>
  <w:style w:type="table" w:styleId="Tablaconcuadrcula">
    <w:name w:val="Table Grid"/>
    <w:basedOn w:val="Tablanormal"/>
    <w:uiPriority w:val="39"/>
    <w:rsid w:val="005651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4239C9"/>
    <w:pPr>
      <w:spacing w:after="0" w:line="240" w:lineRule="auto"/>
    </w:pPr>
    <w:rPr>
      <w:rFonts w:eastAsiaTheme="minorEastAsia"/>
      <w:lang w:eastAsia="es-MX"/>
    </w:rPr>
  </w:style>
  <w:style w:type="character" w:customStyle="1" w:styleId="SinespaciadoCar">
    <w:name w:val="Sin espaciado Car"/>
    <w:basedOn w:val="Fuentedeprrafopredeter"/>
    <w:link w:val="Sinespaciado"/>
    <w:uiPriority w:val="1"/>
    <w:rsid w:val="004239C9"/>
    <w:rPr>
      <w:rFonts w:eastAsiaTheme="minorEastAsia"/>
      <w:lang w:eastAsia="es-MX"/>
    </w:rPr>
  </w:style>
  <w:style w:type="paragraph" w:styleId="Revisin">
    <w:name w:val="Revision"/>
    <w:hidden/>
    <w:uiPriority w:val="99"/>
    <w:semiHidden/>
    <w:rsid w:val="00FA6A9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8117970">
      <w:bodyDiv w:val="1"/>
      <w:marLeft w:val="0"/>
      <w:marRight w:val="0"/>
      <w:marTop w:val="0"/>
      <w:marBottom w:val="0"/>
      <w:divBdr>
        <w:top w:val="none" w:sz="0" w:space="0" w:color="auto"/>
        <w:left w:val="none" w:sz="0" w:space="0" w:color="auto"/>
        <w:bottom w:val="none" w:sz="0" w:space="0" w:color="auto"/>
        <w:right w:val="none" w:sz="0" w:space="0" w:color="auto"/>
      </w:divBdr>
    </w:div>
    <w:div w:id="911240189">
      <w:bodyDiv w:val="1"/>
      <w:marLeft w:val="0"/>
      <w:marRight w:val="0"/>
      <w:marTop w:val="0"/>
      <w:marBottom w:val="0"/>
      <w:divBdr>
        <w:top w:val="none" w:sz="0" w:space="0" w:color="auto"/>
        <w:left w:val="none" w:sz="0" w:space="0" w:color="auto"/>
        <w:bottom w:val="none" w:sz="0" w:space="0" w:color="auto"/>
        <w:right w:val="none" w:sz="0" w:space="0" w:color="auto"/>
      </w:divBdr>
    </w:div>
    <w:div w:id="204899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30739-1C27-4B1F-AD61-C55ED2B48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1078</Words>
  <Characters>5934</Characters>
  <Application>Microsoft Office Word</Application>
  <DocSecurity>0</DocSecurity>
  <Lines>49</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JOCELYN ARZATE ALEMAN</dc:creator>
  <cp:keywords/>
  <dc:description/>
  <cp:lastModifiedBy>BRUNO ALEJANDRO PATIÑO RENTERIA</cp:lastModifiedBy>
  <cp:revision>23</cp:revision>
  <cp:lastPrinted>2021-06-08T20:16:00Z</cp:lastPrinted>
  <dcterms:created xsi:type="dcterms:W3CDTF">2023-04-28T00:15:00Z</dcterms:created>
  <dcterms:modified xsi:type="dcterms:W3CDTF">2024-01-30T19:48:00Z</dcterms:modified>
</cp:coreProperties>
</file>