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598F" w14:textId="77EC1DDD" w:rsidR="00B64D08" w:rsidRDefault="00B64D08"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842A730" w14:textId="77777777" w:rsidR="00917D24" w:rsidRPr="00B64D08" w:rsidRDefault="00917D24"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046BB4C3" w:rsidR="00EE029D" w:rsidRPr="00046D48" w:rsidRDefault="001C37AF"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NOTIFICACIÓN EN MATERIA FISCAL. </w:t>
      </w:r>
      <w:r w:rsidR="00173F0D">
        <w:rPr>
          <w:rFonts w:ascii="Arial Nova" w:hAnsi="Arial Nova" w:cs="Times New Roman"/>
          <w:b/>
          <w:bCs/>
          <w:smallCaps/>
          <w:color w:val="002060"/>
        </w:rPr>
        <w:t xml:space="preserve">LA FACULTAD DE LA AUTORIDAD </w:t>
      </w:r>
      <w:r>
        <w:rPr>
          <w:rFonts w:ascii="Arial Nova" w:hAnsi="Arial Nova" w:cs="Times New Roman"/>
          <w:b/>
          <w:bCs/>
          <w:smallCaps/>
          <w:color w:val="002060"/>
        </w:rPr>
        <w:t>D</w:t>
      </w:r>
      <w:r w:rsidR="00173F0D">
        <w:rPr>
          <w:rFonts w:ascii="Arial Nova" w:hAnsi="Arial Nova" w:cs="Times New Roman"/>
          <w:b/>
          <w:bCs/>
          <w:smallCaps/>
          <w:color w:val="002060"/>
        </w:rPr>
        <w:t xml:space="preserve">E NOTIFICAR UN ACTO ADMINISTRATIVO A TRAVÉS DEL MISMO FORMATO IMPRESO O ELECTRÓNICO EN QUE EMITIÓ DICHO ACTO ES </w:t>
      </w:r>
      <w:r>
        <w:rPr>
          <w:rFonts w:ascii="Arial Nova" w:hAnsi="Arial Nova" w:cs="Times New Roman"/>
          <w:b/>
          <w:bCs/>
          <w:smallCaps/>
          <w:color w:val="002060"/>
        </w:rPr>
        <w:t>ACORDE AL DERECHO A LA SEGURIDAD JURÍDICA</w:t>
      </w:r>
    </w:p>
    <w:p w14:paraId="6FB7DAC2" w14:textId="77777777" w:rsidR="001C01EC" w:rsidRDefault="001C01EC" w:rsidP="00D22676">
      <w:pPr>
        <w:spacing w:after="0" w:line="240" w:lineRule="auto"/>
        <w:jc w:val="both"/>
        <w:rPr>
          <w:rFonts w:ascii="Arial Nova" w:hAnsi="Arial Nova" w:cs="Times New Roman"/>
          <w:sz w:val="18"/>
          <w:szCs w:val="18"/>
        </w:rPr>
      </w:pPr>
    </w:p>
    <w:p w14:paraId="3D6CDE51" w14:textId="3E2233F0"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3A672A" w:rsidRPr="001624A8">
        <w:rPr>
          <w:rFonts w:ascii="Arial Nova" w:hAnsi="Arial Nova" w:cs="Times New Roman"/>
          <w:b/>
          <w:bCs/>
          <w:smallCaps/>
          <w:color w:val="002060"/>
        </w:rPr>
        <w:t>a</w:t>
      </w:r>
      <w:r w:rsidR="00173F0D">
        <w:rPr>
          <w:rFonts w:ascii="Arial Nova" w:hAnsi="Arial Nova" w:cs="Times New Roman"/>
          <w:b/>
          <w:bCs/>
          <w:smallCaps/>
          <w:color w:val="002060"/>
        </w:rPr>
        <w:t xml:space="preserve"> Loretta Ortiz Ahlf</w:t>
      </w:r>
      <w:r w:rsidR="00B92B45" w:rsidRPr="001624A8">
        <w:rPr>
          <w:rFonts w:ascii="Arial Nova" w:hAnsi="Arial Nova" w:cs="Times New Roman"/>
          <w:smallCaps/>
          <w:color w:val="002060"/>
        </w:rPr>
        <w:t>.</w:t>
      </w:r>
    </w:p>
    <w:p w14:paraId="63E065DC" w14:textId="20A5B454" w:rsidR="0083214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86058D">
        <w:rPr>
          <w:rFonts w:ascii="Arial Nova" w:hAnsi="Arial Nova" w:cs="Times New Roman"/>
          <w:smallCaps/>
          <w:color w:val="002060"/>
        </w:rPr>
        <w:t>o</w:t>
      </w:r>
      <w:r w:rsidRPr="001624A8">
        <w:rPr>
          <w:rFonts w:ascii="Arial Nova" w:hAnsi="Arial Nova" w:cs="Times New Roman"/>
          <w:smallCaps/>
          <w:color w:val="002060"/>
        </w:rPr>
        <w:t xml:space="preserve">: </w:t>
      </w:r>
      <w:r w:rsidR="00173F0D">
        <w:rPr>
          <w:rFonts w:ascii="Arial Nova" w:hAnsi="Arial Nova" w:cs="Times New Roman"/>
          <w:smallCaps/>
          <w:color w:val="002060"/>
        </w:rPr>
        <w:t>Joel Isaac Rangel Agüeros</w:t>
      </w:r>
      <w:r w:rsidR="00B92B45" w:rsidRPr="001624A8">
        <w:rPr>
          <w:rFonts w:ascii="Arial Nova" w:hAnsi="Arial Nova" w:cs="Times New Roman"/>
          <w:smallCaps/>
          <w:color w:val="002060"/>
        </w:rPr>
        <w:t>.</w:t>
      </w:r>
      <w:bookmarkEnd w:id="2"/>
    </w:p>
    <w:p w14:paraId="623D996D" w14:textId="7C9D8BBB" w:rsidR="0096617A" w:rsidRDefault="00173F0D" w:rsidP="001624A8">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Colaboró</w:t>
      </w:r>
      <w:r w:rsidR="0086058D">
        <w:rPr>
          <w:rFonts w:ascii="Arial Nova" w:hAnsi="Arial Nova" w:cs="Times New Roman"/>
          <w:smallCaps/>
          <w:color w:val="002060"/>
        </w:rPr>
        <w:t xml:space="preserve">: </w:t>
      </w:r>
      <w:proofErr w:type="spellStart"/>
      <w:r>
        <w:rPr>
          <w:rFonts w:ascii="Arial Nova" w:hAnsi="Arial Nova" w:cs="Times New Roman"/>
          <w:smallCaps/>
          <w:color w:val="002060"/>
        </w:rPr>
        <w:t>Tekua</w:t>
      </w:r>
      <w:proofErr w:type="spellEnd"/>
      <w:r>
        <w:rPr>
          <w:rFonts w:ascii="Arial Nova" w:hAnsi="Arial Nova" w:cs="Times New Roman"/>
          <w:smallCaps/>
          <w:color w:val="002060"/>
        </w:rPr>
        <w:t xml:space="preserve"> </w:t>
      </w:r>
      <w:proofErr w:type="spellStart"/>
      <w:r>
        <w:rPr>
          <w:rFonts w:ascii="Arial Nova" w:hAnsi="Arial Nova" w:cs="Times New Roman"/>
          <w:smallCaps/>
          <w:color w:val="002060"/>
        </w:rPr>
        <w:t>Kutsu</w:t>
      </w:r>
      <w:proofErr w:type="spellEnd"/>
      <w:r>
        <w:rPr>
          <w:rFonts w:ascii="Arial Nova" w:hAnsi="Arial Nova" w:cs="Times New Roman"/>
          <w:smallCaps/>
          <w:color w:val="002060"/>
        </w:rPr>
        <w:t xml:space="preserve"> Franco Godínez</w:t>
      </w:r>
      <w:r w:rsidR="00884215">
        <w:rPr>
          <w:rFonts w:ascii="Arial Nova" w:hAnsi="Arial Nova" w:cs="Times New Roman"/>
          <w:smallCaps/>
          <w:color w:val="002060"/>
        </w:rPr>
        <w:t>.</w:t>
      </w:r>
    </w:p>
    <w:p w14:paraId="1C0B4F90" w14:textId="20B84DAF" w:rsidR="001C01EC" w:rsidRPr="004C2D17"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884215">
        <w:rPr>
          <w:rFonts w:ascii="Arial Nova" w:hAnsi="Arial Nova" w:cs="Times New Roman"/>
          <w:smallCaps/>
          <w:color w:val="002060"/>
        </w:rPr>
        <w:t xml:space="preserve"> Directo</w:t>
      </w:r>
      <w:r w:rsidRPr="001624A8">
        <w:rPr>
          <w:rFonts w:ascii="Arial Nova" w:hAnsi="Arial Nova" w:cs="Times New Roman"/>
          <w:smallCaps/>
          <w:color w:val="002060"/>
        </w:rPr>
        <w:t xml:space="preserve">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173F0D">
        <w:rPr>
          <w:rFonts w:ascii="Arial Nova" w:hAnsi="Arial Nova" w:cs="Times New Roman"/>
          <w:smallCaps/>
          <w:color w:val="002060"/>
        </w:rPr>
        <w:t>1781</w:t>
      </w:r>
      <w:r w:rsidR="0086058D">
        <w:rPr>
          <w:rFonts w:ascii="Arial Nova" w:hAnsi="Arial Nova" w:cs="Times New Roman"/>
          <w:smallCaps/>
          <w:color w:val="002060"/>
        </w:rPr>
        <w:t>/</w:t>
      </w:r>
      <w:r w:rsidRPr="001624A8">
        <w:rPr>
          <w:rFonts w:ascii="Arial Nova" w:hAnsi="Arial Nova" w:cs="Times New Roman"/>
          <w:smallCaps/>
          <w:color w:val="002060"/>
        </w:rPr>
        <w:t>202</w:t>
      </w:r>
      <w:r w:rsidR="00521582">
        <w:rPr>
          <w:rFonts w:ascii="Arial Nova" w:hAnsi="Arial Nova" w:cs="Times New Roman"/>
          <w:smallCaps/>
          <w:color w:val="002060"/>
        </w:rPr>
        <w:t>3</w:t>
      </w:r>
      <w:r w:rsidRPr="004C2D17">
        <w:rPr>
          <w:rFonts w:ascii="Arial Nova" w:hAnsi="Arial Nova" w:cs="Times New Roman"/>
          <w:smallCaps/>
        </w:rPr>
        <w:t>.</w:t>
      </w:r>
      <w:bookmarkEnd w:id="1"/>
      <w:bookmarkEnd w:id="3"/>
    </w:p>
    <w:p w14:paraId="23CDDC7C" w14:textId="77777777" w:rsidR="001624A8" w:rsidRPr="001C01EC" w:rsidRDefault="001624A8" w:rsidP="00521582">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917D24"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917D24" w:rsidRDefault="00E32435" w:rsidP="00C30AA0">
            <w:pPr>
              <w:jc w:val="both"/>
              <w:rPr>
                <w:rFonts w:ascii="Arial Nova" w:hAnsi="Arial Nova" w:cs="Times New Roman"/>
              </w:rPr>
            </w:pPr>
          </w:p>
          <w:p w14:paraId="213F2911" w14:textId="206DB8A1" w:rsidR="00B65914"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917D24">
              <w:rPr>
                <w:rFonts w:ascii="Arial Nova" w:hAnsi="Arial Nova" w:cs="Times New Roman"/>
                <w:b/>
                <w:bCs/>
                <w:smallCaps/>
                <w:color w:val="000F2E"/>
                <w:sz w:val="28"/>
                <w:szCs w:val="28"/>
              </w:rPr>
              <w:t>Resumen:</w:t>
            </w:r>
          </w:p>
          <w:p w14:paraId="2C50B854" w14:textId="77777777" w:rsidR="003A2315" w:rsidRPr="00884215" w:rsidRDefault="003A2315" w:rsidP="00B65914">
            <w:pPr>
              <w:shd w:val="clear" w:color="auto" w:fill="FFFFFF" w:themeFill="background1"/>
              <w:spacing w:line="276" w:lineRule="auto"/>
              <w:rPr>
                <w:rFonts w:ascii="Arial Nova" w:hAnsi="Arial Nova" w:cs="Times New Roman"/>
              </w:rPr>
            </w:pPr>
          </w:p>
          <w:p w14:paraId="42297285" w14:textId="42A4C061" w:rsidR="00A97C9D" w:rsidRPr="00A97C9D" w:rsidRDefault="00A97C9D" w:rsidP="00A97C9D">
            <w:pPr>
              <w:tabs>
                <w:tab w:val="left" w:pos="426"/>
              </w:tabs>
              <w:jc w:val="both"/>
              <w:rPr>
                <w:rFonts w:ascii="Arial Nova" w:hAnsi="Arial Nova" w:cs="Times New Roman"/>
              </w:rPr>
            </w:pPr>
            <w:r w:rsidRPr="00A97C9D">
              <w:rPr>
                <w:rFonts w:ascii="Arial Nova" w:hAnsi="Arial Nova" w:cs="Times New Roman"/>
              </w:rPr>
              <w:t xml:space="preserve">La Administradora Desconcentrada de la Auditoría Fiscal de Nayarit “1” del Servicio de Administración Tributaria ejerció sus facultades de comprobación respecto del ejercicio fiscal de </w:t>
            </w:r>
            <w:r w:rsidR="001C37AF">
              <w:rPr>
                <w:rFonts w:ascii="Arial Nova" w:hAnsi="Arial Nova" w:cs="Times New Roman"/>
              </w:rPr>
              <w:t>2015</w:t>
            </w:r>
            <w:r w:rsidRPr="00A97C9D">
              <w:rPr>
                <w:rFonts w:ascii="Arial Nova" w:hAnsi="Arial Nova" w:cs="Times New Roman"/>
              </w:rPr>
              <w:t xml:space="preserve"> a cargo de </w:t>
            </w:r>
            <w:r w:rsidR="001C37AF">
              <w:rPr>
                <w:rFonts w:ascii="Arial Nova" w:hAnsi="Arial Nova" w:cs="Times New Roman"/>
              </w:rPr>
              <w:t>una empresa</w:t>
            </w:r>
            <w:r w:rsidRPr="00A97C9D">
              <w:rPr>
                <w:rFonts w:ascii="Arial Nova" w:hAnsi="Arial Nova" w:cs="Times New Roman"/>
              </w:rPr>
              <w:t>. El procedimiento fiscalizador concluyó con la emisión de una resolución determinante de un crédito fiscal</w:t>
            </w:r>
            <w:r w:rsidR="001C37AF">
              <w:rPr>
                <w:rFonts w:ascii="Arial Nova" w:hAnsi="Arial Nova" w:cs="Times New Roman"/>
              </w:rPr>
              <w:t xml:space="preserve">, cuyo requerimiento de pago fue </w:t>
            </w:r>
            <w:r w:rsidR="00777E61">
              <w:rPr>
                <w:rFonts w:ascii="Arial Nova" w:hAnsi="Arial Nova" w:cs="Times New Roman"/>
              </w:rPr>
              <w:t xml:space="preserve">formulado </w:t>
            </w:r>
            <w:r w:rsidR="001C37AF">
              <w:rPr>
                <w:rFonts w:ascii="Arial Nova" w:hAnsi="Arial Nova" w:cs="Times New Roman"/>
              </w:rPr>
              <w:t>posteriormente</w:t>
            </w:r>
            <w:r w:rsidRPr="00A97C9D">
              <w:rPr>
                <w:rFonts w:ascii="Arial Nova" w:hAnsi="Arial Nova" w:cs="Times New Roman"/>
              </w:rPr>
              <w:t>.</w:t>
            </w:r>
          </w:p>
          <w:p w14:paraId="4B1B1EAC" w14:textId="77777777" w:rsidR="00A97C9D" w:rsidRPr="00A97C9D" w:rsidRDefault="00A97C9D" w:rsidP="00A97C9D">
            <w:pPr>
              <w:tabs>
                <w:tab w:val="left" w:pos="426"/>
              </w:tabs>
              <w:jc w:val="both"/>
              <w:rPr>
                <w:rFonts w:ascii="Arial Nova" w:hAnsi="Arial Nova" w:cs="Times New Roman"/>
              </w:rPr>
            </w:pPr>
          </w:p>
          <w:p w14:paraId="6A749BD3" w14:textId="63F7F751" w:rsidR="00A97C9D" w:rsidRDefault="001C37AF" w:rsidP="00A97C9D">
            <w:pPr>
              <w:tabs>
                <w:tab w:val="left" w:pos="426"/>
              </w:tabs>
              <w:jc w:val="both"/>
              <w:rPr>
                <w:rFonts w:ascii="Arial Nova" w:hAnsi="Arial Nova" w:cs="Times New Roman"/>
              </w:rPr>
            </w:pPr>
            <w:r>
              <w:rPr>
                <w:rFonts w:ascii="Arial Nova" w:hAnsi="Arial Nova" w:cs="Times New Roman"/>
              </w:rPr>
              <w:t>En desacuerdo con tal decisión, l</w:t>
            </w:r>
            <w:r w:rsidR="00A97C9D" w:rsidRPr="00A97C9D">
              <w:rPr>
                <w:rFonts w:ascii="Arial Nova" w:hAnsi="Arial Nova" w:cs="Times New Roman"/>
              </w:rPr>
              <w:t xml:space="preserve">a </w:t>
            </w:r>
            <w:r>
              <w:rPr>
                <w:rFonts w:ascii="Arial Nova" w:hAnsi="Arial Nova" w:cs="Times New Roman"/>
              </w:rPr>
              <w:t xml:space="preserve">empresa </w:t>
            </w:r>
            <w:r w:rsidR="00A97C9D" w:rsidRPr="00A97C9D">
              <w:rPr>
                <w:rFonts w:ascii="Arial Nova" w:hAnsi="Arial Nova" w:cs="Times New Roman"/>
              </w:rPr>
              <w:t xml:space="preserve">contribuyente promovió juicio contencioso administrativo. La Sala </w:t>
            </w:r>
            <w:r w:rsidR="00090C36">
              <w:rPr>
                <w:rFonts w:ascii="Arial Nova" w:hAnsi="Arial Nova" w:cs="Times New Roman"/>
              </w:rPr>
              <w:t>Regional</w:t>
            </w:r>
            <w:r w:rsidR="00090C36" w:rsidRPr="00A97C9D">
              <w:rPr>
                <w:rFonts w:ascii="Arial Nova" w:hAnsi="Arial Nova" w:cs="Times New Roman"/>
              </w:rPr>
              <w:t xml:space="preserve"> </w:t>
            </w:r>
            <w:r w:rsidR="00A97C9D" w:rsidRPr="00A97C9D">
              <w:rPr>
                <w:rFonts w:ascii="Arial Nova" w:hAnsi="Arial Nova" w:cs="Times New Roman"/>
              </w:rPr>
              <w:t>del Tribunal Federal de Justicia Administrativa sobreseyó en el juicio. Inconforme, la actora promovió juicio de amparo directo</w:t>
            </w:r>
            <w:r>
              <w:rPr>
                <w:rFonts w:ascii="Arial Nova" w:hAnsi="Arial Nova" w:cs="Times New Roman"/>
              </w:rPr>
              <w:t xml:space="preserve"> en el que reclam</w:t>
            </w:r>
            <w:r w:rsidR="00C01246">
              <w:rPr>
                <w:rFonts w:ascii="Arial Nova" w:hAnsi="Arial Nova" w:cs="Times New Roman"/>
              </w:rPr>
              <w:t>ó</w:t>
            </w:r>
            <w:r>
              <w:rPr>
                <w:rFonts w:ascii="Arial Nova" w:hAnsi="Arial Nova" w:cs="Times New Roman"/>
              </w:rPr>
              <w:t xml:space="preserve"> la inconstitucionalidad </w:t>
            </w:r>
            <w:r w:rsidRPr="001C37AF">
              <w:rPr>
                <w:rFonts w:ascii="Arial Nova" w:hAnsi="Arial Nova" w:cs="Times New Roman"/>
              </w:rPr>
              <w:t>del artículo 134, fracción I, párrafos primero y segundo, del Código Fiscal de la Federación, que prevé las formas en que los actos de las autoridades fiscales deben darse a conocer a los causantes, sujetando el medio de notificación al tipo de documento que deba ser comunicado; esto es, si la autoridad emite un acto administrativo impreso, su notificación debe hacerse a través de los medios tradicionales, mientras que, si fuera por medios electrónicos, deberá realizarse de forma codificada por el buzón tributario</w:t>
            </w:r>
            <w:r>
              <w:rPr>
                <w:rFonts w:ascii="Arial Nova" w:hAnsi="Arial Nova" w:cs="Times New Roman"/>
              </w:rPr>
              <w:t>. El Tribunal Colegiado negó el amparo, por lo que la quejosa interpuso un recurso de revisión</w:t>
            </w:r>
            <w:r w:rsidR="00A97C9D" w:rsidRPr="00A97C9D">
              <w:rPr>
                <w:rFonts w:ascii="Arial Nova" w:hAnsi="Arial Nova" w:cs="Times New Roman"/>
              </w:rPr>
              <w:t>.</w:t>
            </w:r>
          </w:p>
          <w:p w14:paraId="3BBDD5DA" w14:textId="7CC1EE59" w:rsidR="00A97C9D" w:rsidRDefault="00A97C9D" w:rsidP="00A97C9D">
            <w:pPr>
              <w:tabs>
                <w:tab w:val="left" w:pos="426"/>
              </w:tabs>
              <w:jc w:val="both"/>
              <w:rPr>
                <w:rFonts w:ascii="Arial Nova" w:hAnsi="Arial Nova" w:cs="Times New Roman"/>
              </w:rPr>
            </w:pPr>
          </w:p>
          <w:p w14:paraId="36E1CA96" w14:textId="4445E8D5" w:rsidR="00A97C9D" w:rsidRPr="00A97C9D" w:rsidRDefault="00A97C9D" w:rsidP="00A97C9D">
            <w:pPr>
              <w:tabs>
                <w:tab w:val="left" w:pos="0"/>
              </w:tabs>
              <w:contextualSpacing/>
              <w:jc w:val="both"/>
              <w:rPr>
                <w:rFonts w:ascii="Arial Nova" w:hAnsi="Arial Nova" w:cs="Times New Roman"/>
              </w:rPr>
            </w:pPr>
            <w:r w:rsidRPr="00A97C9D">
              <w:rPr>
                <w:rFonts w:ascii="Arial Nova" w:hAnsi="Arial Nova" w:cs="Times New Roman"/>
              </w:rPr>
              <w:t xml:space="preserve">La Primera Sala de la Suprema Corte de Justicia de la Nación </w:t>
            </w:r>
            <w:r w:rsidR="001C37AF">
              <w:rPr>
                <w:rFonts w:ascii="Arial Nova" w:hAnsi="Arial Nova" w:cs="Times New Roman"/>
              </w:rPr>
              <w:t>resolvió que la atribución prevista en el artículo impugnado</w:t>
            </w:r>
            <w:r w:rsidR="001C37AF" w:rsidRPr="001C37AF">
              <w:rPr>
                <w:rFonts w:ascii="Arial Nova" w:hAnsi="Arial Nova" w:cs="Times New Roman"/>
              </w:rPr>
              <w:t xml:space="preserve"> es acorde al derecho fundamental a la seguridad jurídica, ya que, para su satisfacción, basta que los causantes tengan pleno conocimiento del acto emitido y que estén en aptitud de hacer valer lo que a su derecho corresponda</w:t>
            </w:r>
            <w:r w:rsidRPr="00A97C9D">
              <w:rPr>
                <w:rFonts w:ascii="Arial Nova" w:hAnsi="Arial Nova" w:cs="Times New Roman"/>
              </w:rPr>
              <w:t>.</w:t>
            </w:r>
          </w:p>
          <w:p w14:paraId="160D1A1D" w14:textId="77777777" w:rsidR="00593ECD" w:rsidRDefault="00593ECD" w:rsidP="00A97C9D">
            <w:pPr>
              <w:jc w:val="both"/>
              <w:rPr>
                <w:rFonts w:ascii="Arial Nova" w:hAnsi="Arial Nova" w:cs="Times New Roman"/>
              </w:rPr>
            </w:pPr>
          </w:p>
          <w:p w14:paraId="068A96B6" w14:textId="03AB66E8" w:rsidR="001C37AF" w:rsidRPr="00917D24" w:rsidRDefault="001C37AF" w:rsidP="00A97C9D">
            <w:pPr>
              <w:jc w:val="both"/>
              <w:rPr>
                <w:rFonts w:ascii="Arial Nova" w:hAnsi="Arial Nova" w:cs="Times New Roman"/>
              </w:rPr>
            </w:pPr>
          </w:p>
        </w:tc>
      </w:tr>
    </w:tbl>
    <w:p w14:paraId="156102F9" w14:textId="3C053901" w:rsidR="00584C2F" w:rsidRDefault="00584C2F" w:rsidP="000018A2">
      <w:pPr>
        <w:spacing w:after="0" w:line="240" w:lineRule="auto"/>
        <w:jc w:val="both"/>
        <w:rPr>
          <w:rFonts w:ascii="Arial Nova" w:hAnsi="Arial Nova" w:cs="Times New Roman"/>
        </w:rPr>
      </w:pPr>
    </w:p>
    <w:p w14:paraId="2F68A3F8" w14:textId="0CC2575A" w:rsidR="0015133A" w:rsidRDefault="0015133A" w:rsidP="000018A2">
      <w:pPr>
        <w:spacing w:after="0" w:line="240" w:lineRule="auto"/>
        <w:jc w:val="both"/>
        <w:rPr>
          <w:rFonts w:ascii="Arial Nova" w:hAnsi="Arial Nova" w:cs="Times New Roman"/>
        </w:rPr>
      </w:pPr>
    </w:p>
    <w:p w14:paraId="70386F50" w14:textId="77777777" w:rsidR="001C37AF" w:rsidRDefault="001C37AF" w:rsidP="000018A2">
      <w:pPr>
        <w:spacing w:after="0" w:line="240" w:lineRule="auto"/>
        <w:jc w:val="both"/>
        <w:rPr>
          <w:rFonts w:ascii="Arial Nova" w:hAnsi="Arial Nova" w:cs="Times New Roman"/>
        </w:rPr>
      </w:pPr>
    </w:p>
    <w:p w14:paraId="3F73F874" w14:textId="77777777" w:rsidR="001C37AF" w:rsidRDefault="001C37AF" w:rsidP="000018A2">
      <w:pPr>
        <w:spacing w:after="0" w:line="240" w:lineRule="auto"/>
        <w:jc w:val="both"/>
        <w:rPr>
          <w:rFonts w:ascii="Arial Nova" w:hAnsi="Arial Nova" w:cs="Times New Roman"/>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55698C54" w14:textId="7AFD0832" w:rsidR="00173F0D" w:rsidRPr="00173F0D" w:rsidRDefault="001C37AF" w:rsidP="00173F0D">
      <w:pPr>
        <w:tabs>
          <w:tab w:val="left" w:pos="426"/>
        </w:tabs>
        <w:spacing w:after="0" w:line="240" w:lineRule="auto"/>
        <w:jc w:val="both"/>
        <w:rPr>
          <w:rFonts w:ascii="Arial Nova" w:hAnsi="Arial Nova" w:cs="Times New Roman"/>
          <w:sz w:val="24"/>
          <w:szCs w:val="24"/>
        </w:rPr>
      </w:pPr>
      <w:r>
        <w:rPr>
          <w:rFonts w:ascii="Arial Nova" w:hAnsi="Arial Nova" w:cs="Times New Roman"/>
          <w:sz w:val="24"/>
          <w:szCs w:val="24"/>
        </w:rPr>
        <w:t>En el caso, l</w:t>
      </w:r>
      <w:r w:rsidR="00173F0D" w:rsidRPr="00173F0D">
        <w:rPr>
          <w:rFonts w:ascii="Arial Nova" w:hAnsi="Arial Nova" w:cs="Times New Roman"/>
          <w:sz w:val="24"/>
          <w:szCs w:val="24"/>
        </w:rPr>
        <w:t xml:space="preserve">a Administradora Desconcentrada de la Auditoría Fiscal de Nayarit “1” del Servicio de Administración Tributaria ejerció sus facultades de comprobación respecto del ejercicio fiscal de </w:t>
      </w:r>
      <w:r w:rsidR="00777E61">
        <w:rPr>
          <w:rFonts w:ascii="Arial Nova" w:hAnsi="Arial Nova" w:cs="Times New Roman"/>
          <w:sz w:val="24"/>
          <w:szCs w:val="24"/>
        </w:rPr>
        <w:t>2015</w:t>
      </w:r>
      <w:r w:rsidR="00173F0D" w:rsidRPr="00173F0D">
        <w:rPr>
          <w:rFonts w:ascii="Arial Nova" w:hAnsi="Arial Nova" w:cs="Times New Roman"/>
          <w:sz w:val="24"/>
          <w:szCs w:val="24"/>
        </w:rPr>
        <w:t xml:space="preserve"> a cargo de </w:t>
      </w:r>
      <w:r w:rsidR="00777E61">
        <w:rPr>
          <w:rFonts w:ascii="Arial Nova" w:hAnsi="Arial Nova" w:cs="Times New Roman"/>
          <w:sz w:val="24"/>
          <w:szCs w:val="24"/>
        </w:rPr>
        <w:t>una empresa</w:t>
      </w:r>
      <w:r w:rsidR="00173F0D" w:rsidRPr="00173F0D">
        <w:rPr>
          <w:rFonts w:ascii="Arial Nova" w:hAnsi="Arial Nova" w:cs="Times New Roman"/>
          <w:sz w:val="24"/>
          <w:szCs w:val="24"/>
        </w:rPr>
        <w:t xml:space="preserve">. El procedimiento fiscalizador </w:t>
      </w:r>
      <w:r w:rsidR="00777E61">
        <w:rPr>
          <w:rFonts w:ascii="Arial Nova" w:hAnsi="Arial Nova" w:cs="Times New Roman"/>
          <w:sz w:val="24"/>
          <w:szCs w:val="24"/>
        </w:rPr>
        <w:t>culminó</w:t>
      </w:r>
      <w:r w:rsidR="00777E61" w:rsidRPr="00173F0D">
        <w:rPr>
          <w:rFonts w:ascii="Arial Nova" w:hAnsi="Arial Nova" w:cs="Times New Roman"/>
          <w:sz w:val="24"/>
          <w:szCs w:val="24"/>
        </w:rPr>
        <w:t xml:space="preserve"> </w:t>
      </w:r>
      <w:r w:rsidR="00173F0D" w:rsidRPr="00173F0D">
        <w:rPr>
          <w:rFonts w:ascii="Arial Nova" w:hAnsi="Arial Nova" w:cs="Times New Roman"/>
          <w:sz w:val="24"/>
          <w:szCs w:val="24"/>
        </w:rPr>
        <w:t xml:space="preserve">con la emisión de una resolución determinante de un crédito fiscal. Posteriormente, </w:t>
      </w:r>
      <w:r w:rsidR="00777E61">
        <w:rPr>
          <w:rFonts w:ascii="Arial Nova" w:hAnsi="Arial Nova" w:cs="Times New Roman"/>
          <w:sz w:val="24"/>
          <w:szCs w:val="24"/>
        </w:rPr>
        <w:t xml:space="preserve">la autoridad fiscal referida </w:t>
      </w:r>
      <w:r w:rsidR="00173F0D" w:rsidRPr="00173F0D">
        <w:rPr>
          <w:rFonts w:ascii="Arial Nova" w:hAnsi="Arial Nova" w:cs="Times New Roman"/>
          <w:sz w:val="24"/>
          <w:szCs w:val="24"/>
        </w:rPr>
        <w:t xml:space="preserve">practicó una diligencia en la que se requirió </w:t>
      </w:r>
      <w:r w:rsidR="00777E61">
        <w:rPr>
          <w:rFonts w:ascii="Arial Nova" w:hAnsi="Arial Nova" w:cs="Times New Roman"/>
          <w:sz w:val="24"/>
          <w:szCs w:val="24"/>
        </w:rPr>
        <w:t xml:space="preserve">el </w:t>
      </w:r>
      <w:r w:rsidR="00173F0D" w:rsidRPr="00173F0D">
        <w:rPr>
          <w:rFonts w:ascii="Arial Nova" w:hAnsi="Arial Nova" w:cs="Times New Roman"/>
          <w:sz w:val="24"/>
          <w:szCs w:val="24"/>
        </w:rPr>
        <w:t xml:space="preserve">pago </w:t>
      </w:r>
      <w:r w:rsidR="00777E61">
        <w:rPr>
          <w:rFonts w:ascii="Arial Nova" w:hAnsi="Arial Nova" w:cs="Times New Roman"/>
          <w:sz w:val="24"/>
          <w:szCs w:val="24"/>
        </w:rPr>
        <w:t xml:space="preserve">de dicho </w:t>
      </w:r>
      <w:r w:rsidR="00173F0D" w:rsidRPr="00173F0D">
        <w:rPr>
          <w:rFonts w:ascii="Arial Nova" w:hAnsi="Arial Nova" w:cs="Times New Roman"/>
          <w:sz w:val="24"/>
          <w:szCs w:val="24"/>
        </w:rPr>
        <w:t>crédito.</w:t>
      </w:r>
    </w:p>
    <w:p w14:paraId="4D395E1D" w14:textId="77777777" w:rsidR="00173F0D" w:rsidRPr="00173F0D" w:rsidRDefault="00173F0D" w:rsidP="00173F0D">
      <w:pPr>
        <w:tabs>
          <w:tab w:val="left" w:pos="426"/>
        </w:tabs>
        <w:spacing w:after="0" w:line="240" w:lineRule="auto"/>
        <w:jc w:val="both"/>
        <w:rPr>
          <w:rFonts w:ascii="Arial Nova" w:hAnsi="Arial Nova" w:cs="Times New Roman"/>
          <w:sz w:val="24"/>
          <w:szCs w:val="24"/>
        </w:rPr>
      </w:pPr>
    </w:p>
    <w:p w14:paraId="556BDCCB" w14:textId="47F580E8" w:rsidR="001C37AF" w:rsidRDefault="001C37AF" w:rsidP="00A97C9D">
      <w:pPr>
        <w:tabs>
          <w:tab w:val="left" w:pos="426"/>
        </w:tabs>
        <w:spacing w:after="0" w:line="240" w:lineRule="auto"/>
        <w:jc w:val="both"/>
        <w:rPr>
          <w:rFonts w:ascii="Arial Nova" w:hAnsi="Arial Nova" w:cs="Times New Roman"/>
          <w:sz w:val="24"/>
          <w:szCs w:val="24"/>
        </w:rPr>
      </w:pPr>
      <w:r w:rsidRPr="001C37AF">
        <w:rPr>
          <w:rFonts w:ascii="Arial Nova" w:hAnsi="Arial Nova" w:cs="Times New Roman"/>
          <w:sz w:val="24"/>
          <w:szCs w:val="24"/>
        </w:rPr>
        <w:t>En desacuerdo</w:t>
      </w:r>
      <w:r>
        <w:rPr>
          <w:rFonts w:ascii="Arial Nova" w:hAnsi="Arial Nova" w:cs="Times New Roman"/>
          <w:sz w:val="24"/>
          <w:szCs w:val="24"/>
        </w:rPr>
        <w:t xml:space="preserve"> con la determinación del crédito fiscal</w:t>
      </w:r>
      <w:r w:rsidRPr="001C37AF">
        <w:rPr>
          <w:rFonts w:ascii="Arial Nova" w:hAnsi="Arial Nova" w:cs="Times New Roman"/>
          <w:sz w:val="24"/>
          <w:szCs w:val="24"/>
        </w:rPr>
        <w:t xml:space="preserve">, la empresa contribuyente promovió juicio contencioso administrativo. La Sala </w:t>
      </w:r>
      <w:r w:rsidR="00007F34">
        <w:rPr>
          <w:rFonts w:ascii="Arial Nova" w:hAnsi="Arial Nova" w:cs="Times New Roman"/>
          <w:sz w:val="24"/>
          <w:szCs w:val="24"/>
        </w:rPr>
        <w:t>Regional</w:t>
      </w:r>
      <w:r w:rsidR="00007F34" w:rsidRPr="001C37AF">
        <w:rPr>
          <w:rFonts w:ascii="Arial Nova" w:hAnsi="Arial Nova" w:cs="Times New Roman"/>
          <w:sz w:val="24"/>
          <w:szCs w:val="24"/>
        </w:rPr>
        <w:t xml:space="preserve"> </w:t>
      </w:r>
      <w:r w:rsidRPr="001C37AF">
        <w:rPr>
          <w:rFonts w:ascii="Arial Nova" w:hAnsi="Arial Nova" w:cs="Times New Roman"/>
          <w:sz w:val="24"/>
          <w:szCs w:val="24"/>
        </w:rPr>
        <w:t>del Tribunal Federal de Justicia Administrativa sobreseyó en el juicio</w:t>
      </w:r>
      <w:r>
        <w:rPr>
          <w:rFonts w:ascii="Arial Nova" w:hAnsi="Arial Nova" w:cs="Times New Roman"/>
          <w:sz w:val="24"/>
          <w:szCs w:val="24"/>
        </w:rPr>
        <w:t>, tras</w:t>
      </w:r>
      <w:r w:rsidRPr="001C37AF">
        <w:rPr>
          <w:rFonts w:ascii="Arial Nova" w:hAnsi="Arial Nova" w:cs="Times New Roman"/>
          <w:sz w:val="24"/>
          <w:szCs w:val="24"/>
        </w:rPr>
        <w:t xml:space="preserve"> estimar que la demanda se había presentado de forma extemporánea.</w:t>
      </w:r>
    </w:p>
    <w:p w14:paraId="5DFF3F9A" w14:textId="77777777" w:rsidR="001C37AF" w:rsidRDefault="001C37AF" w:rsidP="00A97C9D">
      <w:pPr>
        <w:tabs>
          <w:tab w:val="left" w:pos="426"/>
        </w:tabs>
        <w:spacing w:after="0" w:line="240" w:lineRule="auto"/>
        <w:jc w:val="both"/>
        <w:rPr>
          <w:rFonts w:ascii="Arial Nova" w:hAnsi="Arial Nova" w:cs="Times New Roman"/>
          <w:sz w:val="24"/>
          <w:szCs w:val="24"/>
        </w:rPr>
      </w:pPr>
    </w:p>
    <w:p w14:paraId="67A29D07" w14:textId="62D87D97" w:rsidR="001C37AF" w:rsidRDefault="001C37AF" w:rsidP="00A97C9D">
      <w:pPr>
        <w:tabs>
          <w:tab w:val="left" w:pos="426"/>
        </w:tabs>
        <w:spacing w:after="0" w:line="240" w:lineRule="auto"/>
        <w:jc w:val="both"/>
        <w:rPr>
          <w:rFonts w:ascii="Arial Nova" w:hAnsi="Arial Nova" w:cs="Times New Roman"/>
          <w:sz w:val="24"/>
          <w:szCs w:val="24"/>
        </w:rPr>
      </w:pPr>
      <w:r w:rsidRPr="001C37AF">
        <w:rPr>
          <w:rFonts w:ascii="Arial Nova" w:hAnsi="Arial Nova" w:cs="Times New Roman"/>
          <w:sz w:val="24"/>
          <w:szCs w:val="24"/>
        </w:rPr>
        <w:t>Inconforme, la actora promovió juicio de amparo directo en el que reclam</w:t>
      </w:r>
      <w:r w:rsidR="00C01246">
        <w:rPr>
          <w:rFonts w:ascii="Arial Nova" w:hAnsi="Arial Nova" w:cs="Times New Roman"/>
          <w:sz w:val="24"/>
          <w:szCs w:val="24"/>
        </w:rPr>
        <w:t>ó</w:t>
      </w:r>
      <w:r w:rsidRPr="001C37AF">
        <w:rPr>
          <w:rFonts w:ascii="Arial Nova" w:hAnsi="Arial Nova" w:cs="Times New Roman"/>
          <w:sz w:val="24"/>
          <w:szCs w:val="24"/>
        </w:rPr>
        <w:t xml:space="preserve"> la </w:t>
      </w:r>
      <w:r>
        <w:rPr>
          <w:rFonts w:ascii="Arial Nova" w:hAnsi="Arial Nova" w:cs="Times New Roman"/>
          <w:sz w:val="24"/>
          <w:szCs w:val="24"/>
        </w:rPr>
        <w:t>in</w:t>
      </w:r>
      <w:r w:rsidRPr="001C37AF">
        <w:rPr>
          <w:rFonts w:ascii="Arial Nova" w:hAnsi="Arial Nova" w:cs="Times New Roman"/>
          <w:sz w:val="24"/>
          <w:szCs w:val="24"/>
        </w:rPr>
        <w:t xml:space="preserve">constitucionalidad del artículo 134, fracción I, párrafos primero y segundo, del Código Fiscal de la Federación, que prevé las formas en que los actos de las autoridades fiscales deben darse a conocer a los causantes, sujetando el medio de notificación al tipo de documento que deba ser comunicado; esto es, si la autoridad emite un acto administrativo impreso, su notificación debe hacerse a través de los medios tradicionales, mientras que, si fuera por medios electrónicos, deberá realizarse de forma codificada por el buzón tributario. </w:t>
      </w:r>
    </w:p>
    <w:p w14:paraId="6144CFF8" w14:textId="77777777" w:rsidR="001C37AF" w:rsidRDefault="001C37AF" w:rsidP="00A97C9D">
      <w:pPr>
        <w:tabs>
          <w:tab w:val="left" w:pos="426"/>
        </w:tabs>
        <w:spacing w:after="0" w:line="240" w:lineRule="auto"/>
        <w:jc w:val="both"/>
        <w:rPr>
          <w:rFonts w:ascii="Arial Nova" w:hAnsi="Arial Nova" w:cs="Times New Roman"/>
          <w:sz w:val="24"/>
          <w:szCs w:val="24"/>
        </w:rPr>
      </w:pPr>
    </w:p>
    <w:p w14:paraId="3096249F" w14:textId="71FFA422" w:rsidR="00A97C9D" w:rsidRDefault="001C37AF" w:rsidP="00A97C9D">
      <w:pPr>
        <w:tabs>
          <w:tab w:val="left" w:pos="426"/>
        </w:tabs>
        <w:spacing w:after="0" w:line="240" w:lineRule="auto"/>
        <w:jc w:val="both"/>
        <w:rPr>
          <w:rFonts w:ascii="Arial Nova" w:hAnsi="Arial Nova" w:cs="Times New Roman"/>
          <w:sz w:val="24"/>
          <w:szCs w:val="24"/>
        </w:rPr>
      </w:pPr>
      <w:r w:rsidRPr="001C37AF">
        <w:rPr>
          <w:rFonts w:ascii="Arial Nova" w:hAnsi="Arial Nova" w:cs="Times New Roman"/>
          <w:sz w:val="24"/>
          <w:szCs w:val="24"/>
        </w:rPr>
        <w:t>El Tribunal Colegiado negó el amparo</w:t>
      </w:r>
      <w:r>
        <w:rPr>
          <w:rFonts w:ascii="Arial Nova" w:hAnsi="Arial Nova" w:cs="Times New Roman"/>
          <w:sz w:val="24"/>
          <w:szCs w:val="24"/>
        </w:rPr>
        <w:t xml:space="preserve"> solicitado</w:t>
      </w:r>
      <w:r w:rsidRPr="001C37AF">
        <w:rPr>
          <w:rFonts w:ascii="Arial Nova" w:hAnsi="Arial Nova" w:cs="Times New Roman"/>
          <w:sz w:val="24"/>
          <w:szCs w:val="24"/>
        </w:rPr>
        <w:t>, por lo que la quejosa interpuso un recurso de revisión.</w:t>
      </w:r>
    </w:p>
    <w:p w14:paraId="7B0E39EC" w14:textId="77777777" w:rsidR="001C37AF" w:rsidRPr="00884215" w:rsidRDefault="001C37AF" w:rsidP="00A97C9D">
      <w:pPr>
        <w:tabs>
          <w:tab w:val="left" w:pos="426"/>
        </w:tabs>
        <w:spacing w:after="0" w:line="240" w:lineRule="auto"/>
        <w:jc w:val="both"/>
        <w:rPr>
          <w:rFonts w:ascii="Arial Nova" w:hAnsi="Arial Nova" w:cs="Times New Roman"/>
          <w:sz w:val="24"/>
          <w:szCs w:val="24"/>
        </w:rPr>
      </w:pPr>
    </w:p>
    <w:p w14:paraId="6BA52939" w14:textId="4CDF03DC" w:rsidR="0048582B" w:rsidRPr="008B0FEE" w:rsidRDefault="00B323DA" w:rsidP="0045548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455482">
      <w:pPr>
        <w:spacing w:after="0" w:line="240" w:lineRule="auto"/>
        <w:jc w:val="both"/>
        <w:rPr>
          <w:rFonts w:ascii="Arial Nova" w:hAnsi="Arial Nova" w:cs="Times New Roman"/>
          <w:b/>
          <w:bCs/>
          <w:sz w:val="24"/>
          <w:szCs w:val="24"/>
          <w:shd w:val="clear" w:color="auto" w:fill="B4C6E7" w:themeFill="accent1" w:themeFillTint="66"/>
        </w:rPr>
      </w:pPr>
    </w:p>
    <w:p w14:paraId="7F70577D" w14:textId="229F0738" w:rsidR="00A97C9D" w:rsidRPr="00A97C9D" w:rsidRDefault="00A97C9D" w:rsidP="00A97C9D">
      <w:pPr>
        <w:tabs>
          <w:tab w:val="left" w:pos="0"/>
        </w:tabs>
        <w:spacing w:after="0" w:line="240" w:lineRule="auto"/>
        <w:contextualSpacing/>
        <w:jc w:val="both"/>
        <w:rPr>
          <w:rFonts w:ascii="Arial Nova" w:hAnsi="Arial Nova" w:cs="Times New Roman"/>
          <w:sz w:val="24"/>
          <w:szCs w:val="24"/>
        </w:rPr>
      </w:pPr>
      <w:r w:rsidRPr="00A97C9D">
        <w:rPr>
          <w:rFonts w:ascii="Arial Nova" w:hAnsi="Arial Nova" w:cs="Times New Roman"/>
          <w:sz w:val="24"/>
          <w:szCs w:val="24"/>
        </w:rPr>
        <w:t xml:space="preserve">La Primera Sala de la Suprema Corte de Justicia de la Nación reconoció la constitucionalidad </w:t>
      </w:r>
      <w:r w:rsidR="00777E61">
        <w:rPr>
          <w:rFonts w:ascii="Arial Nova" w:hAnsi="Arial Nova" w:cs="Times New Roman"/>
          <w:sz w:val="24"/>
          <w:szCs w:val="24"/>
        </w:rPr>
        <w:t xml:space="preserve">de la porción normativa impugnada, tras concluir que, </w:t>
      </w:r>
      <w:r w:rsidRPr="00A97C9D">
        <w:rPr>
          <w:rFonts w:ascii="Arial Nova" w:hAnsi="Arial Nova" w:cs="Times New Roman"/>
          <w:sz w:val="24"/>
          <w:szCs w:val="24"/>
        </w:rPr>
        <w:t xml:space="preserve">el hecho de que la autoridad fiscal tenga la facultad discrecional de emitir actos administrativos de forma impresa o de manera electrónica, conforme a lo dispuesto en el artículo 38 del </w:t>
      </w:r>
      <w:r w:rsidR="00777E61">
        <w:rPr>
          <w:rFonts w:ascii="Arial Nova" w:hAnsi="Arial Nova" w:cs="Times New Roman"/>
          <w:sz w:val="24"/>
          <w:szCs w:val="24"/>
        </w:rPr>
        <w:t xml:space="preserve">propio </w:t>
      </w:r>
      <w:r w:rsidRPr="00A97C9D">
        <w:rPr>
          <w:rFonts w:ascii="Arial Nova" w:hAnsi="Arial Nova" w:cs="Times New Roman"/>
          <w:sz w:val="24"/>
          <w:szCs w:val="24"/>
        </w:rPr>
        <w:t xml:space="preserve">Código </w:t>
      </w:r>
      <w:r w:rsidR="00777E61">
        <w:rPr>
          <w:rFonts w:ascii="Arial Nova" w:hAnsi="Arial Nova" w:cs="Times New Roman"/>
          <w:sz w:val="24"/>
          <w:szCs w:val="24"/>
        </w:rPr>
        <w:t>Fiscal de la Federación</w:t>
      </w:r>
      <w:r w:rsidRPr="00A97C9D">
        <w:rPr>
          <w:rFonts w:ascii="Arial Nova" w:hAnsi="Arial Nova" w:cs="Times New Roman"/>
          <w:sz w:val="24"/>
          <w:szCs w:val="24"/>
        </w:rPr>
        <w:t>, y que, por ende, deba atender a algún tipo de notificación específica para dar a conocer a su destinatario esa determinación, no vulnera el derecho a la seguridad jurídica de los causantes.</w:t>
      </w:r>
    </w:p>
    <w:p w14:paraId="13D95950" w14:textId="77777777" w:rsidR="00A97C9D" w:rsidRPr="00A97C9D" w:rsidRDefault="00A97C9D" w:rsidP="00A97C9D">
      <w:pPr>
        <w:tabs>
          <w:tab w:val="left" w:pos="0"/>
        </w:tabs>
        <w:spacing w:after="0" w:line="240" w:lineRule="auto"/>
        <w:contextualSpacing/>
        <w:jc w:val="both"/>
        <w:rPr>
          <w:rFonts w:ascii="Arial Nova" w:hAnsi="Arial Nova" w:cs="Times New Roman"/>
          <w:sz w:val="24"/>
          <w:szCs w:val="24"/>
        </w:rPr>
      </w:pPr>
    </w:p>
    <w:p w14:paraId="14441221" w14:textId="48E09E7E" w:rsidR="00A97C9D" w:rsidRPr="00A97C9D" w:rsidRDefault="00A97C9D" w:rsidP="00A97C9D">
      <w:pPr>
        <w:tabs>
          <w:tab w:val="left" w:pos="0"/>
        </w:tabs>
        <w:spacing w:after="0" w:line="240" w:lineRule="auto"/>
        <w:contextualSpacing/>
        <w:jc w:val="both"/>
        <w:rPr>
          <w:rFonts w:ascii="Arial Nova" w:hAnsi="Arial Nova" w:cs="Times New Roman"/>
          <w:sz w:val="24"/>
          <w:szCs w:val="24"/>
        </w:rPr>
      </w:pPr>
      <w:r w:rsidRPr="00A97C9D">
        <w:rPr>
          <w:rFonts w:ascii="Arial Nova" w:hAnsi="Arial Nova" w:cs="Times New Roman"/>
          <w:sz w:val="24"/>
          <w:szCs w:val="24"/>
        </w:rPr>
        <w:t xml:space="preserve">Lo anterior, pues tal derecho fundamental no exige que el legislador establezca </w:t>
      </w:r>
      <w:r w:rsidR="00090C36">
        <w:rPr>
          <w:rFonts w:ascii="Arial Nova" w:hAnsi="Arial Nova" w:cs="Times New Roman"/>
          <w:sz w:val="24"/>
          <w:szCs w:val="24"/>
        </w:rPr>
        <w:t xml:space="preserve">en el artículo 134, fracción I, del Código Fiscal de la Federación, </w:t>
      </w:r>
      <w:r w:rsidRPr="00A97C9D">
        <w:rPr>
          <w:rFonts w:ascii="Arial Nova" w:hAnsi="Arial Nova" w:cs="Times New Roman"/>
          <w:sz w:val="24"/>
          <w:szCs w:val="24"/>
        </w:rPr>
        <w:t xml:space="preserve">un listado específico —taxativo— de actos que deban emitirse en una forma u otra, sino que esos actos cumplan con ciertos requisitos mínimos para su emisión —previstos en el numeral 38 aludido—, que la persona sepa qué se le va a notificar, además de los requisitos y condiciones que deban satisfacerse para tal fin, con independencia del formato en </w:t>
      </w:r>
      <w:r w:rsidRPr="00A97C9D">
        <w:rPr>
          <w:rFonts w:ascii="Arial Nova" w:hAnsi="Arial Nova" w:cs="Times New Roman"/>
          <w:sz w:val="24"/>
          <w:szCs w:val="24"/>
        </w:rPr>
        <w:lastRenderedPageBreak/>
        <w:t>que la autoridad fiscal decida emitirlo. Ello, con objeto de que el contribuyente pueda controvertirlo, llegado el caso que así lo estime conveniente.</w:t>
      </w:r>
    </w:p>
    <w:p w14:paraId="67C7F15A" w14:textId="77777777" w:rsidR="00593ECD" w:rsidRPr="00593ECD" w:rsidRDefault="00593ECD" w:rsidP="00593ECD">
      <w:pPr>
        <w:spacing w:after="0" w:line="240" w:lineRule="auto"/>
        <w:jc w:val="both"/>
        <w:rPr>
          <w:rFonts w:ascii="Arial Nova" w:hAnsi="Arial Nova" w:cs="Times New Roman"/>
          <w:sz w:val="24"/>
          <w:szCs w:val="24"/>
        </w:rPr>
      </w:pPr>
    </w:p>
    <w:p w14:paraId="35367F24" w14:textId="77777777" w:rsidR="00593ECD" w:rsidRPr="00252580" w:rsidRDefault="00593ECD" w:rsidP="00593ECD">
      <w:pPr>
        <w:spacing w:after="0" w:line="240" w:lineRule="auto"/>
        <w:jc w:val="both"/>
        <w:rPr>
          <w:rFonts w:ascii="Arial" w:hAnsi="Arial" w:cs="Arial"/>
          <w:sz w:val="24"/>
          <w:szCs w:val="24"/>
        </w:rPr>
      </w:pPr>
    </w:p>
    <w:p w14:paraId="6555BF86" w14:textId="468A3E49" w:rsidR="0048582B" w:rsidRPr="00642B2A" w:rsidRDefault="00B323DA" w:rsidP="0045548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455482">
      <w:pPr>
        <w:spacing w:after="0" w:line="240" w:lineRule="auto"/>
        <w:jc w:val="both"/>
        <w:rPr>
          <w:rFonts w:ascii="Arial Nova" w:hAnsi="Arial Nova" w:cs="Times New Roman"/>
          <w:b/>
          <w:bCs/>
          <w:sz w:val="24"/>
          <w:szCs w:val="24"/>
          <w:shd w:val="clear" w:color="auto" w:fill="B4C6E7" w:themeFill="accent1" w:themeFillTint="66"/>
        </w:rPr>
      </w:pPr>
    </w:p>
    <w:p w14:paraId="7FD6E955" w14:textId="77488F7B" w:rsidR="005651E4"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5647AD">
        <w:rPr>
          <w:rFonts w:ascii="Arial Nova" w:hAnsi="Arial Nova" w:cs="Times New Roman"/>
          <w:sz w:val="24"/>
          <w:szCs w:val="24"/>
        </w:rPr>
        <w:t>1</w:t>
      </w:r>
      <w:r w:rsidR="0086058D">
        <w:rPr>
          <w:rFonts w:ascii="Arial Nova" w:hAnsi="Arial Nova" w:cs="Times New Roman"/>
          <w:sz w:val="24"/>
          <w:szCs w:val="24"/>
        </w:rPr>
        <w:t>7</w:t>
      </w:r>
      <w:r w:rsidR="005647AD">
        <w:rPr>
          <w:rFonts w:ascii="Arial Nova" w:hAnsi="Arial Nova" w:cs="Times New Roman"/>
          <w:sz w:val="24"/>
          <w:szCs w:val="24"/>
        </w:rPr>
        <w:t xml:space="preserve"> de enero </w:t>
      </w:r>
      <w:r w:rsidR="00B92B45" w:rsidRPr="00E32435">
        <w:rPr>
          <w:rFonts w:ascii="Arial Nova" w:hAnsi="Arial Nova" w:cs="Times New Roman"/>
          <w:sz w:val="24"/>
          <w:szCs w:val="24"/>
        </w:rPr>
        <w:t>de 202</w:t>
      </w:r>
      <w:r w:rsidR="005647AD">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5647AD">
        <w:rPr>
          <w:rFonts w:ascii="Arial Nova" w:hAnsi="Arial Nova" w:cs="Times New Roman"/>
          <w:sz w:val="24"/>
          <w:szCs w:val="24"/>
        </w:rPr>
        <w:t xml:space="preserve">unanimidad de cinco votos </w:t>
      </w:r>
      <w:r w:rsidR="002F5E8B" w:rsidRPr="00E32435">
        <w:rPr>
          <w:rFonts w:ascii="Arial Nova" w:hAnsi="Arial Nova" w:cs="Times New Roman"/>
          <w:sz w:val="24"/>
          <w:szCs w:val="24"/>
        </w:rPr>
        <w:t>de la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3E4163">
        <w:rPr>
          <w:rFonts w:ascii="Arial Nova" w:hAnsi="Arial Nova" w:cs="Times New Roman"/>
          <w:sz w:val="24"/>
          <w:szCs w:val="24"/>
        </w:rPr>
        <w:t xml:space="preserve">Señoras </w:t>
      </w:r>
      <w:r w:rsidR="002F5E8B" w:rsidRPr="00E32435">
        <w:rPr>
          <w:rFonts w:ascii="Arial Nova" w:hAnsi="Arial Nova" w:cs="Times New Roman"/>
          <w:sz w:val="24"/>
          <w:szCs w:val="24"/>
        </w:rPr>
        <w:t>Ministra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3E4163">
        <w:rPr>
          <w:rFonts w:ascii="Arial Nova" w:hAnsi="Arial Nova" w:cs="Times New Roman"/>
          <w:sz w:val="24"/>
          <w:szCs w:val="24"/>
        </w:rPr>
        <w:t xml:space="preserve">Loretta Ortiz Ahlf y Ana Margarita Ríos Farjat, así como de los Señores Ministros </w:t>
      </w:r>
      <w:r w:rsidR="003E4163" w:rsidRPr="00E32435">
        <w:rPr>
          <w:rFonts w:ascii="Arial Nova" w:hAnsi="Arial Nova" w:cs="Times New Roman"/>
          <w:sz w:val="24"/>
          <w:szCs w:val="24"/>
        </w:rPr>
        <w:t>Alfredo Gutiérrez Ortiz Mena</w:t>
      </w:r>
      <w:r w:rsidR="005647AD">
        <w:rPr>
          <w:rFonts w:ascii="Arial Nova" w:hAnsi="Arial Nova" w:cs="Times New Roman"/>
          <w:sz w:val="24"/>
          <w:szCs w:val="24"/>
        </w:rPr>
        <w:t xml:space="preserve">, </w:t>
      </w:r>
      <w:r w:rsidR="005647AD" w:rsidRPr="003E4163">
        <w:rPr>
          <w:rFonts w:ascii="Arial Nova" w:hAnsi="Arial Nova" w:cs="Times New Roman"/>
          <w:sz w:val="24"/>
          <w:szCs w:val="24"/>
        </w:rPr>
        <w:t>Juan Luis González Alcántara Carrancá</w:t>
      </w:r>
      <w:r w:rsidR="003E4163">
        <w:rPr>
          <w:rFonts w:ascii="Arial Nova" w:hAnsi="Arial Nova" w:cs="Times New Roman"/>
          <w:sz w:val="24"/>
          <w:szCs w:val="24"/>
        </w:rPr>
        <w:t xml:space="preserve"> y</w:t>
      </w:r>
      <w:r w:rsidR="003E4163" w:rsidRPr="00E32435">
        <w:rPr>
          <w:rFonts w:ascii="Arial Nova" w:hAnsi="Arial Nova" w:cs="Times New Roman"/>
          <w:sz w:val="24"/>
          <w:szCs w:val="24"/>
        </w:rPr>
        <w:t xml:space="preserve"> </w:t>
      </w:r>
      <w:r w:rsidR="00F46BE8" w:rsidRPr="00E32435">
        <w:rPr>
          <w:rFonts w:ascii="Arial Nova" w:hAnsi="Arial Nova" w:cs="Times New Roman"/>
          <w:sz w:val="24"/>
          <w:szCs w:val="24"/>
        </w:rPr>
        <w:t>Jorge Mario Pardo Rebolledo</w:t>
      </w:r>
      <w:r w:rsidR="003E4163">
        <w:rPr>
          <w:rFonts w:ascii="Arial Nova" w:hAnsi="Arial Nova" w:cs="Times New Roman"/>
          <w:sz w:val="24"/>
          <w:szCs w:val="24"/>
        </w:rPr>
        <w:t xml:space="preserve"> (Presidente)</w:t>
      </w:r>
      <w:r w:rsidR="00630C4B" w:rsidRPr="00E32435">
        <w:rPr>
          <w:rFonts w:ascii="Arial Nova" w:hAnsi="Arial Nova" w:cs="Times New Roman"/>
          <w:sz w:val="24"/>
          <w:szCs w:val="24"/>
        </w:rPr>
        <w:t>.</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9C7585">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4276" w14:textId="77777777" w:rsidR="009C7585" w:rsidRDefault="009C7585" w:rsidP="000A7E7B">
      <w:pPr>
        <w:spacing w:after="0" w:line="240" w:lineRule="auto"/>
      </w:pPr>
      <w:r>
        <w:separator/>
      </w:r>
    </w:p>
    <w:p w14:paraId="505C6C3A" w14:textId="77777777" w:rsidR="009C7585" w:rsidRDefault="009C7585"/>
  </w:endnote>
  <w:endnote w:type="continuationSeparator" w:id="0">
    <w:p w14:paraId="0E7DB6CB" w14:textId="77777777" w:rsidR="009C7585" w:rsidRDefault="009C7585" w:rsidP="000A7E7B">
      <w:pPr>
        <w:spacing w:after="0" w:line="240" w:lineRule="auto"/>
      </w:pPr>
      <w:r>
        <w:continuationSeparator/>
      </w:r>
    </w:p>
    <w:p w14:paraId="07DA344F" w14:textId="77777777" w:rsidR="009C7585" w:rsidRDefault="009C7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D332" w14:textId="77777777" w:rsidR="009C7585" w:rsidRDefault="009C7585" w:rsidP="000A7E7B">
      <w:pPr>
        <w:spacing w:after="0" w:line="240" w:lineRule="auto"/>
      </w:pPr>
      <w:r>
        <w:separator/>
      </w:r>
    </w:p>
    <w:p w14:paraId="7742FE1A" w14:textId="77777777" w:rsidR="009C7585" w:rsidRDefault="009C7585"/>
  </w:footnote>
  <w:footnote w:type="continuationSeparator" w:id="0">
    <w:p w14:paraId="0B248B20" w14:textId="77777777" w:rsidR="009C7585" w:rsidRDefault="009C7585" w:rsidP="000A7E7B">
      <w:pPr>
        <w:spacing w:after="0" w:line="240" w:lineRule="auto"/>
      </w:pPr>
      <w:r>
        <w:continuationSeparator/>
      </w:r>
    </w:p>
    <w:p w14:paraId="13F9FBEE" w14:textId="77777777" w:rsidR="009C7585" w:rsidRDefault="009C7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521582">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7BCC9E4A" w:rsidR="0048582B" w:rsidRPr="00046D48" w:rsidRDefault="0048582B" w:rsidP="00521582">
    <w:pPr>
      <w:pStyle w:val="Encabezado"/>
      <w:ind w:left="3828"/>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884215">
      <w:rPr>
        <w:rFonts w:ascii="Arial Nova" w:hAnsi="Arial Nova" w:cs="Times New Roman"/>
        <w:b/>
        <w:bCs/>
        <w:color w:val="002060"/>
        <w:sz w:val="20"/>
        <w:szCs w:val="20"/>
      </w:rPr>
      <w:t xml:space="preserve"> DIRECTO</w:t>
    </w:r>
    <w:r w:rsidRPr="00046D48">
      <w:rPr>
        <w:rFonts w:ascii="Arial Nova" w:hAnsi="Arial Nova" w:cs="Times New Roman"/>
        <w:b/>
        <w:bCs/>
        <w:color w:val="002060"/>
        <w:sz w:val="20"/>
        <w:szCs w:val="20"/>
      </w:rPr>
      <w:t xml:space="preserve"> EN REVISIÓN</w:t>
    </w:r>
    <w:r w:rsidR="00593ECD">
      <w:rPr>
        <w:rFonts w:ascii="Arial Nova" w:hAnsi="Arial Nova" w:cs="Times New Roman"/>
        <w:b/>
        <w:bCs/>
        <w:color w:val="002060"/>
        <w:sz w:val="20"/>
        <w:szCs w:val="20"/>
      </w:rPr>
      <w:t xml:space="preserve"> </w:t>
    </w:r>
    <w:r w:rsidR="00173F0D">
      <w:rPr>
        <w:rFonts w:ascii="Arial Nova" w:hAnsi="Arial Nova" w:cs="Times New Roman"/>
        <w:b/>
        <w:bCs/>
        <w:color w:val="002060"/>
        <w:sz w:val="20"/>
        <w:szCs w:val="20"/>
      </w:rPr>
      <w:t>1781</w:t>
    </w:r>
    <w:r w:rsidRPr="00046D48">
      <w:rPr>
        <w:rFonts w:ascii="Arial Nova" w:hAnsi="Arial Nova" w:cs="Times New Roman"/>
        <w:b/>
        <w:bCs/>
        <w:color w:val="002060"/>
        <w:sz w:val="20"/>
        <w:szCs w:val="20"/>
      </w:rPr>
      <w:t>/202</w:t>
    </w:r>
    <w:r w:rsidR="00521582">
      <w:rPr>
        <w:rFonts w:ascii="Arial Nova" w:hAnsi="Arial Nova" w:cs="Times New Roman"/>
        <w:b/>
        <w:bCs/>
        <w:color w:val="002060"/>
        <w:sz w:val="20"/>
        <w:szCs w:val="20"/>
      </w:rPr>
      <w:t>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07F34"/>
    <w:rsid w:val="00012771"/>
    <w:rsid w:val="00023E29"/>
    <w:rsid w:val="00024AF3"/>
    <w:rsid w:val="00026C6C"/>
    <w:rsid w:val="00037474"/>
    <w:rsid w:val="0004681E"/>
    <w:rsid w:val="00046D48"/>
    <w:rsid w:val="000474D9"/>
    <w:rsid w:val="000614E2"/>
    <w:rsid w:val="000643FD"/>
    <w:rsid w:val="00072FD1"/>
    <w:rsid w:val="00080AAC"/>
    <w:rsid w:val="00084403"/>
    <w:rsid w:val="00090C36"/>
    <w:rsid w:val="000911E5"/>
    <w:rsid w:val="00093A38"/>
    <w:rsid w:val="000A0E87"/>
    <w:rsid w:val="000A5B78"/>
    <w:rsid w:val="000A67FF"/>
    <w:rsid w:val="000A76E6"/>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133A"/>
    <w:rsid w:val="00155F2E"/>
    <w:rsid w:val="0016052F"/>
    <w:rsid w:val="00160CAC"/>
    <w:rsid w:val="001621BB"/>
    <w:rsid w:val="00162364"/>
    <w:rsid w:val="001624A8"/>
    <w:rsid w:val="001633B5"/>
    <w:rsid w:val="00165F78"/>
    <w:rsid w:val="00166644"/>
    <w:rsid w:val="001724BA"/>
    <w:rsid w:val="00173F0D"/>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37AF"/>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348"/>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2315"/>
    <w:rsid w:val="003A4A72"/>
    <w:rsid w:val="003A672A"/>
    <w:rsid w:val="003B0C5A"/>
    <w:rsid w:val="003B33AE"/>
    <w:rsid w:val="003B515C"/>
    <w:rsid w:val="003B55DB"/>
    <w:rsid w:val="003B6A72"/>
    <w:rsid w:val="003D4B08"/>
    <w:rsid w:val="003E12C6"/>
    <w:rsid w:val="003E2559"/>
    <w:rsid w:val="003E3C96"/>
    <w:rsid w:val="003E4163"/>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54E22"/>
    <w:rsid w:val="00455482"/>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1582"/>
    <w:rsid w:val="00523B4E"/>
    <w:rsid w:val="00526AE0"/>
    <w:rsid w:val="00526F66"/>
    <w:rsid w:val="00527634"/>
    <w:rsid w:val="00532133"/>
    <w:rsid w:val="0053735F"/>
    <w:rsid w:val="00544056"/>
    <w:rsid w:val="0055469E"/>
    <w:rsid w:val="00554BB3"/>
    <w:rsid w:val="00554CAF"/>
    <w:rsid w:val="005552DB"/>
    <w:rsid w:val="005647AD"/>
    <w:rsid w:val="00564FF0"/>
    <w:rsid w:val="005651E4"/>
    <w:rsid w:val="005723A9"/>
    <w:rsid w:val="0057274B"/>
    <w:rsid w:val="00574C7E"/>
    <w:rsid w:val="00577488"/>
    <w:rsid w:val="00583C0F"/>
    <w:rsid w:val="00584C2F"/>
    <w:rsid w:val="00587CCA"/>
    <w:rsid w:val="00593D25"/>
    <w:rsid w:val="00593ECD"/>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77E61"/>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8D"/>
    <w:rsid w:val="008605FA"/>
    <w:rsid w:val="0086190B"/>
    <w:rsid w:val="008624B5"/>
    <w:rsid w:val="00862BA9"/>
    <w:rsid w:val="00865D46"/>
    <w:rsid w:val="00871A80"/>
    <w:rsid w:val="00872F38"/>
    <w:rsid w:val="0087404F"/>
    <w:rsid w:val="00880E4E"/>
    <w:rsid w:val="008827AF"/>
    <w:rsid w:val="00884215"/>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17D24"/>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17A"/>
    <w:rsid w:val="0096662E"/>
    <w:rsid w:val="00981254"/>
    <w:rsid w:val="00983C16"/>
    <w:rsid w:val="00985B95"/>
    <w:rsid w:val="00986832"/>
    <w:rsid w:val="00987B58"/>
    <w:rsid w:val="00994661"/>
    <w:rsid w:val="009A0228"/>
    <w:rsid w:val="009A7F2E"/>
    <w:rsid w:val="009B0BCE"/>
    <w:rsid w:val="009B4895"/>
    <w:rsid w:val="009C12DD"/>
    <w:rsid w:val="009C33C3"/>
    <w:rsid w:val="009C7585"/>
    <w:rsid w:val="009D0A51"/>
    <w:rsid w:val="009D4D4F"/>
    <w:rsid w:val="009D7EF9"/>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3C21"/>
    <w:rsid w:val="00A34118"/>
    <w:rsid w:val="00A356D8"/>
    <w:rsid w:val="00A372BA"/>
    <w:rsid w:val="00A46110"/>
    <w:rsid w:val="00A54512"/>
    <w:rsid w:val="00A60A42"/>
    <w:rsid w:val="00A61235"/>
    <w:rsid w:val="00A64273"/>
    <w:rsid w:val="00A65414"/>
    <w:rsid w:val="00A71F20"/>
    <w:rsid w:val="00A762AD"/>
    <w:rsid w:val="00A85ADA"/>
    <w:rsid w:val="00A91D26"/>
    <w:rsid w:val="00A954EE"/>
    <w:rsid w:val="00A97C9D"/>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4E6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01246"/>
    <w:rsid w:val="00C10176"/>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3E8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7AA"/>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455482"/>
    <w:pPr>
      <w:spacing w:after="0" w:line="240" w:lineRule="auto"/>
    </w:pPr>
  </w:style>
  <w:style w:type="character" w:customStyle="1" w:styleId="normaltextrun">
    <w:name w:val="normaltextrun"/>
    <w:basedOn w:val="Fuentedeprrafopredeter"/>
    <w:rsid w:val="00917D24"/>
  </w:style>
  <w:style w:type="paragraph" w:customStyle="1" w:styleId="paragraph">
    <w:name w:val="paragraph"/>
    <w:basedOn w:val="Normal"/>
    <w:rsid w:val="00917D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qFormat/>
    <w:rsid w:val="00574C7E"/>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574C7E"/>
    <w:rPr>
      <w:rFonts w:ascii="Arial" w:eastAsia="Times New Roman" w:hAnsi="Arial" w:cs="Times New Roman"/>
      <w:b/>
      <w:caps/>
      <w:sz w:val="30"/>
      <w:szCs w:val="20"/>
      <w:lang w:val="es-ES_tradnl" w:eastAsia="es-MX"/>
    </w:rPr>
  </w:style>
  <w:style w:type="paragraph" w:styleId="Textocomentario">
    <w:name w:val="annotation text"/>
    <w:basedOn w:val="Normal"/>
    <w:link w:val="TextocomentarioCar"/>
    <w:uiPriority w:val="99"/>
    <w:unhideWhenUsed/>
    <w:rsid w:val="00884215"/>
    <w:pPr>
      <w:spacing w:line="240" w:lineRule="auto"/>
    </w:pPr>
    <w:rPr>
      <w:sz w:val="20"/>
      <w:szCs w:val="20"/>
    </w:rPr>
  </w:style>
  <w:style w:type="character" w:customStyle="1" w:styleId="TextocomentarioCar">
    <w:name w:val="Texto comentario Car"/>
    <w:basedOn w:val="Fuentedeprrafopredeter"/>
    <w:link w:val="Textocomentario"/>
    <w:uiPriority w:val="99"/>
    <w:rsid w:val="00884215"/>
    <w:rPr>
      <w:sz w:val="20"/>
      <w:szCs w:val="20"/>
    </w:rPr>
  </w:style>
  <w:style w:type="character" w:styleId="Refdecomentario">
    <w:name w:val="annotation reference"/>
    <w:basedOn w:val="Fuentedeprrafopredeter"/>
    <w:uiPriority w:val="99"/>
    <w:semiHidden/>
    <w:unhideWhenUsed/>
    <w:rsid w:val="00884215"/>
    <w:rPr>
      <w:sz w:val="16"/>
      <w:szCs w:val="16"/>
    </w:rPr>
  </w:style>
  <w:style w:type="paragraph" w:styleId="Asuntodelcomentario">
    <w:name w:val="annotation subject"/>
    <w:basedOn w:val="Textocomentario"/>
    <w:next w:val="Textocomentario"/>
    <w:link w:val="AsuntodelcomentarioCar"/>
    <w:uiPriority w:val="99"/>
    <w:semiHidden/>
    <w:unhideWhenUsed/>
    <w:rsid w:val="000A76E6"/>
    <w:rPr>
      <w:b/>
      <w:bCs/>
    </w:rPr>
  </w:style>
  <w:style w:type="character" w:customStyle="1" w:styleId="AsuntodelcomentarioCar">
    <w:name w:val="Asunto del comentario Car"/>
    <w:basedOn w:val="TextocomentarioCar"/>
    <w:link w:val="Asuntodelcomentario"/>
    <w:uiPriority w:val="99"/>
    <w:semiHidden/>
    <w:rsid w:val="000A76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5402">
      <w:bodyDiv w:val="1"/>
      <w:marLeft w:val="0"/>
      <w:marRight w:val="0"/>
      <w:marTop w:val="0"/>
      <w:marBottom w:val="0"/>
      <w:divBdr>
        <w:top w:val="none" w:sz="0" w:space="0" w:color="auto"/>
        <w:left w:val="none" w:sz="0" w:space="0" w:color="auto"/>
        <w:bottom w:val="none" w:sz="0" w:space="0" w:color="auto"/>
        <w:right w:val="none" w:sz="0" w:space="0" w:color="auto"/>
      </w:divBdr>
    </w:div>
    <w:div w:id="250625958">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500698579">
      <w:bodyDiv w:val="1"/>
      <w:marLeft w:val="0"/>
      <w:marRight w:val="0"/>
      <w:marTop w:val="0"/>
      <w:marBottom w:val="0"/>
      <w:divBdr>
        <w:top w:val="none" w:sz="0" w:space="0" w:color="auto"/>
        <w:left w:val="none" w:sz="0" w:space="0" w:color="auto"/>
        <w:bottom w:val="none" w:sz="0" w:space="0" w:color="auto"/>
        <w:right w:val="none" w:sz="0" w:space="0" w:color="auto"/>
      </w:divBdr>
    </w:div>
    <w:div w:id="77066124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23681389">
      <w:bodyDiv w:val="1"/>
      <w:marLeft w:val="0"/>
      <w:marRight w:val="0"/>
      <w:marTop w:val="0"/>
      <w:marBottom w:val="0"/>
      <w:divBdr>
        <w:top w:val="none" w:sz="0" w:space="0" w:color="auto"/>
        <w:left w:val="none" w:sz="0" w:space="0" w:color="auto"/>
        <w:bottom w:val="none" w:sz="0" w:space="0" w:color="auto"/>
        <w:right w:val="none" w:sz="0" w:space="0" w:color="auto"/>
      </w:divBdr>
    </w:div>
    <w:div w:id="1438676728">
      <w:bodyDiv w:val="1"/>
      <w:marLeft w:val="0"/>
      <w:marRight w:val="0"/>
      <w:marTop w:val="0"/>
      <w:marBottom w:val="0"/>
      <w:divBdr>
        <w:top w:val="none" w:sz="0" w:space="0" w:color="auto"/>
        <w:left w:val="none" w:sz="0" w:space="0" w:color="auto"/>
        <w:bottom w:val="none" w:sz="0" w:space="0" w:color="auto"/>
        <w:right w:val="none" w:sz="0" w:space="0" w:color="auto"/>
      </w:divBdr>
    </w:div>
    <w:div w:id="1480344787">
      <w:bodyDiv w:val="1"/>
      <w:marLeft w:val="0"/>
      <w:marRight w:val="0"/>
      <w:marTop w:val="0"/>
      <w:marBottom w:val="0"/>
      <w:divBdr>
        <w:top w:val="none" w:sz="0" w:space="0" w:color="auto"/>
        <w:left w:val="none" w:sz="0" w:space="0" w:color="auto"/>
        <w:bottom w:val="none" w:sz="0" w:space="0" w:color="auto"/>
        <w:right w:val="none" w:sz="0" w:space="0" w:color="auto"/>
      </w:divBdr>
    </w:div>
    <w:div w:id="1608851963">
      <w:bodyDiv w:val="1"/>
      <w:marLeft w:val="0"/>
      <w:marRight w:val="0"/>
      <w:marTop w:val="0"/>
      <w:marBottom w:val="0"/>
      <w:divBdr>
        <w:top w:val="none" w:sz="0" w:space="0" w:color="auto"/>
        <w:left w:val="none" w:sz="0" w:space="0" w:color="auto"/>
        <w:bottom w:val="none" w:sz="0" w:space="0" w:color="auto"/>
        <w:right w:val="none" w:sz="0" w:space="0" w:color="auto"/>
      </w:divBdr>
    </w:div>
    <w:div w:id="1833330310">
      <w:bodyDiv w:val="1"/>
      <w:marLeft w:val="0"/>
      <w:marRight w:val="0"/>
      <w:marTop w:val="0"/>
      <w:marBottom w:val="0"/>
      <w:divBdr>
        <w:top w:val="none" w:sz="0" w:space="0" w:color="auto"/>
        <w:left w:val="none" w:sz="0" w:space="0" w:color="auto"/>
        <w:bottom w:val="none" w:sz="0" w:space="0" w:color="auto"/>
        <w:right w:val="none" w:sz="0" w:space="0" w:color="auto"/>
      </w:divBdr>
    </w:div>
    <w:div w:id="1873226085">
      <w:bodyDiv w:val="1"/>
      <w:marLeft w:val="0"/>
      <w:marRight w:val="0"/>
      <w:marTop w:val="0"/>
      <w:marBottom w:val="0"/>
      <w:divBdr>
        <w:top w:val="none" w:sz="0" w:space="0" w:color="auto"/>
        <w:left w:val="none" w:sz="0" w:space="0" w:color="auto"/>
        <w:bottom w:val="none" w:sz="0" w:space="0" w:color="auto"/>
        <w:right w:val="none" w:sz="0" w:space="0" w:color="auto"/>
      </w:divBdr>
    </w:div>
    <w:div w:id="2028679441">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813</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4</cp:revision>
  <cp:lastPrinted>2021-06-08T20:16:00Z</cp:lastPrinted>
  <dcterms:created xsi:type="dcterms:W3CDTF">2024-02-09T16:11:00Z</dcterms:created>
  <dcterms:modified xsi:type="dcterms:W3CDTF">2024-02-09T17:50:00Z</dcterms:modified>
</cp:coreProperties>
</file>