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8CE3" w14:textId="4F77C819" w:rsidR="00BE71DC" w:rsidRDefault="00BE71DC" w:rsidP="006A3B8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bookmarkStart w:id="0" w:name="_GoBack"/>
      <w:bookmarkEnd w:id="0"/>
    </w:p>
    <w:p w14:paraId="41445501" w14:textId="77777777" w:rsidR="00ED53AB" w:rsidRPr="00B64D08" w:rsidRDefault="00ED53AB" w:rsidP="006A3B8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178BF4AF" w:rsidR="00444CFB" w:rsidRDefault="009F06E6"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ES CONSTITUCIONAL </w:t>
      </w:r>
      <w:r w:rsidR="001C1C62">
        <w:rPr>
          <w:rFonts w:ascii="Arial Nova" w:hAnsi="Arial Nova" w:cs="Times New Roman"/>
          <w:b/>
          <w:bCs/>
          <w:smallCaps/>
          <w:color w:val="002060"/>
        </w:rPr>
        <w:t xml:space="preserve">EL ESTABLECIMIENTO DE UNA MISMA TASA </w:t>
      </w:r>
      <w:r w:rsidR="006A3B8B">
        <w:rPr>
          <w:rFonts w:ascii="Arial Nova" w:hAnsi="Arial Nova" w:cs="Times New Roman"/>
          <w:b/>
          <w:bCs/>
          <w:smallCaps/>
          <w:color w:val="002060"/>
        </w:rPr>
        <w:t xml:space="preserve">POR </w:t>
      </w:r>
      <w:r w:rsidR="00766F6B">
        <w:rPr>
          <w:rFonts w:ascii="Arial Nova" w:hAnsi="Arial Nova" w:cs="Times New Roman"/>
          <w:b/>
          <w:bCs/>
          <w:smallCaps/>
          <w:color w:val="002060"/>
        </w:rPr>
        <w:t>PAGO EXTEMPORÁNEO</w:t>
      </w:r>
      <w:r w:rsidR="001C1C62">
        <w:rPr>
          <w:rFonts w:ascii="Arial Nova" w:hAnsi="Arial Nova" w:cs="Times New Roman"/>
          <w:b/>
          <w:bCs/>
          <w:smallCaps/>
          <w:color w:val="002060"/>
        </w:rPr>
        <w:t xml:space="preserve"> DE CONTRIBUCIONES, YA SEA POR MES O FRACCIÓN DE ÉSTE</w:t>
      </w:r>
    </w:p>
    <w:p w14:paraId="6FB7DAC2" w14:textId="77777777" w:rsidR="001C01EC" w:rsidRPr="006A3B8B" w:rsidRDefault="001C01EC" w:rsidP="006A3B8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F6BDEE" w14:textId="77777777" w:rsidR="006A3B8B" w:rsidRPr="006A3B8B" w:rsidRDefault="006A3B8B" w:rsidP="006A3B8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145E19AA" w14:textId="2E89F332" w:rsidR="006A3B8B" w:rsidRDefault="006A3B8B" w:rsidP="006A3B8B">
      <w:pPr>
        <w:shd w:val="clear" w:color="auto" w:fill="E7E6E6" w:themeFill="background2"/>
        <w:spacing w:after="0" w:line="240" w:lineRule="auto"/>
        <w:ind w:left="2552"/>
        <w:jc w:val="right"/>
        <w:rPr>
          <w:rFonts w:ascii="Arial Nova" w:hAnsi="Arial Nova" w:cs="Times New Roman"/>
          <w:smallCaps/>
          <w:color w:val="002060"/>
        </w:rPr>
      </w:pPr>
      <w:bookmarkStart w:id="1" w:name="_Hlk133506801"/>
      <w:bookmarkStart w:id="2" w:name="_Hlk133506760"/>
      <w:r w:rsidRPr="001624A8">
        <w:rPr>
          <w:rFonts w:ascii="Arial Nova" w:hAnsi="Arial Nova" w:cs="Times New Roman"/>
          <w:b/>
          <w:bCs/>
          <w:smallCaps/>
          <w:color w:val="002060"/>
        </w:rPr>
        <w:t>Ponente: Minis</w:t>
      </w:r>
      <w:r>
        <w:rPr>
          <w:rFonts w:ascii="Arial Nova" w:hAnsi="Arial Nova" w:cs="Times New Roman"/>
          <w:b/>
          <w:bCs/>
          <w:smallCaps/>
          <w:color w:val="002060"/>
        </w:rPr>
        <w:t>tro Juan Luis González Alcántara Carrancá</w:t>
      </w:r>
      <w:r w:rsidRPr="001624A8">
        <w:rPr>
          <w:rFonts w:ascii="Arial Nova" w:hAnsi="Arial Nova" w:cs="Times New Roman"/>
          <w:smallCaps/>
          <w:color w:val="002060"/>
        </w:rPr>
        <w:t>.</w:t>
      </w:r>
    </w:p>
    <w:p w14:paraId="6BB95360" w14:textId="370C9C32" w:rsidR="006A3B8B" w:rsidRDefault="006A3B8B" w:rsidP="006A3B8B">
      <w:pPr>
        <w:shd w:val="clear" w:color="auto" w:fill="E7E6E6" w:themeFill="background2"/>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w:t>
      </w:r>
      <w:r>
        <w:rPr>
          <w:rFonts w:ascii="Arial Nova" w:hAnsi="Arial Nova" w:cs="Times New Roman"/>
          <w:smallCaps/>
          <w:color w:val="002060"/>
        </w:rPr>
        <w:t>io: Víctor Manuel Rocha Mercado.</w:t>
      </w:r>
    </w:p>
    <w:p w14:paraId="24B33956" w14:textId="220E5761" w:rsidR="001C1C62" w:rsidRDefault="001C1C62" w:rsidP="006A3B8B">
      <w:pPr>
        <w:shd w:val="clear" w:color="auto" w:fill="E7E6E6" w:themeFill="background2"/>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 xml:space="preserve">Secretaria Auxiliar: </w:t>
      </w:r>
      <w:proofErr w:type="spellStart"/>
      <w:r>
        <w:rPr>
          <w:rFonts w:ascii="Arial Nova" w:hAnsi="Arial Nova" w:cs="Times New Roman"/>
          <w:smallCaps/>
          <w:color w:val="002060"/>
        </w:rPr>
        <w:t>Yuritza</w:t>
      </w:r>
      <w:proofErr w:type="spellEnd"/>
      <w:r>
        <w:rPr>
          <w:rFonts w:ascii="Arial Nova" w:hAnsi="Arial Nova" w:cs="Times New Roman"/>
          <w:smallCaps/>
          <w:color w:val="002060"/>
        </w:rPr>
        <w:t xml:space="preserve"> Castillo </w:t>
      </w:r>
      <w:proofErr w:type="spellStart"/>
      <w:r>
        <w:rPr>
          <w:rFonts w:ascii="Arial Nova" w:hAnsi="Arial Nova" w:cs="Times New Roman"/>
          <w:smallCaps/>
          <w:color w:val="002060"/>
        </w:rPr>
        <w:t>Carlock</w:t>
      </w:r>
      <w:proofErr w:type="spellEnd"/>
      <w:r>
        <w:rPr>
          <w:rFonts w:ascii="Arial Nova" w:hAnsi="Arial Nova" w:cs="Times New Roman"/>
          <w:smallCaps/>
          <w:color w:val="002060"/>
        </w:rPr>
        <w:t>.</w:t>
      </w:r>
    </w:p>
    <w:p w14:paraId="1C0B4F90" w14:textId="55E6F271" w:rsidR="001C01EC" w:rsidRPr="004C2D17" w:rsidRDefault="001C01EC" w:rsidP="006A3B8B">
      <w:pPr>
        <w:shd w:val="clear" w:color="auto" w:fill="E7E6E6" w:themeFill="background2"/>
        <w:spacing w:after="0" w:line="240" w:lineRule="auto"/>
        <w:ind w:left="2552"/>
        <w:jc w:val="right"/>
        <w:rPr>
          <w:rFonts w:ascii="Arial Nova" w:hAnsi="Arial Nova" w:cs="Times New Roman"/>
          <w:smallCaps/>
        </w:rPr>
      </w:pPr>
      <w:bookmarkStart w:id="3" w:name="_Hlk133506816"/>
      <w:bookmarkEnd w:id="1"/>
      <w:r w:rsidRPr="001624A8">
        <w:rPr>
          <w:rFonts w:ascii="Arial Nova" w:hAnsi="Arial Nova" w:cs="Times New Roman"/>
          <w:smallCaps/>
          <w:color w:val="002060"/>
        </w:rPr>
        <w:t xml:space="preserve">Expediente: </w:t>
      </w:r>
      <w:r w:rsidR="000F558E">
        <w:rPr>
          <w:rFonts w:ascii="Arial Nova" w:hAnsi="Arial Nova" w:cs="Times New Roman"/>
          <w:smallCaps/>
          <w:color w:val="002060"/>
        </w:rPr>
        <w:t>Amparo</w:t>
      </w:r>
      <w:r w:rsidR="0001305F">
        <w:rPr>
          <w:rFonts w:ascii="Arial Nova" w:hAnsi="Arial Nova" w:cs="Times New Roman"/>
          <w:smallCaps/>
          <w:color w:val="002060"/>
        </w:rPr>
        <w:t xml:space="preserve"> </w:t>
      </w:r>
      <w:r w:rsidR="000F558E">
        <w:rPr>
          <w:rFonts w:ascii="Arial Nova" w:hAnsi="Arial Nova" w:cs="Times New Roman"/>
          <w:smallCaps/>
          <w:color w:val="002060"/>
        </w:rPr>
        <w:t>en Revisión</w:t>
      </w:r>
      <w:r w:rsidR="00475AF0">
        <w:rPr>
          <w:rFonts w:ascii="Arial Nova" w:hAnsi="Arial Nova" w:cs="Times New Roman"/>
          <w:smallCaps/>
          <w:color w:val="002060"/>
        </w:rPr>
        <w:t xml:space="preserve"> </w:t>
      </w:r>
      <w:r w:rsidR="001C1C62">
        <w:rPr>
          <w:rFonts w:ascii="Arial Nova" w:hAnsi="Arial Nova" w:cs="Times New Roman"/>
          <w:smallCaps/>
          <w:color w:val="002060"/>
        </w:rPr>
        <w:t>593</w:t>
      </w:r>
      <w:r w:rsidR="0001305F">
        <w:rPr>
          <w:rFonts w:ascii="Arial Nova" w:hAnsi="Arial Nova" w:cs="Times New Roman"/>
          <w:smallCaps/>
          <w:color w:val="002060"/>
        </w:rPr>
        <w:t>/202</w:t>
      </w:r>
      <w:r w:rsidR="001C1C62">
        <w:rPr>
          <w:rFonts w:ascii="Arial Nova" w:hAnsi="Arial Nova" w:cs="Times New Roman"/>
          <w:smallCaps/>
          <w:color w:val="002060"/>
        </w:rPr>
        <w:t>3</w:t>
      </w:r>
      <w:r w:rsidRPr="004C2D17">
        <w:rPr>
          <w:rFonts w:ascii="Arial Nova" w:hAnsi="Arial Nova" w:cs="Times New Roman"/>
          <w:smallCaps/>
        </w:rPr>
        <w:t>.</w:t>
      </w:r>
      <w:bookmarkEnd w:id="2"/>
      <w:bookmarkEnd w:id="3"/>
    </w:p>
    <w:p w14:paraId="4ED83672" w14:textId="16646A47" w:rsidR="001C01EC" w:rsidRDefault="001C01EC" w:rsidP="006A3B8B">
      <w:pPr>
        <w:spacing w:after="0" w:line="240" w:lineRule="auto"/>
        <w:rPr>
          <w:rFonts w:ascii="Arial Nova" w:hAnsi="Arial Nova" w:cs="Times New Roman"/>
          <w:sz w:val="20"/>
          <w:szCs w:val="20"/>
        </w:rPr>
      </w:pPr>
    </w:p>
    <w:p w14:paraId="11E4DF11" w14:textId="77777777" w:rsidR="006A3B8B" w:rsidRDefault="006A3B8B" w:rsidP="005E55B8">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5E55B8">
            <w:pPr>
              <w:jc w:val="both"/>
              <w:rPr>
                <w:rFonts w:ascii="Arial Nova" w:hAnsi="Arial Nova" w:cs="Times New Roman"/>
              </w:rPr>
            </w:pPr>
          </w:p>
          <w:p w14:paraId="213F2911" w14:textId="783FCBAB" w:rsidR="00B65914" w:rsidRDefault="00B323DA" w:rsidP="005E55B8">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2F1B2716" w14:textId="77777777" w:rsidR="00ED53AB" w:rsidRDefault="00ED53AB" w:rsidP="005E55B8">
            <w:pPr>
              <w:jc w:val="both"/>
              <w:rPr>
                <w:rFonts w:ascii="Arial Nova" w:hAnsi="Arial Nova" w:cs="Times New Roman"/>
              </w:rPr>
            </w:pPr>
          </w:p>
          <w:p w14:paraId="6D623F9C" w14:textId="758A42AB" w:rsidR="001C1C62" w:rsidRPr="001C1C62" w:rsidRDefault="004D3CE9" w:rsidP="005E55B8">
            <w:pPr>
              <w:jc w:val="both"/>
              <w:rPr>
                <w:rFonts w:ascii="Arial Nova" w:hAnsi="Arial Nova" w:cs="Times New Roman"/>
              </w:rPr>
            </w:pPr>
            <w:r>
              <w:rPr>
                <w:rFonts w:ascii="Arial Nova" w:hAnsi="Arial Nova" w:cs="Times New Roman"/>
              </w:rPr>
              <w:t>U</w:t>
            </w:r>
            <w:r w:rsidR="001C1C62" w:rsidRPr="001C1C62">
              <w:rPr>
                <w:rFonts w:ascii="Arial Nova" w:hAnsi="Arial Nova" w:cs="Times New Roman"/>
              </w:rPr>
              <w:t xml:space="preserve">na empresa </w:t>
            </w:r>
            <w:r>
              <w:rPr>
                <w:rFonts w:ascii="Arial Nova" w:hAnsi="Arial Nova" w:cs="Times New Roman"/>
              </w:rPr>
              <w:t xml:space="preserve">promovió un juicio de amparo indirecto </w:t>
            </w:r>
            <w:r w:rsidR="001C1C62" w:rsidRPr="001C1C62">
              <w:rPr>
                <w:rFonts w:ascii="Arial Nova" w:hAnsi="Arial Nova" w:cs="Times New Roman"/>
              </w:rPr>
              <w:t>en contra del artículo 21, párrafos primero y quinto, del Código Fiscal de la Federación</w:t>
            </w:r>
            <w:r w:rsidR="005E55B8">
              <w:rPr>
                <w:rFonts w:ascii="Arial Nova" w:hAnsi="Arial Nova" w:cs="Times New Roman"/>
              </w:rPr>
              <w:t xml:space="preserve">, tras considerar </w:t>
            </w:r>
            <w:r w:rsidR="00FA3F87">
              <w:rPr>
                <w:rFonts w:ascii="Arial Nova" w:hAnsi="Arial Nova" w:cs="Times New Roman"/>
              </w:rPr>
              <w:t xml:space="preserve">que </w:t>
            </w:r>
            <w:r w:rsidR="009E2074">
              <w:rPr>
                <w:rFonts w:ascii="Arial Nova" w:hAnsi="Arial Nova" w:cs="Times New Roman"/>
              </w:rPr>
              <w:t xml:space="preserve">las </w:t>
            </w:r>
            <w:r w:rsidR="009F06E6">
              <w:rPr>
                <w:rFonts w:ascii="Arial Nova" w:hAnsi="Arial Nova" w:cs="Times New Roman"/>
              </w:rPr>
              <w:t>p</w:t>
            </w:r>
            <w:r w:rsidR="00FA3F87">
              <w:rPr>
                <w:rFonts w:ascii="Arial Nova" w:hAnsi="Arial Nova" w:cs="Times New Roman"/>
              </w:rPr>
              <w:t xml:space="preserve">orciones normativas </w:t>
            </w:r>
            <w:r w:rsidR="009F06E6">
              <w:rPr>
                <w:rFonts w:ascii="Arial Nova" w:hAnsi="Arial Nova" w:cs="Times New Roman"/>
              </w:rPr>
              <w:t>resultaban contrarias a los principios de proporcio</w:t>
            </w:r>
            <w:r w:rsidR="00FA3F87">
              <w:rPr>
                <w:rFonts w:ascii="Arial Nova" w:hAnsi="Arial Nova" w:cs="Times New Roman"/>
              </w:rPr>
              <w:t>nalidad y equidad tributaria</w:t>
            </w:r>
            <w:r w:rsidR="005E55B8">
              <w:rPr>
                <w:rFonts w:ascii="Arial Nova" w:hAnsi="Arial Nova" w:cs="Times New Roman"/>
              </w:rPr>
              <w:t>s. Lo anterior,</w:t>
            </w:r>
            <w:r w:rsidR="00FA3F87">
              <w:rPr>
                <w:rFonts w:ascii="Arial Nova" w:hAnsi="Arial Nova" w:cs="Times New Roman"/>
              </w:rPr>
              <w:t xml:space="preserve"> p</w:t>
            </w:r>
            <w:r w:rsidR="00A213B5">
              <w:rPr>
                <w:rFonts w:ascii="Arial Nova" w:hAnsi="Arial Nova" w:cs="Times New Roman"/>
              </w:rPr>
              <w:t>ues</w:t>
            </w:r>
            <w:r w:rsidR="009F06E6">
              <w:rPr>
                <w:rFonts w:ascii="Arial Nova" w:hAnsi="Arial Nova" w:cs="Times New Roman"/>
              </w:rPr>
              <w:t xml:space="preserve"> establecían </w:t>
            </w:r>
            <w:r w:rsidR="001C1C62" w:rsidRPr="001C1C62">
              <w:rPr>
                <w:rFonts w:ascii="Arial Nova" w:hAnsi="Arial Nova" w:cs="Times New Roman"/>
              </w:rPr>
              <w:t>una misma tasa de recargos para el pago extemporáneo de contribuciones, sin fijar una tasa progresiva de acuerdo co</w:t>
            </w:r>
            <w:r w:rsidR="0098662D">
              <w:rPr>
                <w:rFonts w:ascii="Arial Nova" w:hAnsi="Arial Nova" w:cs="Times New Roman"/>
              </w:rPr>
              <w:t>n el día del mes en que se cubriera</w:t>
            </w:r>
            <w:r w:rsidR="001C1C62" w:rsidRPr="001C1C62">
              <w:rPr>
                <w:rFonts w:ascii="Arial Nova" w:hAnsi="Arial Nova" w:cs="Times New Roman"/>
              </w:rPr>
              <w:t>n las contribuciones omitidas</w:t>
            </w:r>
            <w:r>
              <w:rPr>
                <w:rFonts w:ascii="Arial Nova" w:hAnsi="Arial Nova" w:cs="Times New Roman"/>
              </w:rPr>
              <w:t>.</w:t>
            </w:r>
          </w:p>
          <w:p w14:paraId="6D2F4033" w14:textId="77777777" w:rsidR="001C1C62" w:rsidRPr="001C1C62" w:rsidRDefault="001C1C62" w:rsidP="005E55B8">
            <w:pPr>
              <w:jc w:val="both"/>
              <w:rPr>
                <w:rFonts w:ascii="Arial Nova" w:hAnsi="Arial Nova" w:cs="Times New Roman"/>
              </w:rPr>
            </w:pPr>
          </w:p>
          <w:p w14:paraId="48BEE089" w14:textId="66EDAA68" w:rsidR="001C1C62" w:rsidRDefault="001C1C62" w:rsidP="005E55B8">
            <w:pPr>
              <w:jc w:val="both"/>
              <w:rPr>
                <w:rFonts w:ascii="Arial Nova" w:hAnsi="Arial Nova" w:cs="Times New Roman"/>
              </w:rPr>
            </w:pPr>
            <w:r w:rsidRPr="001C1C62">
              <w:rPr>
                <w:rFonts w:ascii="Arial Nova" w:hAnsi="Arial Nova" w:cs="Times New Roman"/>
              </w:rPr>
              <w:t xml:space="preserve">El Juez de Distrito </w:t>
            </w:r>
            <w:r w:rsidR="00A213B5">
              <w:rPr>
                <w:rFonts w:ascii="Arial Nova" w:hAnsi="Arial Nova" w:cs="Times New Roman"/>
              </w:rPr>
              <w:t xml:space="preserve">que conoció del asunto </w:t>
            </w:r>
            <w:r w:rsidRPr="001C1C62">
              <w:rPr>
                <w:rFonts w:ascii="Arial Nova" w:hAnsi="Arial Nova" w:cs="Times New Roman"/>
              </w:rPr>
              <w:t>negó la protección constitucional respecto del precepto reclamado</w:t>
            </w:r>
            <w:r w:rsidR="00A213B5">
              <w:rPr>
                <w:rFonts w:ascii="Arial Nova" w:hAnsi="Arial Nova" w:cs="Times New Roman"/>
              </w:rPr>
              <w:t xml:space="preserve">. Inconformes con la </w:t>
            </w:r>
            <w:r w:rsidRPr="001C1C62">
              <w:rPr>
                <w:rFonts w:ascii="Arial Nova" w:hAnsi="Arial Nova" w:cs="Times New Roman"/>
              </w:rPr>
              <w:t>decisión</w:t>
            </w:r>
            <w:r w:rsidR="00A213B5">
              <w:rPr>
                <w:rFonts w:ascii="Arial Nova" w:hAnsi="Arial Nova" w:cs="Times New Roman"/>
              </w:rPr>
              <w:t xml:space="preserve">, </w:t>
            </w:r>
            <w:r w:rsidRPr="001C1C62">
              <w:rPr>
                <w:rFonts w:ascii="Arial Nova" w:hAnsi="Arial Nova" w:cs="Times New Roman"/>
              </w:rPr>
              <w:t>tanto la empresa quejosa como la autoridad responsable, interpusieron recursos de revisión principal y adhesivo, respectivamente. El Tribunal Colegiado reservó jurisdicción a la Suprema Corte, tras advertir la existencia de un tema de constitucionalidad.</w:t>
            </w:r>
          </w:p>
          <w:p w14:paraId="75E18839" w14:textId="6833F12F" w:rsidR="001C1C62" w:rsidRDefault="001C1C62" w:rsidP="005E55B8">
            <w:pPr>
              <w:jc w:val="both"/>
              <w:rPr>
                <w:rFonts w:ascii="Arial Nova" w:hAnsi="Arial Nova" w:cs="Times New Roman"/>
              </w:rPr>
            </w:pPr>
          </w:p>
          <w:p w14:paraId="10CA84C9" w14:textId="5BD4EEA6" w:rsidR="00DB3D5C" w:rsidRDefault="001C1C62" w:rsidP="005E55B8">
            <w:pPr>
              <w:tabs>
                <w:tab w:val="left" w:pos="0"/>
              </w:tabs>
              <w:contextualSpacing/>
              <w:jc w:val="both"/>
              <w:rPr>
                <w:rFonts w:ascii="Arial Nova" w:hAnsi="Arial Nova" w:cs="Times New Roman"/>
              </w:rPr>
            </w:pPr>
            <w:r w:rsidRPr="001C1C62">
              <w:rPr>
                <w:rFonts w:ascii="Arial Nova" w:hAnsi="Arial Nova" w:cs="Times New Roman"/>
              </w:rPr>
              <w:t xml:space="preserve">En su fallo, el Alto Tribunal </w:t>
            </w:r>
            <w:r w:rsidR="004D3CE9">
              <w:rPr>
                <w:rFonts w:ascii="Arial Nova" w:hAnsi="Arial Nova" w:cs="Times New Roman"/>
              </w:rPr>
              <w:t>resolvió que</w:t>
            </w:r>
            <w:r w:rsidR="00587A14">
              <w:rPr>
                <w:rFonts w:ascii="Arial Nova" w:hAnsi="Arial Nova" w:cs="Times New Roman"/>
              </w:rPr>
              <w:t>,</w:t>
            </w:r>
            <w:r w:rsidR="004D3CE9">
              <w:rPr>
                <w:rFonts w:ascii="Arial Nova" w:hAnsi="Arial Nova" w:cs="Times New Roman"/>
              </w:rPr>
              <w:t xml:space="preserve"> l</w:t>
            </w:r>
            <w:r w:rsidR="004D3CE9" w:rsidRPr="004D3CE9">
              <w:rPr>
                <w:rFonts w:ascii="Arial Nova" w:hAnsi="Arial Nova" w:cs="Times New Roman"/>
              </w:rPr>
              <w:t xml:space="preserve">a fijación de una tasa </w:t>
            </w:r>
            <w:r w:rsidR="001646E2">
              <w:rPr>
                <w:rFonts w:ascii="Arial Nova" w:hAnsi="Arial Nova" w:cs="Times New Roman"/>
              </w:rPr>
              <w:t xml:space="preserve">homologada </w:t>
            </w:r>
            <w:r w:rsidR="004D3CE9" w:rsidRPr="004D3CE9">
              <w:rPr>
                <w:rFonts w:ascii="Arial Nova" w:hAnsi="Arial Nova" w:cs="Times New Roman"/>
              </w:rPr>
              <w:t>de recargos fiscales no transgrede los principios de proporcionalidad y equidad tributaria</w:t>
            </w:r>
            <w:r w:rsidR="001646E2">
              <w:rPr>
                <w:rFonts w:ascii="Arial Nova" w:hAnsi="Arial Nova" w:cs="Times New Roman"/>
              </w:rPr>
              <w:t>,</w:t>
            </w:r>
            <w:r w:rsidR="004D3CE9" w:rsidRPr="004D3CE9">
              <w:rPr>
                <w:rFonts w:ascii="Arial Nova" w:hAnsi="Arial Nova" w:cs="Times New Roman"/>
              </w:rPr>
              <w:t xml:space="preserve"> pues guarda una relación razonable con la afectación provocada al fisco federal y aplica para un mismo tipo de contribuyentes morosos</w:t>
            </w:r>
            <w:r w:rsidRPr="001C1C62">
              <w:rPr>
                <w:rFonts w:ascii="Arial Nova" w:hAnsi="Arial Nova" w:cs="Times New Roman"/>
              </w:rPr>
              <w:t>.</w:t>
            </w:r>
          </w:p>
          <w:p w14:paraId="068A96B6" w14:textId="25E1FE59" w:rsidR="001C1C62" w:rsidRPr="001503FB" w:rsidRDefault="001C1C62" w:rsidP="005E55B8">
            <w:pPr>
              <w:tabs>
                <w:tab w:val="left" w:pos="0"/>
              </w:tabs>
              <w:contextualSpacing/>
              <w:jc w:val="both"/>
              <w:rPr>
                <w:rFonts w:ascii="Arial Nova" w:hAnsi="Arial Nova"/>
              </w:rPr>
            </w:pPr>
          </w:p>
        </w:tc>
      </w:tr>
    </w:tbl>
    <w:p w14:paraId="6F402943" w14:textId="77777777" w:rsidR="004D3CE9" w:rsidRDefault="004D3CE9" w:rsidP="005E55B8">
      <w:pPr>
        <w:spacing w:after="0" w:line="240" w:lineRule="auto"/>
        <w:jc w:val="both"/>
        <w:rPr>
          <w:rFonts w:ascii="Arial Nova" w:hAnsi="Arial Nova" w:cs="Times New Roman"/>
        </w:rPr>
      </w:pPr>
    </w:p>
    <w:p w14:paraId="67E3C542" w14:textId="77777777" w:rsidR="004D3CE9" w:rsidRDefault="004D3CE9" w:rsidP="005E55B8">
      <w:pPr>
        <w:spacing w:after="0" w:line="240" w:lineRule="auto"/>
        <w:jc w:val="both"/>
        <w:rPr>
          <w:rFonts w:ascii="Arial Nova" w:hAnsi="Arial Nova" w:cs="Times New Roman"/>
        </w:rPr>
      </w:pPr>
    </w:p>
    <w:p w14:paraId="6438FEEE" w14:textId="77777777" w:rsidR="004D3CE9" w:rsidRDefault="004D3CE9" w:rsidP="005E55B8">
      <w:pPr>
        <w:spacing w:after="0" w:line="240" w:lineRule="auto"/>
        <w:jc w:val="both"/>
        <w:rPr>
          <w:rFonts w:ascii="Arial Nova" w:hAnsi="Arial Nova" w:cs="Times New Roman"/>
        </w:rPr>
      </w:pPr>
    </w:p>
    <w:p w14:paraId="56B76711" w14:textId="77777777" w:rsidR="005E55B8" w:rsidRDefault="005E55B8" w:rsidP="005E55B8">
      <w:pPr>
        <w:spacing w:after="0" w:line="240" w:lineRule="auto"/>
        <w:jc w:val="both"/>
        <w:rPr>
          <w:rFonts w:ascii="Arial Nova" w:hAnsi="Arial Nova" w:cs="Times New Roman"/>
        </w:rPr>
      </w:pPr>
    </w:p>
    <w:p w14:paraId="7EBDCB95" w14:textId="77777777" w:rsidR="005E55B8" w:rsidRDefault="005E55B8" w:rsidP="005E55B8">
      <w:pPr>
        <w:spacing w:after="0" w:line="240" w:lineRule="auto"/>
        <w:jc w:val="both"/>
        <w:rPr>
          <w:rFonts w:ascii="Arial Nova" w:hAnsi="Arial Nova" w:cs="Times New Roman"/>
        </w:rPr>
      </w:pPr>
    </w:p>
    <w:p w14:paraId="713A354B" w14:textId="77777777" w:rsidR="005E55B8" w:rsidRDefault="005E55B8" w:rsidP="005E55B8">
      <w:pPr>
        <w:spacing w:after="0" w:line="240" w:lineRule="auto"/>
        <w:jc w:val="both"/>
        <w:rPr>
          <w:rFonts w:ascii="Arial Nova" w:hAnsi="Arial Nova" w:cs="Times New Roman"/>
        </w:rPr>
      </w:pPr>
    </w:p>
    <w:p w14:paraId="539523D7" w14:textId="77777777" w:rsidR="005E55B8" w:rsidRDefault="005E55B8" w:rsidP="005E55B8">
      <w:pPr>
        <w:spacing w:after="0" w:line="240" w:lineRule="auto"/>
        <w:jc w:val="both"/>
        <w:rPr>
          <w:rFonts w:ascii="Arial Nova" w:hAnsi="Arial Nova" w:cs="Times New Roman"/>
        </w:rPr>
      </w:pPr>
    </w:p>
    <w:p w14:paraId="72D9EE40" w14:textId="77777777" w:rsidR="005E55B8" w:rsidRDefault="005E55B8" w:rsidP="005E55B8">
      <w:pPr>
        <w:spacing w:after="0" w:line="240" w:lineRule="auto"/>
        <w:jc w:val="both"/>
        <w:rPr>
          <w:rFonts w:ascii="Arial Nova" w:hAnsi="Arial Nova" w:cs="Times New Roman"/>
        </w:rPr>
      </w:pPr>
    </w:p>
    <w:p w14:paraId="6A545D76" w14:textId="77777777" w:rsidR="005E55B8" w:rsidRDefault="005E55B8" w:rsidP="005E55B8">
      <w:pPr>
        <w:spacing w:after="0" w:line="240" w:lineRule="auto"/>
        <w:jc w:val="both"/>
        <w:rPr>
          <w:rFonts w:ascii="Arial Nova" w:hAnsi="Arial Nova" w:cs="Times New Roman"/>
        </w:rPr>
      </w:pPr>
    </w:p>
    <w:p w14:paraId="5FC22CAC" w14:textId="77777777" w:rsidR="005E55B8" w:rsidRDefault="005E55B8" w:rsidP="005E55B8">
      <w:pPr>
        <w:spacing w:after="0" w:line="240" w:lineRule="auto"/>
        <w:jc w:val="both"/>
        <w:rPr>
          <w:rFonts w:ascii="Arial Nova" w:hAnsi="Arial Nova" w:cs="Times New Roman"/>
        </w:rPr>
      </w:pPr>
    </w:p>
    <w:p w14:paraId="6F01244D" w14:textId="752E8746" w:rsidR="00AD1806" w:rsidRPr="00642B2A" w:rsidRDefault="00B323DA" w:rsidP="005E55B8">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0D7E325C" w14:textId="3D5EA76C" w:rsidR="0001305F" w:rsidRDefault="0001305F" w:rsidP="005E55B8">
      <w:pPr>
        <w:spacing w:after="0" w:line="240" w:lineRule="auto"/>
        <w:jc w:val="both"/>
        <w:rPr>
          <w:rFonts w:ascii="Arial Nova" w:hAnsi="Arial Nova" w:cs="Times New Roman"/>
          <w:sz w:val="24"/>
          <w:szCs w:val="24"/>
        </w:rPr>
      </w:pPr>
    </w:p>
    <w:p w14:paraId="735B5236" w14:textId="1E0523F4"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r w:rsidRPr="001C1C62">
        <w:rPr>
          <w:rFonts w:ascii="Arial Nova" w:hAnsi="Arial Nova" w:cs="Times New Roman"/>
          <w:sz w:val="24"/>
          <w:szCs w:val="24"/>
        </w:rPr>
        <w:t>En el caso, se resolvió un juicio de amparo directo promovido por una empresa en contra del artículo 21, párrafos primero y quinto del Código Fiscal de la Federación</w:t>
      </w:r>
      <w:r w:rsidR="00A213B5">
        <w:rPr>
          <w:rFonts w:ascii="Arial Nova" w:hAnsi="Arial Nova" w:cs="Times New Roman"/>
          <w:sz w:val="24"/>
          <w:szCs w:val="24"/>
        </w:rPr>
        <w:t>.</w:t>
      </w:r>
      <w:r w:rsidR="0098662D">
        <w:rPr>
          <w:rStyle w:val="Refdenotaalpie"/>
          <w:rFonts w:ascii="Arial Nova" w:hAnsi="Arial Nova" w:cs="Times New Roman"/>
          <w:sz w:val="24"/>
          <w:szCs w:val="24"/>
        </w:rPr>
        <w:footnoteReference w:id="1"/>
      </w:r>
      <w:r w:rsidR="00A213B5">
        <w:rPr>
          <w:rFonts w:ascii="Arial Nova" w:hAnsi="Arial Nova" w:cs="Times New Roman"/>
          <w:sz w:val="24"/>
          <w:szCs w:val="24"/>
        </w:rPr>
        <w:t xml:space="preserve"> </w:t>
      </w:r>
      <w:r w:rsidR="005E55B8">
        <w:rPr>
          <w:rFonts w:ascii="Arial Nova" w:hAnsi="Arial Nova" w:cs="Times New Roman"/>
          <w:sz w:val="24"/>
          <w:szCs w:val="24"/>
        </w:rPr>
        <w:t>En su demanda, l</w:t>
      </w:r>
      <w:r w:rsidR="001646E2">
        <w:rPr>
          <w:rFonts w:ascii="Arial Nova" w:hAnsi="Arial Nova" w:cs="Times New Roman"/>
          <w:sz w:val="24"/>
          <w:szCs w:val="24"/>
        </w:rPr>
        <w:t>a empresa argumentó</w:t>
      </w:r>
      <w:r w:rsidR="00587A14">
        <w:rPr>
          <w:rFonts w:ascii="Arial Nova" w:hAnsi="Arial Nova" w:cs="Times New Roman"/>
          <w:sz w:val="24"/>
          <w:szCs w:val="24"/>
        </w:rPr>
        <w:t xml:space="preserve"> </w:t>
      </w:r>
      <w:r w:rsidR="00A213B5">
        <w:rPr>
          <w:rFonts w:ascii="Arial Nova" w:hAnsi="Arial Nova" w:cs="Times New Roman"/>
          <w:sz w:val="24"/>
          <w:szCs w:val="24"/>
        </w:rPr>
        <w:t>que las disposiciones impugnadas resultaban contrarias a los principios de proporcionalidad y equidad tributarias</w:t>
      </w:r>
      <w:r w:rsidR="00587A14">
        <w:rPr>
          <w:rFonts w:ascii="Arial Nova" w:hAnsi="Arial Nova" w:cs="Times New Roman"/>
          <w:sz w:val="24"/>
          <w:szCs w:val="24"/>
        </w:rPr>
        <w:t>.</w:t>
      </w:r>
      <w:r w:rsidR="00A213B5">
        <w:rPr>
          <w:rFonts w:ascii="Arial Nova" w:hAnsi="Arial Nova" w:cs="Times New Roman"/>
          <w:sz w:val="24"/>
          <w:szCs w:val="24"/>
        </w:rPr>
        <w:t xml:space="preserve"> </w:t>
      </w:r>
      <w:r w:rsidR="00587A14">
        <w:rPr>
          <w:rFonts w:ascii="Arial Nova" w:hAnsi="Arial Nova" w:cs="Times New Roman"/>
          <w:sz w:val="24"/>
          <w:szCs w:val="24"/>
        </w:rPr>
        <w:t>D</w:t>
      </w:r>
      <w:r w:rsidR="00A213B5">
        <w:rPr>
          <w:rFonts w:ascii="Arial Nova" w:hAnsi="Arial Nova" w:cs="Times New Roman"/>
          <w:sz w:val="24"/>
          <w:szCs w:val="24"/>
        </w:rPr>
        <w:t xml:space="preserve">ebido a que en ellas </w:t>
      </w:r>
      <w:r w:rsidRPr="001C1C62">
        <w:rPr>
          <w:rFonts w:ascii="Arial Nova" w:hAnsi="Arial Nova" w:cs="Times New Roman"/>
          <w:sz w:val="24"/>
          <w:szCs w:val="24"/>
        </w:rPr>
        <w:t>se establec</w:t>
      </w:r>
      <w:r w:rsidR="00A213B5">
        <w:rPr>
          <w:rFonts w:ascii="Arial Nova" w:hAnsi="Arial Nova" w:cs="Times New Roman"/>
          <w:sz w:val="24"/>
          <w:szCs w:val="24"/>
        </w:rPr>
        <w:t>ía</w:t>
      </w:r>
      <w:r w:rsidRPr="001C1C62">
        <w:rPr>
          <w:rFonts w:ascii="Arial Nova" w:hAnsi="Arial Nova" w:cs="Times New Roman"/>
          <w:sz w:val="24"/>
          <w:szCs w:val="24"/>
        </w:rPr>
        <w:t xml:space="preserve"> una misma tasa de recargos para el pago extemporáneo de contribuciones, sin fijar una tasa progresiva de acuerdo con el día del mes en que se cubr</w:t>
      </w:r>
      <w:r w:rsidR="00A213B5">
        <w:rPr>
          <w:rFonts w:ascii="Arial Nova" w:hAnsi="Arial Nova" w:cs="Times New Roman"/>
          <w:sz w:val="24"/>
          <w:szCs w:val="24"/>
        </w:rPr>
        <w:t>ieran</w:t>
      </w:r>
      <w:r w:rsidRPr="001C1C62">
        <w:rPr>
          <w:rFonts w:ascii="Arial Nova" w:hAnsi="Arial Nova" w:cs="Times New Roman"/>
          <w:sz w:val="24"/>
          <w:szCs w:val="24"/>
        </w:rPr>
        <w:t xml:space="preserve"> las contribuciones omitidas</w:t>
      </w:r>
      <w:r w:rsidR="004D3CE9">
        <w:rPr>
          <w:rFonts w:ascii="Arial Nova" w:hAnsi="Arial Nova" w:cs="Times New Roman"/>
          <w:sz w:val="24"/>
          <w:szCs w:val="24"/>
        </w:rPr>
        <w:t>.</w:t>
      </w:r>
    </w:p>
    <w:p w14:paraId="116DD3BC" w14:textId="77777777"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p>
    <w:p w14:paraId="3D609F59" w14:textId="192BB555"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r w:rsidRPr="001C1C62">
        <w:rPr>
          <w:rFonts w:ascii="Arial Nova" w:hAnsi="Arial Nova" w:cs="Times New Roman"/>
          <w:sz w:val="24"/>
          <w:szCs w:val="24"/>
        </w:rPr>
        <w:t>El Juez de Distrito sobreseyó en parte el juicio y negó la protección constitucional respecto del precepto reclamado</w:t>
      </w:r>
      <w:r w:rsidR="00A213B5">
        <w:rPr>
          <w:rFonts w:ascii="Arial Nova" w:hAnsi="Arial Nova" w:cs="Times New Roman"/>
          <w:sz w:val="24"/>
          <w:szCs w:val="24"/>
        </w:rPr>
        <w:t>. Inconformes con la</w:t>
      </w:r>
      <w:r w:rsidRPr="001C1C62">
        <w:rPr>
          <w:rFonts w:ascii="Arial Nova" w:hAnsi="Arial Nova" w:cs="Times New Roman"/>
          <w:sz w:val="24"/>
          <w:szCs w:val="24"/>
        </w:rPr>
        <w:t xml:space="preserve"> decisión</w:t>
      </w:r>
      <w:r w:rsidR="00A213B5">
        <w:rPr>
          <w:rFonts w:ascii="Arial Nova" w:hAnsi="Arial Nova" w:cs="Times New Roman"/>
          <w:sz w:val="24"/>
          <w:szCs w:val="24"/>
        </w:rPr>
        <w:t xml:space="preserve">, </w:t>
      </w:r>
      <w:r w:rsidRPr="001C1C62">
        <w:rPr>
          <w:rFonts w:ascii="Arial Nova" w:hAnsi="Arial Nova" w:cs="Times New Roman"/>
          <w:sz w:val="24"/>
          <w:szCs w:val="24"/>
        </w:rPr>
        <w:t>tanto la empresa quejosa como la autoridad responsable, interpusieron recursos de revisión principal y adhesivo, respectivamente. El Tribunal Colegiado</w:t>
      </w:r>
      <w:r w:rsidR="00A213B5">
        <w:rPr>
          <w:rFonts w:ascii="Arial Nova" w:hAnsi="Arial Nova" w:cs="Times New Roman"/>
          <w:sz w:val="24"/>
          <w:szCs w:val="24"/>
        </w:rPr>
        <w:t xml:space="preserve"> que conoci</w:t>
      </w:r>
      <w:r w:rsidR="001646E2">
        <w:rPr>
          <w:rFonts w:ascii="Arial Nova" w:hAnsi="Arial Nova" w:cs="Times New Roman"/>
          <w:sz w:val="24"/>
          <w:szCs w:val="24"/>
        </w:rPr>
        <w:t xml:space="preserve">ó del asunto </w:t>
      </w:r>
      <w:r w:rsidRPr="001C1C62">
        <w:rPr>
          <w:rFonts w:ascii="Arial Nova" w:hAnsi="Arial Nova" w:cs="Times New Roman"/>
          <w:sz w:val="24"/>
          <w:szCs w:val="24"/>
        </w:rPr>
        <w:t>reservó jurisdicción a la Suprema Corte, tras advertir la existencia de un tema de constitucionalidad.</w:t>
      </w:r>
    </w:p>
    <w:p w14:paraId="3ECE012F" w14:textId="77777777" w:rsidR="001C1C62" w:rsidRPr="007E176E" w:rsidRDefault="001C1C62" w:rsidP="005E55B8">
      <w:pPr>
        <w:tabs>
          <w:tab w:val="left" w:pos="0"/>
        </w:tabs>
        <w:spacing w:after="0" w:line="240" w:lineRule="auto"/>
        <w:contextualSpacing/>
        <w:jc w:val="both"/>
        <w:rPr>
          <w:rFonts w:ascii="Arial" w:hAnsi="Arial" w:cs="Arial"/>
          <w:sz w:val="24"/>
          <w:szCs w:val="24"/>
        </w:rPr>
      </w:pPr>
    </w:p>
    <w:p w14:paraId="6BA52939" w14:textId="4CDF03DC" w:rsidR="0048582B" w:rsidRPr="0032693A" w:rsidRDefault="00B323DA" w:rsidP="005E55B8">
      <w:pPr>
        <w:shd w:val="clear" w:color="auto" w:fill="B4C6E7" w:themeFill="accent1" w:themeFillTint="66"/>
        <w:spacing w:after="0" w:line="240" w:lineRule="auto"/>
        <w:jc w:val="right"/>
        <w:rPr>
          <w:rFonts w:ascii="Arial Nova" w:hAnsi="Arial Nova" w:cs="Times New Roman"/>
          <w:b/>
          <w:bCs/>
          <w:smallCaps/>
          <w:color w:val="000F2E"/>
          <w:sz w:val="28"/>
          <w:szCs w:val="28"/>
        </w:rPr>
      </w:pPr>
      <w:r w:rsidRPr="0032693A">
        <w:rPr>
          <w:rFonts w:ascii="Arial Nova" w:hAnsi="Arial Nova" w:cs="Times New Roman"/>
          <w:b/>
          <w:bCs/>
          <w:smallCaps/>
          <w:color w:val="000F2E"/>
          <w:sz w:val="28"/>
          <w:szCs w:val="28"/>
        </w:rPr>
        <w:t>Decisión de la Sala:</w:t>
      </w:r>
    </w:p>
    <w:p w14:paraId="33ECAC66" w14:textId="77777777" w:rsidR="008A3EA0" w:rsidRDefault="008A3EA0" w:rsidP="005E55B8">
      <w:pPr>
        <w:spacing w:after="0" w:line="240" w:lineRule="auto"/>
        <w:ind w:right="49"/>
        <w:jc w:val="both"/>
        <w:rPr>
          <w:rFonts w:ascii="Arial Nova" w:hAnsi="Arial Nova" w:cs="Times New Roman"/>
          <w:sz w:val="24"/>
          <w:szCs w:val="24"/>
        </w:rPr>
      </w:pPr>
    </w:p>
    <w:p w14:paraId="4DEF92D4" w14:textId="0DAFFE94"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r w:rsidRPr="001C1C62">
        <w:rPr>
          <w:rFonts w:ascii="Arial Nova" w:hAnsi="Arial Nova" w:cs="Times New Roman"/>
          <w:sz w:val="24"/>
          <w:szCs w:val="24"/>
        </w:rPr>
        <w:t xml:space="preserve">En su fallo, </w:t>
      </w:r>
      <w:r w:rsidR="009E2074">
        <w:rPr>
          <w:rFonts w:ascii="Arial Nova" w:hAnsi="Arial Nova" w:cs="Times New Roman"/>
          <w:sz w:val="24"/>
          <w:szCs w:val="24"/>
        </w:rPr>
        <w:t>la Primera Sala</w:t>
      </w:r>
      <w:r w:rsidRPr="001C1C62">
        <w:rPr>
          <w:rFonts w:ascii="Arial Nova" w:hAnsi="Arial Nova" w:cs="Times New Roman"/>
          <w:sz w:val="24"/>
          <w:szCs w:val="24"/>
        </w:rPr>
        <w:t xml:space="preserve"> determinó que</w:t>
      </w:r>
      <w:r w:rsidR="000F1A23">
        <w:rPr>
          <w:rFonts w:ascii="Arial Nova" w:hAnsi="Arial Nova" w:cs="Times New Roman"/>
          <w:sz w:val="24"/>
          <w:szCs w:val="24"/>
        </w:rPr>
        <w:t xml:space="preserve"> las porciones normativas impugnadas </w:t>
      </w:r>
      <w:r w:rsidRPr="001C1C62">
        <w:rPr>
          <w:rFonts w:ascii="Arial Nova" w:hAnsi="Arial Nova" w:cs="Times New Roman"/>
          <w:sz w:val="24"/>
          <w:szCs w:val="24"/>
        </w:rPr>
        <w:t>no vulnera</w:t>
      </w:r>
      <w:r w:rsidR="009E2074">
        <w:rPr>
          <w:rFonts w:ascii="Arial Nova" w:hAnsi="Arial Nova" w:cs="Times New Roman"/>
          <w:sz w:val="24"/>
          <w:szCs w:val="24"/>
        </w:rPr>
        <w:t>ba</w:t>
      </w:r>
      <w:r w:rsidR="000F1A23">
        <w:rPr>
          <w:rFonts w:ascii="Arial Nova" w:hAnsi="Arial Nova" w:cs="Times New Roman"/>
          <w:sz w:val="24"/>
          <w:szCs w:val="24"/>
        </w:rPr>
        <w:t>n</w:t>
      </w:r>
      <w:r w:rsidRPr="001C1C62">
        <w:rPr>
          <w:rFonts w:ascii="Arial Nova" w:hAnsi="Arial Nova" w:cs="Times New Roman"/>
          <w:sz w:val="24"/>
          <w:szCs w:val="24"/>
        </w:rPr>
        <w:t xml:space="preserve"> el principio de proporcionalidad tributaria</w:t>
      </w:r>
      <w:r w:rsidR="006622AF">
        <w:rPr>
          <w:rFonts w:ascii="Arial Nova" w:hAnsi="Arial Nova" w:cs="Times New Roman"/>
          <w:sz w:val="24"/>
          <w:szCs w:val="24"/>
        </w:rPr>
        <w:t>.</w:t>
      </w:r>
      <w:r w:rsidRPr="001C1C62">
        <w:rPr>
          <w:rFonts w:ascii="Arial Nova" w:hAnsi="Arial Nova" w:cs="Times New Roman"/>
          <w:sz w:val="24"/>
          <w:szCs w:val="24"/>
        </w:rPr>
        <w:t xml:space="preserve"> </w:t>
      </w:r>
      <w:r w:rsidR="006622AF">
        <w:rPr>
          <w:rFonts w:ascii="Arial Nova" w:hAnsi="Arial Nova" w:cs="Times New Roman"/>
          <w:sz w:val="24"/>
          <w:szCs w:val="24"/>
        </w:rPr>
        <w:t>Dado que,</w:t>
      </w:r>
      <w:r w:rsidRPr="001C1C62">
        <w:rPr>
          <w:rFonts w:ascii="Arial Nova" w:hAnsi="Arial Nova" w:cs="Times New Roman"/>
          <w:sz w:val="24"/>
          <w:szCs w:val="24"/>
        </w:rPr>
        <w:t xml:space="preserve"> la tasa prevista por concept</w:t>
      </w:r>
      <w:r w:rsidR="000F1A23">
        <w:rPr>
          <w:rFonts w:ascii="Arial Nova" w:hAnsi="Arial Nova" w:cs="Times New Roman"/>
          <w:sz w:val="24"/>
          <w:szCs w:val="24"/>
        </w:rPr>
        <w:t>o de recargos para quienes pagaban</w:t>
      </w:r>
      <w:r w:rsidRPr="001C1C62">
        <w:rPr>
          <w:rFonts w:ascii="Arial Nova" w:hAnsi="Arial Nova" w:cs="Times New Roman"/>
          <w:sz w:val="24"/>
          <w:szCs w:val="24"/>
        </w:rPr>
        <w:t xml:space="preserve"> después de una fracción de mes o de un mes </w:t>
      </w:r>
      <w:r w:rsidRPr="00FA3F87">
        <w:rPr>
          <w:rFonts w:ascii="Arial Nova" w:hAnsi="Arial Nova" w:cs="Times New Roman"/>
          <w:sz w:val="24"/>
          <w:szCs w:val="24"/>
        </w:rPr>
        <w:t>completo supera</w:t>
      </w:r>
      <w:r w:rsidR="000F1A23">
        <w:rPr>
          <w:rFonts w:ascii="Arial Nova" w:hAnsi="Arial Nova" w:cs="Times New Roman"/>
          <w:sz w:val="24"/>
          <w:szCs w:val="24"/>
        </w:rPr>
        <w:t>ba</w:t>
      </w:r>
      <w:r w:rsidRPr="00FA3F87">
        <w:rPr>
          <w:rFonts w:ascii="Arial Nova" w:hAnsi="Arial Nova" w:cs="Times New Roman"/>
          <w:sz w:val="24"/>
          <w:szCs w:val="24"/>
        </w:rPr>
        <w:t xml:space="preserve"> </w:t>
      </w:r>
      <w:r w:rsidR="000F1A23">
        <w:rPr>
          <w:rFonts w:ascii="Arial Nova" w:hAnsi="Arial Nova" w:cs="Times New Roman"/>
          <w:sz w:val="24"/>
          <w:szCs w:val="24"/>
        </w:rPr>
        <w:t xml:space="preserve">el </w:t>
      </w:r>
      <w:r w:rsidRPr="00FA3F87">
        <w:rPr>
          <w:rFonts w:ascii="Arial Nova" w:hAnsi="Arial Nova" w:cs="Times New Roman"/>
          <w:sz w:val="24"/>
          <w:szCs w:val="24"/>
        </w:rPr>
        <w:t>escrutinio ordinario de constitucionalidad.</w:t>
      </w:r>
    </w:p>
    <w:p w14:paraId="7AE0B238" w14:textId="77777777"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p>
    <w:p w14:paraId="1921FB11" w14:textId="4CA319DD" w:rsidR="001C1C62" w:rsidRPr="001C1C62" w:rsidRDefault="009E2074" w:rsidP="005E55B8">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Bajo ese parámetro</w:t>
      </w:r>
      <w:r w:rsidR="006622AF">
        <w:rPr>
          <w:rFonts w:ascii="Arial Nova" w:hAnsi="Arial Nova" w:cs="Times New Roman"/>
          <w:sz w:val="24"/>
          <w:szCs w:val="24"/>
        </w:rPr>
        <w:t>, la</w:t>
      </w:r>
      <w:r w:rsidR="00587A14">
        <w:rPr>
          <w:rFonts w:ascii="Arial Nova" w:hAnsi="Arial Nova" w:cs="Times New Roman"/>
          <w:sz w:val="24"/>
          <w:szCs w:val="24"/>
        </w:rPr>
        <w:t xml:space="preserve"> Sala identificó que la</w:t>
      </w:r>
      <w:r w:rsidR="006622AF">
        <w:rPr>
          <w:rFonts w:ascii="Arial Nova" w:hAnsi="Arial Nova" w:cs="Times New Roman"/>
          <w:sz w:val="24"/>
          <w:szCs w:val="24"/>
        </w:rPr>
        <w:t xml:space="preserve"> tasa prevista </w:t>
      </w:r>
      <w:r w:rsidR="001C1C62" w:rsidRPr="001C1C62">
        <w:rPr>
          <w:rFonts w:ascii="Arial Nova" w:hAnsi="Arial Nova" w:cs="Times New Roman"/>
          <w:sz w:val="24"/>
          <w:szCs w:val="24"/>
        </w:rPr>
        <w:t>busca</w:t>
      </w:r>
      <w:r w:rsidR="000F1A23">
        <w:rPr>
          <w:rFonts w:ascii="Arial Nova" w:hAnsi="Arial Nova" w:cs="Times New Roman"/>
          <w:sz w:val="24"/>
          <w:szCs w:val="24"/>
        </w:rPr>
        <w:t>ba</w:t>
      </w:r>
      <w:r w:rsidR="001C1C62" w:rsidRPr="001C1C62">
        <w:rPr>
          <w:rFonts w:ascii="Arial Nova" w:hAnsi="Arial Nova" w:cs="Times New Roman"/>
          <w:sz w:val="24"/>
          <w:szCs w:val="24"/>
        </w:rPr>
        <w:t xml:space="preserve"> indemnizar a la hacienda pública por el perjuicio que le significa dejar de recibir las ca</w:t>
      </w:r>
      <w:r>
        <w:rPr>
          <w:rFonts w:ascii="Arial Nova" w:hAnsi="Arial Nova" w:cs="Times New Roman"/>
          <w:sz w:val="24"/>
          <w:szCs w:val="24"/>
        </w:rPr>
        <w:t>ntidades en tiempo y</w:t>
      </w:r>
      <w:r w:rsidR="001C1C62" w:rsidRPr="001C1C62">
        <w:rPr>
          <w:rFonts w:ascii="Arial Nova" w:hAnsi="Arial Nova" w:cs="Times New Roman"/>
          <w:sz w:val="24"/>
          <w:szCs w:val="24"/>
        </w:rPr>
        <w:t xml:space="preserve"> desincentivar a los contribuyent</w:t>
      </w:r>
      <w:r w:rsidR="000F1A23">
        <w:rPr>
          <w:rFonts w:ascii="Arial Nova" w:hAnsi="Arial Nova" w:cs="Times New Roman"/>
          <w:sz w:val="24"/>
          <w:szCs w:val="24"/>
        </w:rPr>
        <w:t>es morosos para que no continuaran o reiteraran</w:t>
      </w:r>
      <w:r w:rsidR="001C1C62" w:rsidRPr="001C1C62">
        <w:rPr>
          <w:rFonts w:ascii="Arial Nova" w:hAnsi="Arial Nova" w:cs="Times New Roman"/>
          <w:sz w:val="24"/>
          <w:szCs w:val="24"/>
        </w:rPr>
        <w:t xml:space="preserve"> conductas que dañan los intereses de toda la sociedad. Además, la tasa </w:t>
      </w:r>
      <w:r w:rsidR="001C1C62" w:rsidRPr="001C1C62">
        <w:rPr>
          <w:rFonts w:ascii="Arial Nova" w:hAnsi="Arial Nova" w:cs="Times New Roman"/>
          <w:sz w:val="24"/>
          <w:szCs w:val="24"/>
        </w:rPr>
        <w:lastRenderedPageBreak/>
        <w:t>homologada se aplica</w:t>
      </w:r>
      <w:r w:rsidR="000F1A23">
        <w:rPr>
          <w:rFonts w:ascii="Arial Nova" w:hAnsi="Arial Nova" w:cs="Times New Roman"/>
          <w:sz w:val="24"/>
          <w:szCs w:val="24"/>
        </w:rPr>
        <w:t>ba</w:t>
      </w:r>
      <w:r w:rsidR="001C1C62" w:rsidRPr="001C1C62">
        <w:rPr>
          <w:rFonts w:ascii="Arial Nova" w:hAnsi="Arial Nova" w:cs="Times New Roman"/>
          <w:sz w:val="24"/>
          <w:szCs w:val="24"/>
        </w:rPr>
        <w:t xml:space="preserve"> directamente de manera mensual y no por fracción de éste,</w:t>
      </w:r>
      <w:r w:rsidR="00587A14">
        <w:rPr>
          <w:rFonts w:ascii="Arial Nova" w:hAnsi="Arial Nova" w:cs="Times New Roman"/>
          <w:sz w:val="24"/>
          <w:szCs w:val="24"/>
        </w:rPr>
        <w:t xml:space="preserve"> lo cual, </w:t>
      </w:r>
      <w:r w:rsidR="000F1A23">
        <w:rPr>
          <w:rFonts w:ascii="Arial Nova" w:hAnsi="Arial Nova" w:cs="Times New Roman"/>
          <w:sz w:val="24"/>
          <w:szCs w:val="24"/>
        </w:rPr>
        <w:t xml:space="preserve">cumplía con la principal exigencia del </w:t>
      </w:r>
      <w:r w:rsidR="001C1C62" w:rsidRPr="000F1A23">
        <w:rPr>
          <w:rFonts w:ascii="Arial Nova" w:hAnsi="Arial Nova" w:cs="Times New Roman"/>
          <w:sz w:val="24"/>
          <w:szCs w:val="24"/>
        </w:rPr>
        <w:t>principio de proporcionalidad aplicable a los recargos fiscales</w:t>
      </w:r>
      <w:r w:rsidR="001C1C62" w:rsidRPr="001C1C62">
        <w:rPr>
          <w:rFonts w:ascii="Arial Nova" w:hAnsi="Arial Nova" w:cs="Times New Roman"/>
          <w:sz w:val="24"/>
          <w:szCs w:val="24"/>
        </w:rPr>
        <w:t>.</w:t>
      </w:r>
      <w:r w:rsidR="00E0033F">
        <w:rPr>
          <w:rStyle w:val="Refdenotaalpie"/>
          <w:rFonts w:ascii="Arial Nova" w:hAnsi="Arial Nova" w:cs="Times New Roman"/>
          <w:sz w:val="24"/>
          <w:szCs w:val="24"/>
        </w:rPr>
        <w:footnoteReference w:id="2"/>
      </w:r>
    </w:p>
    <w:p w14:paraId="4D938D26" w14:textId="77777777" w:rsidR="00DB3D5C" w:rsidRPr="001C1C62" w:rsidRDefault="00DB3D5C" w:rsidP="005E55B8">
      <w:pPr>
        <w:tabs>
          <w:tab w:val="left" w:pos="0"/>
        </w:tabs>
        <w:spacing w:after="0" w:line="240" w:lineRule="auto"/>
        <w:contextualSpacing/>
        <w:jc w:val="both"/>
        <w:rPr>
          <w:rFonts w:ascii="Arial Nova" w:hAnsi="Arial Nova" w:cs="Times New Roman"/>
          <w:sz w:val="24"/>
          <w:szCs w:val="24"/>
        </w:rPr>
      </w:pPr>
    </w:p>
    <w:p w14:paraId="4D42A918" w14:textId="77DC224A"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r w:rsidRPr="001C1C62">
        <w:rPr>
          <w:rFonts w:ascii="Arial Nova" w:hAnsi="Arial Nova" w:cs="Times New Roman"/>
          <w:sz w:val="24"/>
          <w:szCs w:val="24"/>
        </w:rPr>
        <w:t xml:space="preserve">Asimismo, la Sala indicó que el artículo controvertido </w:t>
      </w:r>
      <w:r w:rsidR="000F1A23">
        <w:rPr>
          <w:rFonts w:ascii="Arial Nova" w:hAnsi="Arial Nova" w:cs="Times New Roman"/>
          <w:sz w:val="24"/>
          <w:szCs w:val="24"/>
        </w:rPr>
        <w:t xml:space="preserve">era </w:t>
      </w:r>
      <w:r w:rsidRPr="001C1C62">
        <w:rPr>
          <w:rFonts w:ascii="Arial Nova" w:hAnsi="Arial Nova" w:cs="Times New Roman"/>
          <w:sz w:val="24"/>
          <w:szCs w:val="24"/>
        </w:rPr>
        <w:t>acorde al principio de equidad tributaria</w:t>
      </w:r>
      <w:r w:rsidR="00C04E45">
        <w:rPr>
          <w:rFonts w:ascii="Arial Nova" w:hAnsi="Arial Nova" w:cs="Times New Roman"/>
          <w:sz w:val="24"/>
          <w:szCs w:val="24"/>
        </w:rPr>
        <w:t>,</w:t>
      </w:r>
      <w:r w:rsidR="006622AF">
        <w:rPr>
          <w:rFonts w:ascii="Arial Nova" w:hAnsi="Arial Nova" w:cs="Times New Roman"/>
          <w:sz w:val="24"/>
          <w:szCs w:val="24"/>
        </w:rPr>
        <w:t xml:space="preserve"> ya que el legislador trata</w:t>
      </w:r>
      <w:r w:rsidR="000F1A23">
        <w:rPr>
          <w:rFonts w:ascii="Arial Nova" w:hAnsi="Arial Nova" w:cs="Times New Roman"/>
          <w:sz w:val="24"/>
          <w:szCs w:val="24"/>
        </w:rPr>
        <w:t>ba</w:t>
      </w:r>
      <w:r w:rsidR="006622AF">
        <w:rPr>
          <w:rFonts w:ascii="Arial Nova" w:hAnsi="Arial Nova" w:cs="Times New Roman"/>
          <w:sz w:val="24"/>
          <w:szCs w:val="24"/>
        </w:rPr>
        <w:t xml:space="preserve"> en forma igual a quienes se </w:t>
      </w:r>
      <w:r w:rsidR="000F1A23">
        <w:rPr>
          <w:rFonts w:ascii="Arial Nova" w:hAnsi="Arial Nova" w:cs="Times New Roman"/>
          <w:sz w:val="24"/>
          <w:szCs w:val="24"/>
        </w:rPr>
        <w:t>encontraban</w:t>
      </w:r>
      <w:r w:rsidR="006622AF">
        <w:rPr>
          <w:rFonts w:ascii="Arial Nova" w:hAnsi="Arial Nova" w:cs="Times New Roman"/>
          <w:sz w:val="24"/>
          <w:szCs w:val="24"/>
        </w:rPr>
        <w:t xml:space="preserve"> en la misma situación jurídica.</w:t>
      </w:r>
      <w:r w:rsidRPr="001C1C62">
        <w:rPr>
          <w:rFonts w:ascii="Arial Nova" w:hAnsi="Arial Nova" w:cs="Times New Roman"/>
          <w:sz w:val="24"/>
          <w:szCs w:val="24"/>
        </w:rPr>
        <w:t xml:space="preserve"> </w:t>
      </w:r>
      <w:r w:rsidR="006622AF">
        <w:rPr>
          <w:rFonts w:ascii="Arial Nova" w:hAnsi="Arial Nova" w:cs="Times New Roman"/>
          <w:sz w:val="24"/>
          <w:szCs w:val="24"/>
        </w:rPr>
        <w:t>En ese</w:t>
      </w:r>
      <w:r w:rsidR="009E2074">
        <w:rPr>
          <w:rFonts w:ascii="Arial Nova" w:hAnsi="Arial Nova" w:cs="Times New Roman"/>
          <w:sz w:val="24"/>
          <w:szCs w:val="24"/>
        </w:rPr>
        <w:t xml:space="preserve"> sentido</w:t>
      </w:r>
      <w:r w:rsidR="006622AF">
        <w:rPr>
          <w:rFonts w:ascii="Arial Nova" w:hAnsi="Arial Nova" w:cs="Times New Roman"/>
          <w:sz w:val="24"/>
          <w:szCs w:val="24"/>
        </w:rPr>
        <w:t xml:space="preserve">, </w:t>
      </w:r>
      <w:r w:rsidR="001646E2">
        <w:rPr>
          <w:rFonts w:ascii="Arial Nova" w:hAnsi="Arial Nova" w:cs="Times New Roman"/>
          <w:sz w:val="24"/>
          <w:szCs w:val="24"/>
        </w:rPr>
        <w:t xml:space="preserve">se </w:t>
      </w:r>
      <w:r w:rsidR="006622AF">
        <w:rPr>
          <w:rFonts w:ascii="Arial Nova" w:hAnsi="Arial Nova" w:cs="Times New Roman"/>
          <w:sz w:val="24"/>
          <w:szCs w:val="24"/>
        </w:rPr>
        <w:t xml:space="preserve">argumentó que </w:t>
      </w:r>
      <w:r w:rsidR="000F1A23">
        <w:rPr>
          <w:rFonts w:ascii="Arial Nova" w:hAnsi="Arial Nova" w:cs="Times New Roman"/>
          <w:sz w:val="24"/>
          <w:szCs w:val="24"/>
        </w:rPr>
        <w:t>las personas que no cumplían</w:t>
      </w:r>
      <w:r w:rsidRPr="001C1C62">
        <w:rPr>
          <w:rFonts w:ascii="Arial Nova" w:hAnsi="Arial Nova" w:cs="Times New Roman"/>
          <w:sz w:val="24"/>
          <w:szCs w:val="24"/>
        </w:rPr>
        <w:t xml:space="preserve"> sus obligaciones tributarias en los tiempos previstos por la legislación aplicable, ya sea por fracción de mes </w:t>
      </w:r>
      <w:r w:rsidR="000F1A23">
        <w:rPr>
          <w:rFonts w:ascii="Arial Nova" w:hAnsi="Arial Nova" w:cs="Times New Roman"/>
          <w:sz w:val="24"/>
          <w:szCs w:val="24"/>
        </w:rPr>
        <w:t>o por un mes completo, pertenecía</w:t>
      </w:r>
      <w:r w:rsidRPr="001C1C62">
        <w:rPr>
          <w:rFonts w:ascii="Arial Nova" w:hAnsi="Arial Nova" w:cs="Times New Roman"/>
          <w:sz w:val="24"/>
          <w:szCs w:val="24"/>
        </w:rPr>
        <w:t>n a un mismo grupo de contribuyente</w:t>
      </w:r>
      <w:r w:rsidR="000F1A23">
        <w:rPr>
          <w:rFonts w:ascii="Arial Nova" w:hAnsi="Arial Nova" w:cs="Times New Roman"/>
          <w:sz w:val="24"/>
          <w:szCs w:val="24"/>
        </w:rPr>
        <w:t>s morosos que válidamente podían</w:t>
      </w:r>
      <w:r w:rsidRPr="001C1C62">
        <w:rPr>
          <w:rFonts w:ascii="Arial Nova" w:hAnsi="Arial Nova" w:cs="Times New Roman"/>
          <w:sz w:val="24"/>
          <w:szCs w:val="24"/>
        </w:rPr>
        <w:t xml:space="preserve"> ser tratados como iguales</w:t>
      </w:r>
      <w:r w:rsidR="006622AF">
        <w:rPr>
          <w:rFonts w:ascii="Arial Nova" w:hAnsi="Arial Nova" w:cs="Times New Roman"/>
          <w:sz w:val="24"/>
          <w:szCs w:val="24"/>
        </w:rPr>
        <w:t>.</w:t>
      </w:r>
    </w:p>
    <w:p w14:paraId="115DD982" w14:textId="77777777"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p>
    <w:p w14:paraId="586E1742" w14:textId="77777777"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r w:rsidRPr="001C1C62">
        <w:rPr>
          <w:rFonts w:ascii="Arial Nova" w:hAnsi="Arial Nova" w:cs="Times New Roman"/>
          <w:sz w:val="24"/>
          <w:szCs w:val="24"/>
        </w:rPr>
        <w:t>A partir de estas razones, la Primera Sala confirmó la sentencia impugnada y negó la protección constitucional solicitada.</w:t>
      </w:r>
    </w:p>
    <w:p w14:paraId="127F2050" w14:textId="77777777" w:rsidR="001C1C62" w:rsidRPr="001C1C62" w:rsidRDefault="001C1C62" w:rsidP="005E55B8">
      <w:pPr>
        <w:tabs>
          <w:tab w:val="left" w:pos="0"/>
        </w:tabs>
        <w:spacing w:after="0" w:line="240" w:lineRule="auto"/>
        <w:contextualSpacing/>
        <w:jc w:val="both"/>
        <w:rPr>
          <w:rFonts w:ascii="Arial Nova" w:hAnsi="Arial Nova" w:cs="Times New Roman"/>
          <w:sz w:val="24"/>
          <w:szCs w:val="24"/>
        </w:rPr>
      </w:pPr>
    </w:p>
    <w:p w14:paraId="6555BF86" w14:textId="468A3E49" w:rsidR="0048582B" w:rsidRPr="00642B2A" w:rsidRDefault="00B323DA" w:rsidP="005E55B8">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5E55B8">
      <w:pPr>
        <w:spacing w:after="0" w:line="240" w:lineRule="auto"/>
        <w:jc w:val="both"/>
        <w:rPr>
          <w:rFonts w:ascii="Arial Nova" w:hAnsi="Arial Nova" w:cs="Times New Roman"/>
          <w:b/>
          <w:bCs/>
          <w:sz w:val="24"/>
          <w:szCs w:val="24"/>
          <w:shd w:val="clear" w:color="auto" w:fill="B4C6E7" w:themeFill="accent1" w:themeFillTint="66"/>
        </w:rPr>
      </w:pPr>
    </w:p>
    <w:p w14:paraId="24D7B9E3" w14:textId="346741C6" w:rsidR="0001305F" w:rsidRDefault="001F4A4B" w:rsidP="005E55B8">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870A6">
        <w:rPr>
          <w:rFonts w:ascii="Arial Nova" w:hAnsi="Arial Nova" w:cs="Times New Roman"/>
          <w:sz w:val="24"/>
          <w:szCs w:val="24"/>
        </w:rPr>
        <w:t xml:space="preserve"> </w:t>
      </w:r>
      <w:r w:rsidR="00831E2C">
        <w:rPr>
          <w:rFonts w:ascii="Arial Nova" w:hAnsi="Arial Nova" w:cs="Times New Roman"/>
          <w:sz w:val="24"/>
          <w:szCs w:val="24"/>
        </w:rPr>
        <w:t>1</w:t>
      </w:r>
      <w:r w:rsidR="002F4309">
        <w:rPr>
          <w:rFonts w:ascii="Arial Nova" w:hAnsi="Arial Nova" w:cs="Times New Roman"/>
          <w:sz w:val="24"/>
          <w:szCs w:val="24"/>
        </w:rPr>
        <w:t xml:space="preserve">8 </w:t>
      </w:r>
      <w:r w:rsidR="00C10761">
        <w:rPr>
          <w:rFonts w:ascii="Arial Nova" w:hAnsi="Arial Nova" w:cs="Times New Roman"/>
          <w:sz w:val="24"/>
          <w:szCs w:val="24"/>
        </w:rPr>
        <w:t>de octubre d</w:t>
      </w:r>
      <w:r w:rsidRPr="001F4A4B">
        <w:rPr>
          <w:rFonts w:ascii="Arial Nova" w:hAnsi="Arial Nova" w:cs="Times New Roman"/>
          <w:sz w:val="24"/>
          <w:szCs w:val="24"/>
        </w:rPr>
        <w:t xml:space="preserve">e 2023, por </w:t>
      </w:r>
      <w:r w:rsidR="001C1C62">
        <w:rPr>
          <w:rFonts w:ascii="Arial Nova" w:hAnsi="Arial Nova" w:cs="Times New Roman"/>
          <w:sz w:val="24"/>
          <w:szCs w:val="24"/>
        </w:rPr>
        <w:t xml:space="preserve">unanimidad de cinco votos </w:t>
      </w:r>
      <w:r w:rsidR="002F4309">
        <w:rPr>
          <w:rFonts w:ascii="Arial Nova" w:hAnsi="Arial Nova" w:cs="Times New Roman"/>
          <w:sz w:val="24"/>
          <w:szCs w:val="24"/>
        </w:rPr>
        <w:t>de la Señora Ministra Ana Margarita Ríos Farjat y de los Señores</w:t>
      </w:r>
      <w:r w:rsidR="00F655A6">
        <w:rPr>
          <w:rFonts w:ascii="Arial Nova" w:hAnsi="Arial Nova" w:cs="Times New Roman"/>
          <w:sz w:val="24"/>
          <w:szCs w:val="24"/>
        </w:rPr>
        <w:t xml:space="preserve"> Ministros</w:t>
      </w:r>
      <w:r w:rsidR="001C1C62">
        <w:rPr>
          <w:rFonts w:ascii="Arial Nova" w:hAnsi="Arial Nova" w:cs="Times New Roman"/>
          <w:sz w:val="24"/>
          <w:szCs w:val="24"/>
        </w:rPr>
        <w:t xml:space="preserve"> Juan Luis González Alcántara Carrancá,</w:t>
      </w:r>
      <w:r w:rsidR="00F655A6">
        <w:rPr>
          <w:rFonts w:ascii="Arial Nova" w:hAnsi="Arial Nova" w:cs="Times New Roman"/>
          <w:sz w:val="24"/>
          <w:szCs w:val="24"/>
        </w:rPr>
        <w:t xml:space="preserve"> </w:t>
      </w:r>
      <w:r w:rsidR="00C10761">
        <w:rPr>
          <w:rFonts w:ascii="Arial Nova" w:hAnsi="Arial Nova" w:cs="Times New Roman"/>
          <w:sz w:val="24"/>
          <w:szCs w:val="24"/>
        </w:rPr>
        <w:t>Arturo Zaldívar Lelo de Larrea</w:t>
      </w:r>
      <w:r w:rsidR="0001305F">
        <w:rPr>
          <w:rFonts w:ascii="Arial Nova" w:hAnsi="Arial Nova" w:cs="Times New Roman"/>
          <w:sz w:val="24"/>
          <w:szCs w:val="24"/>
        </w:rPr>
        <w:t>, Alfredo Gutiérrez Ortiz Mena</w:t>
      </w:r>
      <w:r w:rsidR="002F4309">
        <w:rPr>
          <w:rFonts w:ascii="Arial Nova" w:hAnsi="Arial Nova" w:cs="Times New Roman"/>
          <w:sz w:val="24"/>
          <w:szCs w:val="24"/>
        </w:rPr>
        <w:t xml:space="preserve"> </w:t>
      </w:r>
      <w:r w:rsidR="00C71363">
        <w:rPr>
          <w:rFonts w:ascii="Arial Nova" w:hAnsi="Arial Nova" w:cs="Times New Roman"/>
          <w:sz w:val="24"/>
          <w:szCs w:val="24"/>
        </w:rPr>
        <w:t>y Jorge Mario Pardo Rebolledo (Presidente)</w:t>
      </w:r>
      <w:r w:rsidR="00831E2C">
        <w:rPr>
          <w:rFonts w:ascii="Arial Nova" w:hAnsi="Arial Nova" w:cs="Times New Roman"/>
          <w:sz w:val="24"/>
          <w:szCs w:val="24"/>
        </w:rPr>
        <w:t>.</w:t>
      </w:r>
      <w:r w:rsidR="00C71363">
        <w:rPr>
          <w:rFonts w:ascii="Arial Nova" w:hAnsi="Arial Nova" w:cs="Times New Roman"/>
          <w:sz w:val="24"/>
          <w:szCs w:val="24"/>
        </w:rPr>
        <w:t xml:space="preserve"> </w:t>
      </w:r>
    </w:p>
    <w:p w14:paraId="2FFA9561" w14:textId="720341D5" w:rsidR="002F4309" w:rsidRDefault="002F4309" w:rsidP="005E55B8">
      <w:pPr>
        <w:spacing w:after="0" w:line="240" w:lineRule="auto"/>
        <w:jc w:val="both"/>
        <w:rPr>
          <w:rFonts w:ascii="Arial Nova" w:hAnsi="Arial Nova" w:cs="Times New Roman"/>
          <w:sz w:val="24"/>
          <w:szCs w:val="24"/>
        </w:rPr>
      </w:pPr>
    </w:p>
    <w:p w14:paraId="030EC30E" w14:textId="77777777" w:rsidR="005E55B8" w:rsidRDefault="005E55B8" w:rsidP="005E55B8">
      <w:pPr>
        <w:spacing w:after="0" w:line="240" w:lineRule="auto"/>
        <w:jc w:val="both"/>
        <w:rPr>
          <w:rFonts w:ascii="Arial Nova" w:hAnsi="Arial Nova" w:cs="Times New Roman"/>
          <w:sz w:val="24"/>
          <w:szCs w:val="24"/>
        </w:rPr>
      </w:pPr>
    </w:p>
    <w:p w14:paraId="0A03F4AE" w14:textId="77777777" w:rsidR="005E55B8" w:rsidRDefault="005E55B8" w:rsidP="005E55B8">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A8397C">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5E55B8">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5E55B8">
      <w:pPr>
        <w:spacing w:after="0" w:line="240" w:lineRule="auto"/>
        <w:jc w:val="both"/>
        <w:rPr>
          <w:rFonts w:ascii="Arial Nova" w:hAnsi="Arial Nova" w:cs="Times New Roman"/>
          <w:sz w:val="24"/>
          <w:szCs w:val="24"/>
        </w:rPr>
      </w:pPr>
    </w:p>
    <w:sectPr w:rsidR="005651E4" w:rsidRPr="00E32435" w:rsidSect="00ED410C">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4D6E9" w14:textId="77777777" w:rsidR="0017501A" w:rsidRDefault="0017501A" w:rsidP="000A7E7B">
      <w:pPr>
        <w:spacing w:after="0" w:line="240" w:lineRule="auto"/>
      </w:pPr>
      <w:r>
        <w:separator/>
      </w:r>
    </w:p>
    <w:p w14:paraId="6AE57EA9" w14:textId="77777777" w:rsidR="0017501A" w:rsidRDefault="0017501A"/>
  </w:endnote>
  <w:endnote w:type="continuationSeparator" w:id="0">
    <w:p w14:paraId="03DA73E3" w14:textId="77777777" w:rsidR="0017501A" w:rsidRDefault="0017501A" w:rsidP="000A7E7B">
      <w:pPr>
        <w:spacing w:after="0" w:line="240" w:lineRule="auto"/>
      </w:pPr>
      <w:r>
        <w:continuationSeparator/>
      </w:r>
    </w:p>
    <w:p w14:paraId="6E9C8D8D" w14:textId="77777777" w:rsidR="0017501A" w:rsidRDefault="0017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DEF59BA"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A031E0" w:rsidRPr="00A031E0">
          <w:rPr>
            <w:rFonts w:ascii="Arial Nova" w:hAnsi="Arial Nova" w:cs="Times New Roman"/>
            <w:b/>
            <w:bCs/>
            <w:noProof/>
            <w:color w:val="002060"/>
            <w:sz w:val="24"/>
            <w:szCs w:val="24"/>
            <w:lang w:val="es-ES"/>
          </w:rPr>
          <w:t>3</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FEB4" w14:textId="77777777" w:rsidR="0017501A" w:rsidRDefault="0017501A" w:rsidP="000A7E7B">
      <w:pPr>
        <w:spacing w:after="0" w:line="240" w:lineRule="auto"/>
      </w:pPr>
      <w:r>
        <w:separator/>
      </w:r>
    </w:p>
    <w:p w14:paraId="0A8801C8" w14:textId="77777777" w:rsidR="0017501A" w:rsidRDefault="0017501A"/>
  </w:footnote>
  <w:footnote w:type="continuationSeparator" w:id="0">
    <w:p w14:paraId="3B3E736C" w14:textId="77777777" w:rsidR="0017501A" w:rsidRDefault="0017501A" w:rsidP="000A7E7B">
      <w:pPr>
        <w:spacing w:after="0" w:line="240" w:lineRule="auto"/>
      </w:pPr>
      <w:r>
        <w:continuationSeparator/>
      </w:r>
    </w:p>
    <w:p w14:paraId="65DEC249" w14:textId="77777777" w:rsidR="0017501A" w:rsidRDefault="0017501A"/>
  </w:footnote>
  <w:footnote w:id="1">
    <w:p w14:paraId="1C3BE9DC" w14:textId="77777777" w:rsidR="0098662D" w:rsidRPr="00766F6B" w:rsidRDefault="0098662D" w:rsidP="0098662D">
      <w:pPr>
        <w:pStyle w:val="Textonotapie"/>
        <w:jc w:val="both"/>
        <w:rPr>
          <w:rFonts w:ascii="Arial Nova" w:hAnsi="Arial Nova" w:cs="Arial"/>
        </w:rPr>
      </w:pPr>
      <w:r w:rsidRPr="00766F6B">
        <w:rPr>
          <w:rStyle w:val="Refdenotaalpie"/>
          <w:rFonts w:ascii="Arial Nova" w:hAnsi="Arial Nova" w:cs="Arial"/>
        </w:rPr>
        <w:footnoteRef/>
      </w:r>
      <w:r w:rsidRPr="00766F6B">
        <w:rPr>
          <w:rFonts w:ascii="Arial Nova" w:hAnsi="Arial Nova" w:cs="Arial"/>
        </w:rPr>
        <w:t xml:space="preserve"> </w:t>
      </w:r>
      <w:r w:rsidRPr="00D53DF8">
        <w:rPr>
          <w:rFonts w:ascii="Arial Nova" w:hAnsi="Arial Nova" w:cs="Arial"/>
        </w:rPr>
        <w:t>Artículo 21</w:t>
      </w:r>
      <w:r w:rsidRPr="00766F6B">
        <w:rPr>
          <w:rFonts w:ascii="Arial Nova" w:hAnsi="Arial Nova" w:cs="Arial"/>
        </w:rPr>
        <w:t>. Cuando no se cubran las contribuciones o los aprovechamientos en la fecha o dentro del plazo fijado por las disposiciones fiscales, su monto se actualizará desde el mes en que debió hacerse el pago y hasta que el mismo se efectúe, además deberán pagarse recargos por concepto de indemnización al fisco federal por la falta de pago oportuno. Dichos recargos se calcularán aplicando al monto de las contribuciones o de los aprovechamientos actualizados por el periodo a que se refiere este párrafo, la tasa que resulte de sumar las aplicables en cada año para cada uno de los meses transcurridos en el periodo de actualización de la contribución o aprovechamiento de que se trate. La tasa de recargos para cada uno de los meses de mora será la que resulte de incrementar en 50% a la que mediante Ley fije anualmente el Congreso de la Unión, para tal efecto, la tasa se considerará hasta la centésima y, en su caso, se ajustará a la centésima inmediata superior cuando el dígito de la milésima sea igual o mayor a 5 y cuando la milésima sea menor a 5 se mantendrá la tasa a la centésima que haya resultado.</w:t>
      </w:r>
    </w:p>
    <w:p w14:paraId="418751D2" w14:textId="77777777" w:rsidR="0098662D" w:rsidRPr="00766F6B" w:rsidRDefault="0098662D" w:rsidP="0098662D">
      <w:pPr>
        <w:pStyle w:val="Textonotapie"/>
        <w:contextualSpacing/>
        <w:jc w:val="both"/>
        <w:rPr>
          <w:rFonts w:ascii="Arial Nova" w:hAnsi="Arial Nova" w:cs="Arial"/>
        </w:rPr>
      </w:pPr>
      <w:r w:rsidRPr="00766F6B">
        <w:rPr>
          <w:rFonts w:ascii="Arial Nova" w:hAnsi="Arial Nova" w:cs="Arial"/>
        </w:rPr>
        <w:t>(…)</w:t>
      </w:r>
    </w:p>
    <w:p w14:paraId="7F5AC844" w14:textId="77777777" w:rsidR="0098662D" w:rsidRPr="00766F6B" w:rsidRDefault="0098662D" w:rsidP="0098662D">
      <w:pPr>
        <w:pStyle w:val="Textonotapie"/>
        <w:contextualSpacing/>
        <w:jc w:val="both"/>
        <w:rPr>
          <w:rFonts w:ascii="Arial Nova" w:hAnsi="Arial Nova" w:cs="Arial"/>
        </w:rPr>
      </w:pPr>
      <w:r w:rsidRPr="00766F6B">
        <w:rPr>
          <w:rFonts w:ascii="Arial Nova" w:hAnsi="Arial Nova" w:cs="Arial"/>
        </w:rPr>
        <w:t>Los recargos se causarán por cada mes o fracción que transcurra a partir del día en que debió hacerse el pago y hasta que el mismo se efectúe.</w:t>
      </w:r>
    </w:p>
    <w:p w14:paraId="340D727A" w14:textId="6D801A11" w:rsidR="0098662D" w:rsidRDefault="0098662D" w:rsidP="0098662D">
      <w:pPr>
        <w:pStyle w:val="Textonotapie"/>
      </w:pPr>
    </w:p>
  </w:footnote>
  <w:footnote w:id="2">
    <w:p w14:paraId="79251BA6" w14:textId="267C56F1" w:rsidR="00E0033F" w:rsidRPr="00D53DF8" w:rsidRDefault="00E0033F" w:rsidP="00E0033F">
      <w:pPr>
        <w:pStyle w:val="Textonotapie"/>
        <w:jc w:val="both"/>
        <w:rPr>
          <w:rFonts w:ascii="Arial" w:hAnsi="Arial" w:cs="Arial"/>
        </w:rPr>
      </w:pPr>
      <w:r w:rsidRPr="00D53DF8">
        <w:rPr>
          <w:rStyle w:val="Refdenotaalpie"/>
          <w:rFonts w:ascii="Arial" w:hAnsi="Arial" w:cs="Arial"/>
        </w:rPr>
        <w:footnoteRef/>
      </w:r>
      <w:r w:rsidRPr="00D53DF8">
        <w:rPr>
          <w:rFonts w:ascii="Arial" w:hAnsi="Arial" w:cs="Arial"/>
        </w:rPr>
        <w:t xml:space="preserve"> Al respecto, la Sala destacó que, cuando se realiza un pago extemporáneo de contribuciones éstas se actualizan por un mes completo y no por una fracción de mes, toda vez que para ello se utiliza el INPC (Índice Nacional de Precios al Consumidor) que es calculado por el Banco de México y se publica en el Diario Oficial de la Federación dentro de los primeros diez días del mes siguiente al que corresponda. Asimismo, que conforme a lo dispuesto en el artículo 17-A del Código Fiscal de la Federación, las contribuciones, los aprovechamientos, así como las devoluciones a cargo del fisco federal, no se actualizarán por fracciones de 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3F8F" w14:textId="0C0462EF" w:rsidR="0048582B" w:rsidRPr="00046D48" w:rsidRDefault="0048582B" w:rsidP="006A3B8B">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7C3F180" w:rsidR="0048582B" w:rsidRDefault="001C0675" w:rsidP="006A3B8B">
    <w:pPr>
      <w:pStyle w:val="Encabezado"/>
      <w:ind w:left="3969"/>
      <w:jc w:val="right"/>
      <w:rPr>
        <w:rFonts w:ascii="Arial Nova" w:hAnsi="Arial Nova" w:cs="Times New Roman"/>
        <w:b/>
        <w:bCs/>
        <w:color w:val="002060"/>
        <w:sz w:val="20"/>
        <w:szCs w:val="20"/>
      </w:rPr>
    </w:pPr>
    <w:r>
      <w:rPr>
        <w:rFonts w:ascii="Arial Nova" w:hAnsi="Arial Nova" w:cs="Times New Roman"/>
        <w:b/>
        <w:bCs/>
        <w:color w:val="002060"/>
        <w:sz w:val="20"/>
        <w:szCs w:val="20"/>
      </w:rPr>
      <w:tab/>
    </w:r>
    <w:r w:rsidR="005C2A38">
      <w:rPr>
        <w:rFonts w:ascii="Arial Nova" w:hAnsi="Arial Nova" w:cs="Times New Roman"/>
        <w:b/>
        <w:bCs/>
        <w:color w:val="002060"/>
        <w:sz w:val="20"/>
        <w:szCs w:val="20"/>
      </w:rPr>
      <w:t>AMPAR</w:t>
    </w:r>
    <w:r w:rsidR="00475AF0">
      <w:rPr>
        <w:rFonts w:ascii="Arial Nova" w:hAnsi="Arial Nova" w:cs="Times New Roman"/>
        <w:b/>
        <w:bCs/>
        <w:color w:val="002060"/>
        <w:sz w:val="20"/>
        <w:szCs w:val="20"/>
      </w:rPr>
      <w:t>O</w:t>
    </w:r>
    <w:r w:rsidR="00F0665B">
      <w:rPr>
        <w:rFonts w:ascii="Arial Nova" w:hAnsi="Arial Nova" w:cs="Times New Roman"/>
        <w:b/>
        <w:bCs/>
        <w:color w:val="002060"/>
        <w:sz w:val="20"/>
        <w:szCs w:val="20"/>
      </w:rPr>
      <w:t xml:space="preserve"> </w:t>
    </w:r>
    <w:r w:rsidR="005C2A38">
      <w:rPr>
        <w:rFonts w:ascii="Arial Nova" w:hAnsi="Arial Nova" w:cs="Times New Roman"/>
        <w:b/>
        <w:bCs/>
        <w:color w:val="002060"/>
        <w:sz w:val="20"/>
        <w:szCs w:val="20"/>
      </w:rPr>
      <w:t>EN REVISIÓN</w:t>
    </w:r>
    <w:r w:rsidR="00475AF0">
      <w:rPr>
        <w:rFonts w:ascii="Arial Nova" w:hAnsi="Arial Nova" w:cs="Times New Roman"/>
        <w:b/>
        <w:bCs/>
        <w:color w:val="002060"/>
        <w:sz w:val="20"/>
        <w:szCs w:val="20"/>
      </w:rPr>
      <w:t xml:space="preserve"> </w:t>
    </w:r>
    <w:r w:rsidR="001C1C62">
      <w:rPr>
        <w:rFonts w:ascii="Arial Nova" w:hAnsi="Arial Nova" w:cs="Times New Roman"/>
        <w:b/>
        <w:bCs/>
        <w:color w:val="002060"/>
        <w:sz w:val="20"/>
        <w:szCs w:val="20"/>
      </w:rPr>
      <w:t>593</w:t>
    </w:r>
    <w:r w:rsidR="005C2A38">
      <w:rPr>
        <w:rFonts w:ascii="Arial Nova" w:hAnsi="Arial Nova" w:cs="Times New Roman"/>
        <w:b/>
        <w:bCs/>
        <w:color w:val="002060"/>
        <w:sz w:val="20"/>
        <w:szCs w:val="20"/>
      </w:rPr>
      <w:t>/20</w:t>
    </w:r>
    <w:r w:rsidR="00475AF0">
      <w:rPr>
        <w:rFonts w:ascii="Arial Nova" w:hAnsi="Arial Nova" w:cs="Times New Roman"/>
        <w:b/>
        <w:bCs/>
        <w:color w:val="002060"/>
        <w:sz w:val="20"/>
        <w:szCs w:val="20"/>
      </w:rPr>
      <w:t>2</w:t>
    </w:r>
    <w:r w:rsidR="001C1C62">
      <w:rPr>
        <w:rFonts w:ascii="Arial Nova" w:hAnsi="Arial Nova" w:cs="Times New Roman"/>
        <w:b/>
        <w:bCs/>
        <w:color w:val="002060"/>
        <w:sz w:val="20"/>
        <w:szCs w:val="20"/>
      </w:rPr>
      <w:t>3</w:t>
    </w:r>
    <w:r w:rsidR="00B97964">
      <w:rPr>
        <w:rFonts w:ascii="Arial Nova" w:hAnsi="Arial Nova" w:cs="Times New Roman"/>
        <w:b/>
        <w:bCs/>
        <w:color w:val="002060"/>
        <w:sz w:val="20"/>
        <w:szCs w:val="20"/>
      </w:rPr>
      <w:t>.</w:t>
    </w:r>
  </w:p>
  <w:p w14:paraId="630AB542" w14:textId="77777777" w:rsidR="00A67889" w:rsidRPr="00046D48" w:rsidRDefault="00A67889" w:rsidP="001C0675">
    <w:pPr>
      <w:pStyle w:val="Encabezado"/>
      <w:jc w:val="both"/>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F68"/>
    <w:multiLevelType w:val="hybridMultilevel"/>
    <w:tmpl w:val="59F2123A"/>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3"/>
    <w:rsid w:val="000015D9"/>
    <w:rsid w:val="000018A2"/>
    <w:rsid w:val="000044C6"/>
    <w:rsid w:val="00012771"/>
    <w:rsid w:val="0001305F"/>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1A23"/>
    <w:rsid w:val="000F495F"/>
    <w:rsid w:val="000F558E"/>
    <w:rsid w:val="00100C8F"/>
    <w:rsid w:val="00101718"/>
    <w:rsid w:val="001058A3"/>
    <w:rsid w:val="00111977"/>
    <w:rsid w:val="00114E7A"/>
    <w:rsid w:val="00117441"/>
    <w:rsid w:val="00121276"/>
    <w:rsid w:val="00121D2D"/>
    <w:rsid w:val="001267B2"/>
    <w:rsid w:val="001268F0"/>
    <w:rsid w:val="00126C0B"/>
    <w:rsid w:val="00134364"/>
    <w:rsid w:val="00146208"/>
    <w:rsid w:val="001503FB"/>
    <w:rsid w:val="00155F2E"/>
    <w:rsid w:val="0016052F"/>
    <w:rsid w:val="00160CAC"/>
    <w:rsid w:val="001621BB"/>
    <w:rsid w:val="00162364"/>
    <w:rsid w:val="001624A8"/>
    <w:rsid w:val="001633B5"/>
    <w:rsid w:val="001646E2"/>
    <w:rsid w:val="00165F78"/>
    <w:rsid w:val="00166644"/>
    <w:rsid w:val="00167A52"/>
    <w:rsid w:val="001724BA"/>
    <w:rsid w:val="0017501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1906"/>
    <w:rsid w:val="001C1C62"/>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09EA"/>
    <w:rsid w:val="002A6F62"/>
    <w:rsid w:val="002B0FC2"/>
    <w:rsid w:val="002B6947"/>
    <w:rsid w:val="002C0C35"/>
    <w:rsid w:val="002C53C2"/>
    <w:rsid w:val="002D0BA1"/>
    <w:rsid w:val="002D2054"/>
    <w:rsid w:val="002D458E"/>
    <w:rsid w:val="002D6E50"/>
    <w:rsid w:val="002E2DF0"/>
    <w:rsid w:val="002E3673"/>
    <w:rsid w:val="002E4082"/>
    <w:rsid w:val="002E68E4"/>
    <w:rsid w:val="002F024C"/>
    <w:rsid w:val="002F1506"/>
    <w:rsid w:val="002F4309"/>
    <w:rsid w:val="002F4387"/>
    <w:rsid w:val="002F5189"/>
    <w:rsid w:val="002F5E8B"/>
    <w:rsid w:val="002F6958"/>
    <w:rsid w:val="00300F95"/>
    <w:rsid w:val="00302903"/>
    <w:rsid w:val="0031323F"/>
    <w:rsid w:val="00315E53"/>
    <w:rsid w:val="00320183"/>
    <w:rsid w:val="003213F0"/>
    <w:rsid w:val="00322A63"/>
    <w:rsid w:val="00323C00"/>
    <w:rsid w:val="00324F35"/>
    <w:rsid w:val="003266E1"/>
    <w:rsid w:val="0032693A"/>
    <w:rsid w:val="00326989"/>
    <w:rsid w:val="00332C63"/>
    <w:rsid w:val="00333908"/>
    <w:rsid w:val="00334473"/>
    <w:rsid w:val="00340154"/>
    <w:rsid w:val="00340F79"/>
    <w:rsid w:val="00344F45"/>
    <w:rsid w:val="003456DC"/>
    <w:rsid w:val="003464B8"/>
    <w:rsid w:val="003468DB"/>
    <w:rsid w:val="00346BA5"/>
    <w:rsid w:val="00346BA6"/>
    <w:rsid w:val="00354BF0"/>
    <w:rsid w:val="003634E8"/>
    <w:rsid w:val="003649F3"/>
    <w:rsid w:val="00366734"/>
    <w:rsid w:val="00366748"/>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7974"/>
    <w:rsid w:val="003D4B08"/>
    <w:rsid w:val="003D642E"/>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7670"/>
    <w:rsid w:val="0044784E"/>
    <w:rsid w:val="004478A2"/>
    <w:rsid w:val="00447D23"/>
    <w:rsid w:val="00450AFE"/>
    <w:rsid w:val="004518CB"/>
    <w:rsid w:val="00452C04"/>
    <w:rsid w:val="00460D1E"/>
    <w:rsid w:val="0046660B"/>
    <w:rsid w:val="004716A3"/>
    <w:rsid w:val="004723D9"/>
    <w:rsid w:val="004737F5"/>
    <w:rsid w:val="00475AF0"/>
    <w:rsid w:val="00476867"/>
    <w:rsid w:val="004835A9"/>
    <w:rsid w:val="00484742"/>
    <w:rsid w:val="004855FE"/>
    <w:rsid w:val="0048582B"/>
    <w:rsid w:val="00486D91"/>
    <w:rsid w:val="00492458"/>
    <w:rsid w:val="00492E22"/>
    <w:rsid w:val="004A0CD7"/>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3CE9"/>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0380"/>
    <w:rsid w:val="0055469E"/>
    <w:rsid w:val="00554BB3"/>
    <w:rsid w:val="00554CAF"/>
    <w:rsid w:val="005552DB"/>
    <w:rsid w:val="00564FF0"/>
    <w:rsid w:val="005651E4"/>
    <w:rsid w:val="005707EA"/>
    <w:rsid w:val="005723A9"/>
    <w:rsid w:val="0057274B"/>
    <w:rsid w:val="0057369D"/>
    <w:rsid w:val="00575CD2"/>
    <w:rsid w:val="00577488"/>
    <w:rsid w:val="005776C4"/>
    <w:rsid w:val="00583C0F"/>
    <w:rsid w:val="00584C2F"/>
    <w:rsid w:val="00587A14"/>
    <w:rsid w:val="00587CCA"/>
    <w:rsid w:val="00593D25"/>
    <w:rsid w:val="005962C5"/>
    <w:rsid w:val="005A31A2"/>
    <w:rsid w:val="005A400D"/>
    <w:rsid w:val="005A4594"/>
    <w:rsid w:val="005A4D99"/>
    <w:rsid w:val="005A7C21"/>
    <w:rsid w:val="005B0792"/>
    <w:rsid w:val="005B1972"/>
    <w:rsid w:val="005B4A77"/>
    <w:rsid w:val="005B677C"/>
    <w:rsid w:val="005B7089"/>
    <w:rsid w:val="005C0E5C"/>
    <w:rsid w:val="005C1063"/>
    <w:rsid w:val="005C1266"/>
    <w:rsid w:val="005C19AF"/>
    <w:rsid w:val="005C2A38"/>
    <w:rsid w:val="005C3C11"/>
    <w:rsid w:val="005C6396"/>
    <w:rsid w:val="005C7783"/>
    <w:rsid w:val="005D02B6"/>
    <w:rsid w:val="005D1EF6"/>
    <w:rsid w:val="005D4956"/>
    <w:rsid w:val="005D668C"/>
    <w:rsid w:val="005D7615"/>
    <w:rsid w:val="005D7AF6"/>
    <w:rsid w:val="005D7D25"/>
    <w:rsid w:val="005E054A"/>
    <w:rsid w:val="005E55B8"/>
    <w:rsid w:val="005F33A7"/>
    <w:rsid w:val="005F6321"/>
    <w:rsid w:val="005F6734"/>
    <w:rsid w:val="0060715F"/>
    <w:rsid w:val="006077FD"/>
    <w:rsid w:val="006126BA"/>
    <w:rsid w:val="00612EDD"/>
    <w:rsid w:val="006146C9"/>
    <w:rsid w:val="0061575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22AF"/>
    <w:rsid w:val="00663064"/>
    <w:rsid w:val="00674886"/>
    <w:rsid w:val="0068196C"/>
    <w:rsid w:val="00681F98"/>
    <w:rsid w:val="006916BA"/>
    <w:rsid w:val="00694131"/>
    <w:rsid w:val="006A0C3F"/>
    <w:rsid w:val="006A366D"/>
    <w:rsid w:val="006A3B8B"/>
    <w:rsid w:val="006B2893"/>
    <w:rsid w:val="006B6B5E"/>
    <w:rsid w:val="006B710C"/>
    <w:rsid w:val="006B7665"/>
    <w:rsid w:val="006C15EF"/>
    <w:rsid w:val="006C2052"/>
    <w:rsid w:val="006D203A"/>
    <w:rsid w:val="006D357F"/>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6364F"/>
    <w:rsid w:val="00766F6B"/>
    <w:rsid w:val="0077110E"/>
    <w:rsid w:val="007723D2"/>
    <w:rsid w:val="00776823"/>
    <w:rsid w:val="00784A9E"/>
    <w:rsid w:val="007853E6"/>
    <w:rsid w:val="00785542"/>
    <w:rsid w:val="00786361"/>
    <w:rsid w:val="00796584"/>
    <w:rsid w:val="00797413"/>
    <w:rsid w:val="007A1AC0"/>
    <w:rsid w:val="007A286B"/>
    <w:rsid w:val="007A33F2"/>
    <w:rsid w:val="007A5A9F"/>
    <w:rsid w:val="007A7085"/>
    <w:rsid w:val="007B25BC"/>
    <w:rsid w:val="007B27CA"/>
    <w:rsid w:val="007B346F"/>
    <w:rsid w:val="007D500D"/>
    <w:rsid w:val="007D5D5D"/>
    <w:rsid w:val="007D7C8C"/>
    <w:rsid w:val="007E2277"/>
    <w:rsid w:val="007E67CA"/>
    <w:rsid w:val="007F270C"/>
    <w:rsid w:val="007F3616"/>
    <w:rsid w:val="008109A5"/>
    <w:rsid w:val="00813028"/>
    <w:rsid w:val="008134BE"/>
    <w:rsid w:val="0081545D"/>
    <w:rsid w:val="00823513"/>
    <w:rsid w:val="0082358F"/>
    <w:rsid w:val="00823DE9"/>
    <w:rsid w:val="008244D4"/>
    <w:rsid w:val="00825464"/>
    <w:rsid w:val="00831E2C"/>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870A6"/>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8F18F5"/>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67F7D"/>
    <w:rsid w:val="00981254"/>
    <w:rsid w:val="00983C16"/>
    <w:rsid w:val="00985B95"/>
    <w:rsid w:val="0098662D"/>
    <w:rsid w:val="00986832"/>
    <w:rsid w:val="00987B58"/>
    <w:rsid w:val="00994640"/>
    <w:rsid w:val="00994661"/>
    <w:rsid w:val="009A7F2E"/>
    <w:rsid w:val="009B0BCE"/>
    <w:rsid w:val="009B4895"/>
    <w:rsid w:val="009C12DD"/>
    <w:rsid w:val="009C33C3"/>
    <w:rsid w:val="009C507B"/>
    <w:rsid w:val="009D0A51"/>
    <w:rsid w:val="009D4D4F"/>
    <w:rsid w:val="009E1DB0"/>
    <w:rsid w:val="009E2074"/>
    <w:rsid w:val="009E3862"/>
    <w:rsid w:val="009E501E"/>
    <w:rsid w:val="009F06E6"/>
    <w:rsid w:val="009F092B"/>
    <w:rsid w:val="009F435E"/>
    <w:rsid w:val="009F4D4B"/>
    <w:rsid w:val="009F54C9"/>
    <w:rsid w:val="009F5A78"/>
    <w:rsid w:val="009F65DC"/>
    <w:rsid w:val="00A02821"/>
    <w:rsid w:val="00A030F8"/>
    <w:rsid w:val="00A031E0"/>
    <w:rsid w:val="00A06BD8"/>
    <w:rsid w:val="00A1353A"/>
    <w:rsid w:val="00A14187"/>
    <w:rsid w:val="00A210BB"/>
    <w:rsid w:val="00A213B5"/>
    <w:rsid w:val="00A2399F"/>
    <w:rsid w:val="00A23FF9"/>
    <w:rsid w:val="00A24797"/>
    <w:rsid w:val="00A2652C"/>
    <w:rsid w:val="00A26C35"/>
    <w:rsid w:val="00A27E5F"/>
    <w:rsid w:val="00A335F8"/>
    <w:rsid w:val="00A337B9"/>
    <w:rsid w:val="00A34118"/>
    <w:rsid w:val="00A356D8"/>
    <w:rsid w:val="00A36297"/>
    <w:rsid w:val="00A372BA"/>
    <w:rsid w:val="00A46110"/>
    <w:rsid w:val="00A54512"/>
    <w:rsid w:val="00A60A42"/>
    <w:rsid w:val="00A61235"/>
    <w:rsid w:val="00A61E50"/>
    <w:rsid w:val="00A64273"/>
    <w:rsid w:val="00A67889"/>
    <w:rsid w:val="00A71F20"/>
    <w:rsid w:val="00A762AD"/>
    <w:rsid w:val="00A8397C"/>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1D1B"/>
    <w:rsid w:val="00AD2F59"/>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54E"/>
    <w:rsid w:val="00B50628"/>
    <w:rsid w:val="00B5357A"/>
    <w:rsid w:val="00B56E9D"/>
    <w:rsid w:val="00B605B9"/>
    <w:rsid w:val="00B62845"/>
    <w:rsid w:val="00B628D5"/>
    <w:rsid w:val="00B64D08"/>
    <w:rsid w:val="00B65914"/>
    <w:rsid w:val="00B661F6"/>
    <w:rsid w:val="00B6684A"/>
    <w:rsid w:val="00B74258"/>
    <w:rsid w:val="00B765F6"/>
    <w:rsid w:val="00B84509"/>
    <w:rsid w:val="00B85A4A"/>
    <w:rsid w:val="00B85BDF"/>
    <w:rsid w:val="00B878EA"/>
    <w:rsid w:val="00B92B45"/>
    <w:rsid w:val="00B92B8A"/>
    <w:rsid w:val="00B96C3A"/>
    <w:rsid w:val="00B97964"/>
    <w:rsid w:val="00BA232A"/>
    <w:rsid w:val="00BA4D8A"/>
    <w:rsid w:val="00BB001B"/>
    <w:rsid w:val="00BB020E"/>
    <w:rsid w:val="00BB72CB"/>
    <w:rsid w:val="00BC3D1C"/>
    <w:rsid w:val="00BC46CC"/>
    <w:rsid w:val="00BC6626"/>
    <w:rsid w:val="00BD416C"/>
    <w:rsid w:val="00BD45D2"/>
    <w:rsid w:val="00BE0015"/>
    <w:rsid w:val="00BE71DC"/>
    <w:rsid w:val="00BF452E"/>
    <w:rsid w:val="00BF5C35"/>
    <w:rsid w:val="00BF6B4B"/>
    <w:rsid w:val="00BF73A8"/>
    <w:rsid w:val="00C00D9C"/>
    <w:rsid w:val="00C00F77"/>
    <w:rsid w:val="00C011E2"/>
    <w:rsid w:val="00C04E45"/>
    <w:rsid w:val="00C05E1C"/>
    <w:rsid w:val="00C10761"/>
    <w:rsid w:val="00C1232B"/>
    <w:rsid w:val="00C12CB3"/>
    <w:rsid w:val="00C16101"/>
    <w:rsid w:val="00C17B4E"/>
    <w:rsid w:val="00C23036"/>
    <w:rsid w:val="00C23B5A"/>
    <w:rsid w:val="00C23EE5"/>
    <w:rsid w:val="00C2651E"/>
    <w:rsid w:val="00C31F7D"/>
    <w:rsid w:val="00C35D9C"/>
    <w:rsid w:val="00C37896"/>
    <w:rsid w:val="00C3799D"/>
    <w:rsid w:val="00C40192"/>
    <w:rsid w:val="00C406C9"/>
    <w:rsid w:val="00C40B5E"/>
    <w:rsid w:val="00C410B5"/>
    <w:rsid w:val="00C41125"/>
    <w:rsid w:val="00C42B98"/>
    <w:rsid w:val="00C4629A"/>
    <w:rsid w:val="00C52CE2"/>
    <w:rsid w:val="00C5383F"/>
    <w:rsid w:val="00C6021D"/>
    <w:rsid w:val="00C61315"/>
    <w:rsid w:val="00C62218"/>
    <w:rsid w:val="00C6376D"/>
    <w:rsid w:val="00C64F82"/>
    <w:rsid w:val="00C67B64"/>
    <w:rsid w:val="00C71363"/>
    <w:rsid w:val="00C73136"/>
    <w:rsid w:val="00C74B44"/>
    <w:rsid w:val="00C80819"/>
    <w:rsid w:val="00C835B2"/>
    <w:rsid w:val="00C86185"/>
    <w:rsid w:val="00C87D99"/>
    <w:rsid w:val="00C94C16"/>
    <w:rsid w:val="00C97793"/>
    <w:rsid w:val="00CA3F75"/>
    <w:rsid w:val="00CA4303"/>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34B4E"/>
    <w:rsid w:val="00D4428F"/>
    <w:rsid w:val="00D51A62"/>
    <w:rsid w:val="00D53DF8"/>
    <w:rsid w:val="00D54F58"/>
    <w:rsid w:val="00D57F00"/>
    <w:rsid w:val="00D64EAC"/>
    <w:rsid w:val="00D67FAD"/>
    <w:rsid w:val="00D71BDE"/>
    <w:rsid w:val="00D720C6"/>
    <w:rsid w:val="00D75C58"/>
    <w:rsid w:val="00D775F4"/>
    <w:rsid w:val="00D83116"/>
    <w:rsid w:val="00D83391"/>
    <w:rsid w:val="00D92A83"/>
    <w:rsid w:val="00D95714"/>
    <w:rsid w:val="00D95C95"/>
    <w:rsid w:val="00D969A8"/>
    <w:rsid w:val="00D96E77"/>
    <w:rsid w:val="00DA5473"/>
    <w:rsid w:val="00DA6AE7"/>
    <w:rsid w:val="00DA6B8A"/>
    <w:rsid w:val="00DA7975"/>
    <w:rsid w:val="00DB3D5C"/>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0202"/>
    <w:rsid w:val="00DF65FC"/>
    <w:rsid w:val="00DF7C53"/>
    <w:rsid w:val="00E00285"/>
    <w:rsid w:val="00E0033F"/>
    <w:rsid w:val="00E00A82"/>
    <w:rsid w:val="00E02AFF"/>
    <w:rsid w:val="00E170FF"/>
    <w:rsid w:val="00E20849"/>
    <w:rsid w:val="00E22045"/>
    <w:rsid w:val="00E229FD"/>
    <w:rsid w:val="00E260E5"/>
    <w:rsid w:val="00E31613"/>
    <w:rsid w:val="00E318A5"/>
    <w:rsid w:val="00E32435"/>
    <w:rsid w:val="00E36FDF"/>
    <w:rsid w:val="00E4199C"/>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D410C"/>
    <w:rsid w:val="00ED53AB"/>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665B"/>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55A6"/>
    <w:rsid w:val="00F6655B"/>
    <w:rsid w:val="00F66F10"/>
    <w:rsid w:val="00F6787C"/>
    <w:rsid w:val="00F67D19"/>
    <w:rsid w:val="00F72AB2"/>
    <w:rsid w:val="00F751FF"/>
    <w:rsid w:val="00F80810"/>
    <w:rsid w:val="00F81918"/>
    <w:rsid w:val="00F849EB"/>
    <w:rsid w:val="00F87808"/>
    <w:rsid w:val="00F90EC3"/>
    <w:rsid w:val="00F91611"/>
    <w:rsid w:val="00F92D08"/>
    <w:rsid w:val="00F93292"/>
    <w:rsid w:val="00F9544C"/>
    <w:rsid w:val="00FA10DA"/>
    <w:rsid w:val="00FA352C"/>
    <w:rsid w:val="00FA3F87"/>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AD1D1B"/>
    <w:rPr>
      <w:rFonts w:eastAsiaTheme="minorHAnsi"/>
      <w:b/>
      <w:bCs/>
    </w:rPr>
  </w:style>
  <w:style w:type="character" w:customStyle="1" w:styleId="AsuntodelcomentarioCar">
    <w:name w:val="Asunto del comentario Car"/>
    <w:basedOn w:val="TextocomentarioCar"/>
    <w:link w:val="Asuntodelcomentario"/>
    <w:uiPriority w:val="99"/>
    <w:semiHidden/>
    <w:rsid w:val="00AD1D1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826164605">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37896097">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397362415">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575354801">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 w:id="20539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594B-86A2-4BAF-936D-3ED7358C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Servicio Social GA</cp:lastModifiedBy>
  <cp:revision>9</cp:revision>
  <cp:lastPrinted>2021-06-08T20:16:00Z</cp:lastPrinted>
  <dcterms:created xsi:type="dcterms:W3CDTF">2024-03-06T16:09:00Z</dcterms:created>
  <dcterms:modified xsi:type="dcterms:W3CDTF">2024-03-07T18:01:00Z</dcterms:modified>
</cp:coreProperties>
</file>