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8CE3" w14:textId="4F77C819" w:rsidR="00BE71DC" w:rsidRDefault="00BE71DC" w:rsidP="002C5B74">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4FD89AF6" w:rsidR="00444CFB" w:rsidRDefault="00E32AAE"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LAS PERSONAS</w:t>
      </w:r>
      <w:r w:rsidRPr="00E32AAE">
        <w:rPr>
          <w:rFonts w:ascii="Arial Nova" w:hAnsi="Arial Nova" w:cs="Times New Roman"/>
          <w:b/>
          <w:bCs/>
          <w:smallCaps/>
          <w:color w:val="002060"/>
        </w:rPr>
        <w:t xml:space="preserve"> </w:t>
      </w:r>
      <w:r>
        <w:rPr>
          <w:rFonts w:ascii="Arial Nova" w:hAnsi="Arial Nova" w:cs="Times New Roman"/>
          <w:b/>
          <w:bCs/>
          <w:smallCaps/>
          <w:color w:val="002060"/>
        </w:rPr>
        <w:t>JUZGADORAS DEBEN SUPLI</w:t>
      </w:r>
      <w:r w:rsidR="006A584C">
        <w:rPr>
          <w:rFonts w:ascii="Arial Nova" w:hAnsi="Arial Nova" w:cs="Times New Roman"/>
          <w:b/>
          <w:bCs/>
          <w:smallCaps/>
          <w:color w:val="002060"/>
        </w:rPr>
        <w:t xml:space="preserve">R LA DEFICIENCIA DE LA QUEJA EN EL JUICIO DE AMPARO </w:t>
      </w:r>
      <w:r w:rsidR="002B7C7C">
        <w:rPr>
          <w:rFonts w:ascii="Arial Nova" w:hAnsi="Arial Nova" w:cs="Times New Roman"/>
          <w:b/>
          <w:bCs/>
          <w:smallCaps/>
          <w:color w:val="002060"/>
        </w:rPr>
        <w:t xml:space="preserve">EN </w:t>
      </w:r>
      <w:r>
        <w:rPr>
          <w:rFonts w:ascii="Arial Nova" w:hAnsi="Arial Nova" w:cs="Times New Roman"/>
          <w:b/>
          <w:bCs/>
          <w:smallCaps/>
          <w:color w:val="002060"/>
        </w:rPr>
        <w:t>FAVOR DE LAS PERSONAS ADULTAS MAYORES EN SITUACIÓN DE VULNERABILIDAD</w:t>
      </w:r>
    </w:p>
    <w:p w14:paraId="4EF1EF6A" w14:textId="77777777" w:rsidR="002C5B74" w:rsidRPr="002C5B74" w:rsidRDefault="002C5B74" w:rsidP="00F849EB">
      <w:pPr>
        <w:spacing w:after="0" w:line="240" w:lineRule="auto"/>
        <w:jc w:val="both"/>
        <w:rPr>
          <w:rFonts w:ascii="Arial Nova" w:hAnsi="Arial Nova" w:cs="Times New Roman"/>
          <w:sz w:val="20"/>
          <w:szCs w:val="20"/>
        </w:rPr>
      </w:pPr>
    </w:p>
    <w:p w14:paraId="252BD5EA" w14:textId="116FAA17" w:rsidR="002C5B74" w:rsidRDefault="002C5B74" w:rsidP="00F849EB">
      <w:pPr>
        <w:shd w:val="clear" w:color="auto" w:fill="E7E6E6" w:themeFill="background2"/>
        <w:spacing w:after="0" w:line="240" w:lineRule="auto"/>
        <w:ind w:left="2552"/>
        <w:jc w:val="right"/>
        <w:rPr>
          <w:rFonts w:ascii="Arial Nova" w:hAnsi="Arial Nova" w:cs="Times New Roman"/>
          <w:smallCaps/>
          <w:color w:val="002060"/>
        </w:rPr>
      </w:pPr>
      <w:bookmarkStart w:id="0" w:name="_Hlk133506801"/>
      <w:bookmarkStart w:id="1" w:name="_Hlk133506760"/>
      <w:r w:rsidRPr="001624A8">
        <w:rPr>
          <w:rFonts w:ascii="Arial Nova" w:hAnsi="Arial Nova" w:cs="Times New Roman"/>
          <w:b/>
          <w:bCs/>
          <w:smallCaps/>
          <w:color w:val="002060"/>
        </w:rPr>
        <w:t>Ponente: Minis</w:t>
      </w:r>
      <w:r>
        <w:rPr>
          <w:rFonts w:ascii="Arial Nova" w:hAnsi="Arial Nova" w:cs="Times New Roman"/>
          <w:b/>
          <w:bCs/>
          <w:smallCaps/>
          <w:color w:val="002060"/>
        </w:rPr>
        <w:t>tro Juan Luis González Alcántara Carrancá</w:t>
      </w:r>
      <w:r w:rsidRPr="001624A8">
        <w:rPr>
          <w:rFonts w:ascii="Arial Nova" w:hAnsi="Arial Nova" w:cs="Times New Roman"/>
          <w:smallCaps/>
          <w:color w:val="002060"/>
        </w:rPr>
        <w:t>.</w:t>
      </w:r>
    </w:p>
    <w:p w14:paraId="047B1CB1" w14:textId="706E9F84" w:rsidR="002C5B74" w:rsidRDefault="002C5B74" w:rsidP="00F849EB">
      <w:pPr>
        <w:shd w:val="clear" w:color="auto" w:fill="E7E6E6" w:themeFill="background2"/>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w:t>
      </w:r>
      <w:r>
        <w:rPr>
          <w:rFonts w:ascii="Arial Nova" w:hAnsi="Arial Nova" w:cs="Times New Roman"/>
          <w:smallCaps/>
          <w:color w:val="002060"/>
        </w:rPr>
        <w:t>io: Pablo Francisco Muñoz Díaz.</w:t>
      </w:r>
    </w:p>
    <w:p w14:paraId="1C0B4F90" w14:textId="7221AC4A" w:rsidR="001C01EC" w:rsidRPr="004C2D17" w:rsidRDefault="001C01EC" w:rsidP="00F849EB">
      <w:pPr>
        <w:shd w:val="clear" w:color="auto" w:fill="E7E6E6" w:themeFill="background2"/>
        <w:spacing w:after="0" w:line="240" w:lineRule="auto"/>
        <w:ind w:left="2552"/>
        <w:jc w:val="right"/>
        <w:rPr>
          <w:rFonts w:ascii="Arial Nova" w:hAnsi="Arial Nova" w:cs="Times New Roman"/>
          <w:smallCaps/>
        </w:rPr>
      </w:pPr>
      <w:bookmarkStart w:id="2" w:name="_Hlk133506816"/>
      <w:bookmarkEnd w:id="0"/>
      <w:r w:rsidRPr="001624A8">
        <w:rPr>
          <w:rFonts w:ascii="Arial Nova" w:hAnsi="Arial Nova" w:cs="Times New Roman"/>
          <w:smallCaps/>
          <w:color w:val="002060"/>
        </w:rPr>
        <w:t xml:space="preserve">Expediente: </w:t>
      </w:r>
      <w:r w:rsidR="000F558E">
        <w:rPr>
          <w:rFonts w:ascii="Arial Nova" w:hAnsi="Arial Nova" w:cs="Times New Roman"/>
          <w:smallCaps/>
          <w:color w:val="002060"/>
        </w:rPr>
        <w:t>Amparo Directo en Revisión 1332/2023</w:t>
      </w:r>
      <w:r w:rsidRPr="004C2D17">
        <w:rPr>
          <w:rFonts w:ascii="Arial Nova" w:hAnsi="Arial Nova" w:cs="Times New Roman"/>
          <w:smallCaps/>
        </w:rPr>
        <w:t>.</w:t>
      </w:r>
      <w:bookmarkEnd w:id="1"/>
      <w:bookmarkEnd w:id="2"/>
    </w:p>
    <w:p w14:paraId="254DE4BC" w14:textId="77777777" w:rsidR="00BE71DC" w:rsidRDefault="00BE71DC" w:rsidP="002C5B74">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2B7C7C">
            <w:pPr>
              <w:jc w:val="both"/>
              <w:rPr>
                <w:rFonts w:ascii="Arial Nova" w:hAnsi="Arial Nova" w:cs="Times New Roman"/>
              </w:rPr>
            </w:pPr>
          </w:p>
          <w:p w14:paraId="213F2911" w14:textId="783FCBAB" w:rsidR="00B65914" w:rsidRDefault="00B323DA" w:rsidP="002B7C7C">
            <w:pPr>
              <w:shd w:val="clear" w:color="auto" w:fill="FFFFFF" w:themeFill="background1"/>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2F1B2716" w14:textId="77777777" w:rsidR="00ED53AB" w:rsidRDefault="00ED53AB" w:rsidP="002B7C7C">
            <w:pPr>
              <w:jc w:val="both"/>
              <w:rPr>
                <w:rFonts w:ascii="Arial Nova" w:hAnsi="Arial Nova" w:cs="Times New Roman"/>
              </w:rPr>
            </w:pPr>
          </w:p>
          <w:p w14:paraId="1A918BAB" w14:textId="1A32A6CB" w:rsidR="000F558E" w:rsidRPr="000F558E" w:rsidRDefault="002C5B74" w:rsidP="002B7C7C">
            <w:pPr>
              <w:jc w:val="both"/>
              <w:rPr>
                <w:rFonts w:ascii="Arial Nova" w:hAnsi="Arial Nova" w:cs="Times New Roman"/>
              </w:rPr>
            </w:pPr>
            <w:r>
              <w:rPr>
                <w:rFonts w:ascii="Arial Nova" w:hAnsi="Arial Nova" w:cs="Times New Roman"/>
              </w:rPr>
              <w:t>U</w:t>
            </w:r>
            <w:r w:rsidR="000F558E" w:rsidRPr="000F558E">
              <w:rPr>
                <w:rFonts w:ascii="Arial Nova" w:hAnsi="Arial Nova" w:cs="Times New Roman"/>
              </w:rPr>
              <w:t xml:space="preserve">na </w:t>
            </w:r>
            <w:r w:rsidR="00C11633">
              <w:rPr>
                <w:rFonts w:ascii="Arial Nova" w:hAnsi="Arial Nova" w:cs="Times New Roman"/>
              </w:rPr>
              <w:t>mujer</w:t>
            </w:r>
            <w:r w:rsidR="00296FCF">
              <w:rPr>
                <w:rFonts w:ascii="Arial Nova" w:hAnsi="Arial Nova" w:cs="Times New Roman"/>
              </w:rPr>
              <w:t xml:space="preserve"> de ochenta y siete años</w:t>
            </w:r>
            <w:r w:rsidR="00C11633">
              <w:rPr>
                <w:rFonts w:ascii="Arial Nova" w:hAnsi="Arial Nova" w:cs="Times New Roman"/>
              </w:rPr>
              <w:t xml:space="preserve">, </w:t>
            </w:r>
            <w:r w:rsidR="000F558E" w:rsidRPr="000F558E">
              <w:rPr>
                <w:rFonts w:ascii="Arial Nova" w:hAnsi="Arial Nova" w:cs="Times New Roman"/>
              </w:rPr>
              <w:t>en situación de vulnerabilidad</w:t>
            </w:r>
            <w:r w:rsidR="00C11633">
              <w:rPr>
                <w:rFonts w:ascii="Arial Nova" w:hAnsi="Arial Nova" w:cs="Times New Roman"/>
              </w:rPr>
              <w:t xml:space="preserve"> </w:t>
            </w:r>
            <w:r w:rsidR="00C11633" w:rsidRPr="000F558E">
              <w:rPr>
                <w:rFonts w:ascii="Arial Nova" w:hAnsi="Arial Nova" w:cs="Times New Roman"/>
              </w:rPr>
              <w:t>—</w:t>
            </w:r>
            <w:r w:rsidR="000F558E" w:rsidRPr="000F558E">
              <w:rPr>
                <w:rFonts w:ascii="Arial Nova" w:hAnsi="Arial Nova" w:cs="Times New Roman"/>
              </w:rPr>
              <w:t>por estar enferma, no saber leer</w:t>
            </w:r>
            <w:r w:rsidR="0082277D">
              <w:rPr>
                <w:rFonts w:ascii="Arial Nova" w:hAnsi="Arial Nova" w:cs="Times New Roman"/>
              </w:rPr>
              <w:t xml:space="preserve"> </w:t>
            </w:r>
            <w:r w:rsidR="000F558E" w:rsidRPr="000F558E">
              <w:rPr>
                <w:rFonts w:ascii="Arial Nova" w:hAnsi="Arial Nova" w:cs="Times New Roman"/>
              </w:rPr>
              <w:t>ni escribir</w:t>
            </w:r>
            <w:r w:rsidR="00C11633">
              <w:rPr>
                <w:rFonts w:ascii="Arial Nova" w:hAnsi="Arial Nova" w:cs="Times New Roman"/>
              </w:rPr>
              <w:t xml:space="preserve">, </w:t>
            </w:r>
            <w:r w:rsidR="000F558E" w:rsidRPr="000F558E">
              <w:rPr>
                <w:rFonts w:ascii="Arial Nova" w:hAnsi="Arial Nova" w:cs="Times New Roman"/>
              </w:rPr>
              <w:t xml:space="preserve">no entender bien el español </w:t>
            </w:r>
            <w:r w:rsidR="00C11633">
              <w:rPr>
                <w:rFonts w:ascii="Arial Nova" w:hAnsi="Arial Nova" w:cs="Times New Roman"/>
              </w:rPr>
              <w:t xml:space="preserve">y </w:t>
            </w:r>
            <w:r w:rsidR="000F558E" w:rsidRPr="000F558E">
              <w:rPr>
                <w:rFonts w:ascii="Arial Nova" w:hAnsi="Arial Nova" w:cs="Times New Roman"/>
              </w:rPr>
              <w:t>pertenecer a una comunidad indígena</w:t>
            </w:r>
            <w:r w:rsidR="006A584C" w:rsidRPr="000F558E">
              <w:rPr>
                <w:rFonts w:ascii="Arial Nova" w:hAnsi="Arial Nova" w:cs="Times New Roman"/>
              </w:rPr>
              <w:t>—</w:t>
            </w:r>
            <w:r w:rsidR="000F558E" w:rsidRPr="000F558E">
              <w:rPr>
                <w:rFonts w:ascii="Arial Nova" w:hAnsi="Arial Nova" w:cs="Times New Roman"/>
              </w:rPr>
              <w:t xml:space="preserve"> demandó la nulidad de un contrato de compraventa de un bien inmueble de su propiedad</w:t>
            </w:r>
            <w:r w:rsidR="00E32AAE">
              <w:rPr>
                <w:rFonts w:ascii="Arial Nova" w:hAnsi="Arial Nova" w:cs="Times New Roman"/>
              </w:rPr>
              <w:t>.</w:t>
            </w:r>
            <w:r w:rsidR="000F558E" w:rsidRPr="000F558E">
              <w:rPr>
                <w:rFonts w:ascii="Arial Nova" w:hAnsi="Arial Nova" w:cs="Times New Roman"/>
              </w:rPr>
              <w:t xml:space="preserve"> </w:t>
            </w:r>
            <w:r w:rsidR="00E32AAE">
              <w:rPr>
                <w:rFonts w:ascii="Arial Nova" w:hAnsi="Arial Nova" w:cs="Times New Roman"/>
              </w:rPr>
              <w:t xml:space="preserve">En la demanda </w:t>
            </w:r>
            <w:r w:rsidR="00C11633">
              <w:rPr>
                <w:rFonts w:ascii="Arial Nova" w:hAnsi="Arial Nova" w:cs="Times New Roman"/>
              </w:rPr>
              <w:t xml:space="preserve">argumentó </w:t>
            </w:r>
            <w:r w:rsidR="000F558E" w:rsidRPr="000F558E">
              <w:rPr>
                <w:rFonts w:ascii="Arial Nova" w:hAnsi="Arial Nova" w:cs="Times New Roman"/>
              </w:rPr>
              <w:t>que</w:t>
            </w:r>
            <w:r w:rsidR="00E32AAE">
              <w:rPr>
                <w:rFonts w:ascii="Arial Nova" w:hAnsi="Arial Nova" w:cs="Times New Roman"/>
              </w:rPr>
              <w:t>,</w:t>
            </w:r>
            <w:r w:rsidR="000F558E" w:rsidRPr="000F558E">
              <w:rPr>
                <w:rFonts w:ascii="Arial Nova" w:hAnsi="Arial Nova" w:cs="Times New Roman"/>
              </w:rPr>
              <w:t xml:space="preserve"> la parte compradora</w:t>
            </w:r>
            <w:r w:rsidR="00C11633">
              <w:rPr>
                <w:rFonts w:ascii="Arial Nova" w:hAnsi="Arial Nova" w:cs="Times New Roman"/>
              </w:rPr>
              <w:t>, aprovechándose</w:t>
            </w:r>
            <w:r w:rsidR="00C11633" w:rsidRPr="000F558E">
              <w:rPr>
                <w:rFonts w:ascii="Arial Nova" w:hAnsi="Arial Nova" w:cs="Times New Roman"/>
              </w:rPr>
              <w:t xml:space="preserve"> </w:t>
            </w:r>
            <w:r w:rsidR="00C11633">
              <w:rPr>
                <w:rFonts w:ascii="Arial Nova" w:hAnsi="Arial Nova" w:cs="Times New Roman"/>
              </w:rPr>
              <w:t xml:space="preserve">de </w:t>
            </w:r>
            <w:r w:rsidR="00296FCF">
              <w:rPr>
                <w:rFonts w:ascii="Arial Nova" w:hAnsi="Arial Nova" w:cs="Times New Roman"/>
              </w:rPr>
              <w:t xml:space="preserve">su </w:t>
            </w:r>
            <w:r w:rsidR="00C11633" w:rsidRPr="000F558E">
              <w:rPr>
                <w:rFonts w:ascii="Arial Nova" w:hAnsi="Arial Nova" w:cs="Times New Roman"/>
              </w:rPr>
              <w:t>situación</w:t>
            </w:r>
            <w:r w:rsidR="000F558E" w:rsidRPr="000F558E">
              <w:rPr>
                <w:rFonts w:ascii="Arial Nova" w:hAnsi="Arial Nova" w:cs="Times New Roman"/>
              </w:rPr>
              <w:t xml:space="preserve"> </w:t>
            </w:r>
            <w:r w:rsidR="00C11633">
              <w:rPr>
                <w:rFonts w:ascii="Arial Nova" w:hAnsi="Arial Nova" w:cs="Times New Roman"/>
              </w:rPr>
              <w:t>de vulnerabilidad</w:t>
            </w:r>
            <w:r w:rsidR="00296FCF">
              <w:rPr>
                <w:rFonts w:ascii="Arial Nova" w:hAnsi="Arial Nova" w:cs="Times New Roman"/>
              </w:rPr>
              <w:t xml:space="preserve">, </w:t>
            </w:r>
            <w:r w:rsidR="000F558E" w:rsidRPr="000F558E">
              <w:rPr>
                <w:rFonts w:ascii="Arial Nova" w:hAnsi="Arial Nova" w:cs="Times New Roman"/>
              </w:rPr>
              <w:t xml:space="preserve">la había engañado </w:t>
            </w:r>
            <w:r w:rsidR="00C11633">
              <w:rPr>
                <w:rFonts w:ascii="Arial Nova" w:hAnsi="Arial Nova" w:cs="Times New Roman"/>
              </w:rPr>
              <w:t xml:space="preserve">respecto al </w:t>
            </w:r>
            <w:r w:rsidR="000F558E" w:rsidRPr="000F558E">
              <w:rPr>
                <w:rFonts w:ascii="Arial Nova" w:hAnsi="Arial Nova" w:cs="Times New Roman"/>
              </w:rPr>
              <w:t>precio</w:t>
            </w:r>
            <w:r w:rsidR="00C11633">
              <w:rPr>
                <w:rFonts w:ascii="Arial Nova" w:hAnsi="Arial Nova" w:cs="Times New Roman"/>
              </w:rPr>
              <w:t xml:space="preserve"> y la forma de pago</w:t>
            </w:r>
            <w:r w:rsidR="000F558E" w:rsidRPr="000F558E">
              <w:rPr>
                <w:rFonts w:ascii="Arial Nova" w:hAnsi="Arial Nova" w:cs="Times New Roman"/>
              </w:rPr>
              <w:t>.</w:t>
            </w:r>
          </w:p>
          <w:p w14:paraId="5CA7CC74" w14:textId="77777777" w:rsidR="000F558E" w:rsidRPr="000F558E" w:rsidRDefault="000F558E" w:rsidP="002B7C7C">
            <w:pPr>
              <w:jc w:val="both"/>
              <w:rPr>
                <w:rFonts w:ascii="Arial Nova" w:hAnsi="Arial Nova" w:cs="Times New Roman"/>
              </w:rPr>
            </w:pPr>
          </w:p>
          <w:p w14:paraId="2C5B623A" w14:textId="272474FA" w:rsidR="000F558E" w:rsidRPr="000F558E" w:rsidRDefault="00296FCF" w:rsidP="002B7C7C">
            <w:pPr>
              <w:jc w:val="both"/>
              <w:rPr>
                <w:rFonts w:ascii="Arial Nova" w:hAnsi="Arial Nova" w:cs="Times New Roman"/>
              </w:rPr>
            </w:pPr>
            <w:r>
              <w:rPr>
                <w:rFonts w:ascii="Arial Nova" w:hAnsi="Arial Nova" w:cs="Times New Roman"/>
              </w:rPr>
              <w:t>Durante la tramitación d</w:t>
            </w:r>
            <w:r w:rsidR="000F558E" w:rsidRPr="000F558E">
              <w:rPr>
                <w:rFonts w:ascii="Arial Nova" w:hAnsi="Arial Nova" w:cs="Times New Roman"/>
              </w:rPr>
              <w:t>el juicio civil, la actora falleció y el albacea de su sucesión continuó el procedimiento.</w:t>
            </w:r>
            <w:r>
              <w:rPr>
                <w:rFonts w:ascii="Arial Nova" w:hAnsi="Arial Nova" w:cs="Times New Roman"/>
              </w:rPr>
              <w:t xml:space="preserve"> En esas condiciones, e</w:t>
            </w:r>
            <w:r w:rsidR="000F558E" w:rsidRPr="000F558E">
              <w:rPr>
                <w:rFonts w:ascii="Arial Nova" w:hAnsi="Arial Nova" w:cs="Times New Roman"/>
              </w:rPr>
              <w:t xml:space="preserve">l juez de origen </w:t>
            </w:r>
            <w:r w:rsidR="00E32AAE">
              <w:rPr>
                <w:rFonts w:ascii="Arial Nova" w:hAnsi="Arial Nova" w:cs="Times New Roman"/>
              </w:rPr>
              <w:t>resolvió declarar</w:t>
            </w:r>
            <w:r w:rsidR="000F558E" w:rsidRPr="000F558E">
              <w:rPr>
                <w:rFonts w:ascii="Arial Nova" w:hAnsi="Arial Nova" w:cs="Times New Roman"/>
              </w:rPr>
              <w:t xml:space="preserve"> improcedente </w:t>
            </w:r>
            <w:r w:rsidR="00E32AAE">
              <w:rPr>
                <w:rFonts w:ascii="Arial Nova" w:hAnsi="Arial Nova" w:cs="Times New Roman"/>
              </w:rPr>
              <w:t xml:space="preserve">la </w:t>
            </w:r>
            <w:r w:rsidR="000F558E" w:rsidRPr="000F558E">
              <w:rPr>
                <w:rFonts w:ascii="Arial Nova" w:hAnsi="Arial Nova" w:cs="Times New Roman"/>
              </w:rPr>
              <w:t>acción</w:t>
            </w:r>
            <w:r w:rsidR="00E32AAE">
              <w:rPr>
                <w:rFonts w:ascii="Arial Nova" w:hAnsi="Arial Nova" w:cs="Times New Roman"/>
              </w:rPr>
              <w:t xml:space="preserve"> </w:t>
            </w:r>
            <w:r w:rsidR="007A0CD1">
              <w:rPr>
                <w:rFonts w:ascii="Arial Nova" w:hAnsi="Arial Nova" w:cs="Times New Roman"/>
              </w:rPr>
              <w:t>intentada, esta</w:t>
            </w:r>
            <w:r w:rsidR="00E32AAE">
              <w:rPr>
                <w:rFonts w:ascii="Arial Nova" w:hAnsi="Arial Nova" w:cs="Times New Roman"/>
              </w:rPr>
              <w:t xml:space="preserve"> </w:t>
            </w:r>
            <w:r w:rsidR="00E32AAE" w:rsidRPr="000F558E">
              <w:rPr>
                <w:rFonts w:ascii="Arial Nova" w:hAnsi="Arial Nova" w:cs="Times New Roman"/>
              </w:rPr>
              <w:t>decisión</w:t>
            </w:r>
            <w:r w:rsidR="000F558E" w:rsidRPr="000F558E">
              <w:rPr>
                <w:rFonts w:ascii="Arial Nova" w:hAnsi="Arial Nova" w:cs="Times New Roman"/>
              </w:rPr>
              <w:t xml:space="preserve"> se confirmó en apelación. Inconforme</w:t>
            </w:r>
            <w:r w:rsidR="00E32AAE">
              <w:rPr>
                <w:rFonts w:ascii="Arial Nova" w:hAnsi="Arial Nova" w:cs="Times New Roman"/>
              </w:rPr>
              <w:t xml:space="preserve"> con lo anterior</w:t>
            </w:r>
            <w:r w:rsidR="000F558E" w:rsidRPr="000F558E">
              <w:rPr>
                <w:rFonts w:ascii="Arial Nova" w:hAnsi="Arial Nova" w:cs="Times New Roman"/>
              </w:rPr>
              <w:t xml:space="preserve">, el albacea promovió </w:t>
            </w:r>
            <w:r w:rsidR="00E32AAE">
              <w:rPr>
                <w:rFonts w:ascii="Arial Nova" w:hAnsi="Arial Nova" w:cs="Times New Roman"/>
              </w:rPr>
              <w:t xml:space="preserve">juicio </w:t>
            </w:r>
            <w:r w:rsidR="000F558E" w:rsidRPr="000F558E">
              <w:rPr>
                <w:rFonts w:ascii="Arial Nova" w:hAnsi="Arial Nova" w:cs="Times New Roman"/>
              </w:rPr>
              <w:t xml:space="preserve">de amparo </w:t>
            </w:r>
            <w:r w:rsidR="007A0CD1">
              <w:rPr>
                <w:rFonts w:ascii="Arial Nova" w:hAnsi="Arial Nova" w:cs="Times New Roman"/>
              </w:rPr>
              <w:t xml:space="preserve">directo, el cual le fue negado. Contra esta resolución </w:t>
            </w:r>
            <w:r w:rsidR="00F614D8">
              <w:rPr>
                <w:rFonts w:ascii="Arial Nova" w:hAnsi="Arial Nova" w:cs="Times New Roman"/>
              </w:rPr>
              <w:t>l</w:t>
            </w:r>
            <w:r w:rsidR="002B7C7C">
              <w:rPr>
                <w:rFonts w:ascii="Arial Nova" w:hAnsi="Arial Nova" w:cs="Times New Roman"/>
              </w:rPr>
              <w:t>a parte</w:t>
            </w:r>
            <w:r w:rsidR="00F614D8">
              <w:rPr>
                <w:rFonts w:ascii="Arial Nova" w:hAnsi="Arial Nova" w:cs="Times New Roman"/>
              </w:rPr>
              <w:t xml:space="preserve"> quejos</w:t>
            </w:r>
            <w:r w:rsidR="002B7C7C">
              <w:rPr>
                <w:rFonts w:ascii="Arial Nova" w:hAnsi="Arial Nova" w:cs="Times New Roman"/>
              </w:rPr>
              <w:t>a</w:t>
            </w:r>
            <w:r w:rsidR="00F614D8">
              <w:rPr>
                <w:rFonts w:ascii="Arial Nova" w:hAnsi="Arial Nova" w:cs="Times New Roman"/>
              </w:rPr>
              <w:t xml:space="preserve"> </w:t>
            </w:r>
            <w:r w:rsidR="000F558E" w:rsidRPr="000F558E">
              <w:rPr>
                <w:rFonts w:ascii="Arial Nova" w:hAnsi="Arial Nova" w:cs="Times New Roman"/>
              </w:rPr>
              <w:t xml:space="preserve">interpuso </w:t>
            </w:r>
            <w:r w:rsidR="00CB440E">
              <w:rPr>
                <w:rFonts w:ascii="Arial Nova" w:hAnsi="Arial Nova" w:cs="Times New Roman"/>
              </w:rPr>
              <w:t xml:space="preserve">un </w:t>
            </w:r>
            <w:r w:rsidR="000F558E" w:rsidRPr="000F558E">
              <w:rPr>
                <w:rFonts w:ascii="Arial Nova" w:hAnsi="Arial Nova" w:cs="Times New Roman"/>
              </w:rPr>
              <w:t>recurso de revisión en el que manifestó que: (i) no se suplió la deficiencia de la queja en favor de la parte vendedora a pesar de ser una persona</w:t>
            </w:r>
            <w:r>
              <w:rPr>
                <w:rFonts w:ascii="Arial Nova" w:hAnsi="Arial Nova" w:cs="Times New Roman"/>
              </w:rPr>
              <w:t xml:space="preserve"> adulto</w:t>
            </w:r>
            <w:r w:rsidR="000F558E" w:rsidRPr="000F558E">
              <w:rPr>
                <w:rFonts w:ascii="Arial Nova" w:hAnsi="Arial Nova" w:cs="Times New Roman"/>
              </w:rPr>
              <w:t xml:space="preserve"> mayor en situación de vulnerabilidad, y (ii) no </w:t>
            </w:r>
            <w:r>
              <w:rPr>
                <w:rFonts w:ascii="Arial Nova" w:hAnsi="Arial Nova" w:cs="Times New Roman"/>
              </w:rPr>
              <w:t xml:space="preserve">activar </w:t>
            </w:r>
            <w:r w:rsidR="000F558E" w:rsidRPr="000F558E">
              <w:rPr>
                <w:rFonts w:ascii="Arial Nova" w:hAnsi="Arial Nova" w:cs="Times New Roman"/>
              </w:rPr>
              <w:t>los protocolos establecidos para su defensa.</w:t>
            </w:r>
          </w:p>
          <w:p w14:paraId="6D88BE72" w14:textId="77777777" w:rsidR="00DF0202" w:rsidRPr="000F558E" w:rsidRDefault="00DF0202" w:rsidP="002B7C7C">
            <w:pPr>
              <w:jc w:val="both"/>
              <w:rPr>
                <w:rFonts w:ascii="Arial Nova" w:hAnsi="Arial Nova" w:cs="Times New Roman"/>
              </w:rPr>
            </w:pPr>
          </w:p>
          <w:p w14:paraId="75535A48" w14:textId="77777777" w:rsidR="00CB440E" w:rsidRDefault="000F558E" w:rsidP="002B7C7C">
            <w:pPr>
              <w:jc w:val="both"/>
              <w:rPr>
                <w:rFonts w:ascii="Arial Nova" w:hAnsi="Arial Nova" w:cs="Times New Roman"/>
              </w:rPr>
            </w:pPr>
            <w:r w:rsidRPr="000F558E">
              <w:rPr>
                <w:rFonts w:ascii="Arial Nova" w:hAnsi="Arial Nova" w:cs="Times New Roman"/>
              </w:rPr>
              <w:t>La Primera Sala</w:t>
            </w:r>
            <w:r>
              <w:rPr>
                <w:rFonts w:ascii="Arial Nova" w:hAnsi="Arial Nova" w:cs="Times New Roman"/>
              </w:rPr>
              <w:t xml:space="preserve"> </w:t>
            </w:r>
            <w:r w:rsidRPr="000F558E">
              <w:rPr>
                <w:rFonts w:ascii="Arial Nova" w:hAnsi="Arial Nova" w:cs="Times New Roman"/>
              </w:rPr>
              <w:t>determinó que</w:t>
            </w:r>
            <w:r w:rsidR="00296FCF">
              <w:rPr>
                <w:rFonts w:ascii="Arial Nova" w:hAnsi="Arial Nova" w:cs="Times New Roman"/>
              </w:rPr>
              <w:t>,</w:t>
            </w:r>
            <w:r w:rsidRPr="000F558E">
              <w:rPr>
                <w:rFonts w:ascii="Arial Nova" w:hAnsi="Arial Nova" w:cs="Times New Roman"/>
              </w:rPr>
              <w:t xml:space="preserve"> cuando una persona </w:t>
            </w:r>
            <w:r w:rsidR="00296FCF">
              <w:rPr>
                <w:rFonts w:ascii="Arial Nova" w:hAnsi="Arial Nova" w:cs="Times New Roman"/>
              </w:rPr>
              <w:t xml:space="preserve">adulto </w:t>
            </w:r>
            <w:r w:rsidRPr="000F558E">
              <w:rPr>
                <w:rFonts w:ascii="Arial Nova" w:hAnsi="Arial Nova" w:cs="Times New Roman"/>
              </w:rPr>
              <w:t>mayor acuda al juicio de amparo para la defensa de sus derechos humanos y se advierta que respecto de ella existen situaciones de vulnerabilidad —como lo pueden ser que sea analfabeta, que no entienda bien el español o forme parte de una comunidad indígena—, las personas juzgadoras deberán, en el caso concreto, suplir la deficiencia de sus argumentos en aplicación del artículo 79, fracción VII, de la Ley de Amparo.</w:t>
            </w:r>
            <w:r w:rsidR="0052700C">
              <w:rPr>
                <w:rStyle w:val="Refdenotaalpie"/>
                <w:rFonts w:ascii="Arial Nova" w:hAnsi="Arial Nova" w:cs="Times New Roman"/>
              </w:rPr>
              <w:footnoteReference w:id="1"/>
            </w:r>
          </w:p>
          <w:p w14:paraId="068A96B6" w14:textId="7A939AC3" w:rsidR="002B7C7C" w:rsidRPr="007A0CD1" w:rsidRDefault="002B7C7C" w:rsidP="002B7C7C">
            <w:pPr>
              <w:jc w:val="both"/>
              <w:rPr>
                <w:rFonts w:ascii="Arial Nova" w:hAnsi="Arial Nova" w:cs="Times New Roman"/>
              </w:rPr>
            </w:pPr>
          </w:p>
        </w:tc>
      </w:tr>
    </w:tbl>
    <w:p w14:paraId="3FFBFDDC" w14:textId="33F73718" w:rsidR="00D51A62" w:rsidRDefault="00D51A62" w:rsidP="002B7C7C">
      <w:pPr>
        <w:spacing w:after="0" w:line="240" w:lineRule="auto"/>
        <w:jc w:val="both"/>
        <w:rPr>
          <w:rFonts w:ascii="Arial Nova" w:hAnsi="Arial Nova" w:cs="Times New Roman"/>
        </w:rPr>
      </w:pPr>
    </w:p>
    <w:p w14:paraId="65FD6B15" w14:textId="77777777" w:rsidR="002B7C7C" w:rsidRDefault="002B7C7C" w:rsidP="002B7C7C">
      <w:pPr>
        <w:spacing w:after="0" w:line="240" w:lineRule="auto"/>
        <w:jc w:val="both"/>
        <w:rPr>
          <w:rFonts w:ascii="Arial Nova" w:hAnsi="Arial Nova" w:cs="Times New Roman"/>
        </w:rPr>
      </w:pPr>
    </w:p>
    <w:p w14:paraId="4BAF2C4D" w14:textId="77777777" w:rsidR="002B7C7C" w:rsidRDefault="002B7C7C" w:rsidP="002B7C7C">
      <w:pPr>
        <w:spacing w:after="0" w:line="240" w:lineRule="auto"/>
        <w:jc w:val="both"/>
        <w:rPr>
          <w:rFonts w:ascii="Arial Nova" w:hAnsi="Arial Nova" w:cs="Times New Roman"/>
        </w:rPr>
      </w:pPr>
    </w:p>
    <w:p w14:paraId="6F01244D" w14:textId="752E8746" w:rsidR="00AD1806" w:rsidRPr="00642B2A" w:rsidRDefault="00B323DA" w:rsidP="002B7C7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7F0D96FE" w14:textId="77777777" w:rsidR="00AD2F59" w:rsidRDefault="00AD2F59" w:rsidP="002B7C7C">
      <w:pPr>
        <w:autoSpaceDE w:val="0"/>
        <w:autoSpaceDN w:val="0"/>
        <w:adjustRightInd w:val="0"/>
        <w:spacing w:after="0" w:line="240" w:lineRule="auto"/>
        <w:jc w:val="both"/>
        <w:rPr>
          <w:rFonts w:ascii="Arial Nova" w:hAnsi="Arial Nova"/>
          <w:sz w:val="24"/>
          <w:szCs w:val="24"/>
        </w:rPr>
      </w:pPr>
    </w:p>
    <w:p w14:paraId="1CCBAFB7" w14:textId="23070F67" w:rsidR="000F558E" w:rsidRPr="000F558E" w:rsidRDefault="000F558E" w:rsidP="002B7C7C">
      <w:pPr>
        <w:spacing w:after="0" w:line="240" w:lineRule="auto"/>
        <w:jc w:val="both"/>
        <w:rPr>
          <w:rFonts w:ascii="Arial Nova" w:hAnsi="Arial Nova" w:cs="Times New Roman"/>
          <w:sz w:val="24"/>
          <w:szCs w:val="24"/>
        </w:rPr>
      </w:pPr>
      <w:r w:rsidRPr="000F558E">
        <w:rPr>
          <w:rFonts w:ascii="Arial Nova" w:hAnsi="Arial Nova" w:cs="Times New Roman"/>
          <w:sz w:val="24"/>
          <w:szCs w:val="24"/>
        </w:rPr>
        <w:t xml:space="preserve">En el caso, una </w:t>
      </w:r>
      <w:r w:rsidR="00296FCF">
        <w:rPr>
          <w:rFonts w:ascii="Arial Nova" w:hAnsi="Arial Nova" w:cs="Times New Roman"/>
          <w:sz w:val="24"/>
          <w:szCs w:val="24"/>
        </w:rPr>
        <w:t xml:space="preserve">mujer </w:t>
      </w:r>
      <w:r w:rsidR="00F614D8" w:rsidRPr="00F614D8">
        <w:rPr>
          <w:rFonts w:ascii="Arial Nova" w:hAnsi="Arial Nova" w:cs="Times New Roman"/>
          <w:sz w:val="24"/>
          <w:szCs w:val="24"/>
        </w:rPr>
        <w:t xml:space="preserve">de ochenta y siete años en situación de vulnerabilidad </w:t>
      </w:r>
      <w:r w:rsidR="00296FCF" w:rsidRPr="000F558E">
        <w:rPr>
          <w:rFonts w:ascii="Arial Nova" w:hAnsi="Arial Nova" w:cs="Times New Roman"/>
        </w:rPr>
        <w:t>—</w:t>
      </w:r>
      <w:r w:rsidR="00296FCF" w:rsidRPr="00A37CC4">
        <w:rPr>
          <w:rFonts w:ascii="Arial Nova" w:hAnsi="Arial Nova" w:cs="Times New Roman"/>
          <w:sz w:val="24"/>
          <w:szCs w:val="24"/>
        </w:rPr>
        <w:t>por</w:t>
      </w:r>
      <w:r w:rsidR="00296FCF">
        <w:rPr>
          <w:rFonts w:ascii="Arial Nova" w:hAnsi="Arial Nova" w:cs="Times New Roman"/>
        </w:rPr>
        <w:t xml:space="preserve"> </w:t>
      </w:r>
      <w:r w:rsidR="00F614D8" w:rsidRPr="00F614D8">
        <w:rPr>
          <w:rFonts w:ascii="Arial Nova" w:hAnsi="Arial Nova" w:cs="Times New Roman"/>
          <w:sz w:val="24"/>
          <w:szCs w:val="24"/>
        </w:rPr>
        <w:t xml:space="preserve">estar enferma, </w:t>
      </w:r>
      <w:r w:rsidR="0082277D">
        <w:rPr>
          <w:rFonts w:ascii="Arial Nova" w:hAnsi="Arial Nova" w:cs="Times New Roman"/>
          <w:sz w:val="24"/>
          <w:szCs w:val="24"/>
        </w:rPr>
        <w:t>no saber leer ni escribir</w:t>
      </w:r>
      <w:r w:rsidR="00296FCF">
        <w:rPr>
          <w:rFonts w:ascii="Arial Nova" w:hAnsi="Arial Nova" w:cs="Times New Roman"/>
          <w:sz w:val="24"/>
          <w:szCs w:val="24"/>
        </w:rPr>
        <w:t xml:space="preserve">, </w:t>
      </w:r>
      <w:r w:rsidR="00F614D8" w:rsidRPr="00F614D8">
        <w:rPr>
          <w:rFonts w:ascii="Arial Nova" w:hAnsi="Arial Nova" w:cs="Times New Roman"/>
          <w:sz w:val="24"/>
          <w:szCs w:val="24"/>
        </w:rPr>
        <w:t xml:space="preserve">no entender bien el español </w:t>
      </w:r>
      <w:r w:rsidR="00FB022F">
        <w:rPr>
          <w:rFonts w:ascii="Arial Nova" w:hAnsi="Arial Nova" w:cs="Times New Roman"/>
          <w:sz w:val="24"/>
          <w:szCs w:val="24"/>
        </w:rPr>
        <w:t xml:space="preserve">y </w:t>
      </w:r>
      <w:r w:rsidR="00F614D8" w:rsidRPr="00F614D8">
        <w:rPr>
          <w:rFonts w:ascii="Arial Nova" w:hAnsi="Arial Nova" w:cs="Times New Roman"/>
          <w:sz w:val="24"/>
          <w:szCs w:val="24"/>
        </w:rPr>
        <w:t>pertenecer a una comunidad indígena</w:t>
      </w:r>
      <w:r w:rsidR="006A584C" w:rsidRPr="000F558E">
        <w:rPr>
          <w:rFonts w:ascii="Arial Nova" w:hAnsi="Arial Nova" w:cs="Times New Roman"/>
        </w:rPr>
        <w:t>—</w:t>
      </w:r>
      <w:r w:rsidR="00F614D8" w:rsidRPr="00F614D8">
        <w:rPr>
          <w:rFonts w:ascii="Arial Nova" w:hAnsi="Arial Nova" w:cs="Times New Roman"/>
          <w:sz w:val="24"/>
          <w:szCs w:val="24"/>
        </w:rPr>
        <w:t xml:space="preserve"> demandó la nulidad de un contrato de compraventa de u</w:t>
      </w:r>
      <w:r w:rsidR="007A0CD1">
        <w:rPr>
          <w:rFonts w:ascii="Arial Nova" w:hAnsi="Arial Nova" w:cs="Times New Roman"/>
          <w:sz w:val="24"/>
          <w:szCs w:val="24"/>
        </w:rPr>
        <w:t>n bien inmueble de su propiedad.</w:t>
      </w:r>
      <w:r w:rsidR="00F614D8" w:rsidRPr="00F614D8">
        <w:rPr>
          <w:rFonts w:ascii="Arial Nova" w:hAnsi="Arial Nova" w:cs="Times New Roman"/>
          <w:sz w:val="24"/>
          <w:szCs w:val="24"/>
        </w:rPr>
        <w:t xml:space="preserve"> </w:t>
      </w:r>
      <w:r w:rsidR="007A0CD1">
        <w:rPr>
          <w:rFonts w:ascii="Arial Nova" w:hAnsi="Arial Nova" w:cs="Times New Roman"/>
          <w:sz w:val="24"/>
          <w:szCs w:val="24"/>
        </w:rPr>
        <w:t xml:space="preserve">En la demanda </w:t>
      </w:r>
      <w:r w:rsidR="00296FCF">
        <w:rPr>
          <w:rFonts w:ascii="Arial Nova" w:hAnsi="Arial Nova" w:cs="Times New Roman"/>
          <w:sz w:val="24"/>
          <w:szCs w:val="24"/>
        </w:rPr>
        <w:t>reclam</w:t>
      </w:r>
      <w:r w:rsidR="001F2220">
        <w:rPr>
          <w:rFonts w:ascii="Arial Nova" w:hAnsi="Arial Nova" w:cs="Times New Roman"/>
          <w:sz w:val="24"/>
          <w:szCs w:val="24"/>
        </w:rPr>
        <w:t>ó</w:t>
      </w:r>
      <w:r w:rsidR="00296FCF">
        <w:rPr>
          <w:rFonts w:ascii="Arial Nova" w:hAnsi="Arial Nova" w:cs="Times New Roman"/>
          <w:sz w:val="24"/>
          <w:szCs w:val="24"/>
        </w:rPr>
        <w:t xml:space="preserve"> que,</w:t>
      </w:r>
      <w:r w:rsidR="00F614D8" w:rsidRPr="00F614D8">
        <w:rPr>
          <w:rFonts w:ascii="Arial Nova" w:hAnsi="Arial Nova" w:cs="Times New Roman"/>
          <w:sz w:val="24"/>
          <w:szCs w:val="24"/>
        </w:rPr>
        <w:t xml:space="preserve"> la parte compradora abusó de su situación de vulnerabilidad al pacta</w:t>
      </w:r>
      <w:r w:rsidR="00FB022F">
        <w:rPr>
          <w:rFonts w:ascii="Arial Nova" w:hAnsi="Arial Nova" w:cs="Times New Roman"/>
          <w:sz w:val="24"/>
          <w:szCs w:val="24"/>
        </w:rPr>
        <w:t>r</w:t>
      </w:r>
      <w:r w:rsidR="00F614D8" w:rsidRPr="00F614D8">
        <w:rPr>
          <w:rFonts w:ascii="Arial Nova" w:hAnsi="Arial Nova" w:cs="Times New Roman"/>
          <w:sz w:val="24"/>
          <w:szCs w:val="24"/>
        </w:rPr>
        <w:t xml:space="preserve"> un precio</w:t>
      </w:r>
      <w:r w:rsidR="0082277D">
        <w:rPr>
          <w:rFonts w:ascii="Arial Nova" w:hAnsi="Arial Nova" w:cs="Times New Roman"/>
          <w:sz w:val="24"/>
          <w:szCs w:val="24"/>
        </w:rPr>
        <w:t xml:space="preserve"> </w:t>
      </w:r>
      <w:r w:rsidR="00F614D8" w:rsidRPr="00F614D8">
        <w:rPr>
          <w:rFonts w:ascii="Arial Nova" w:hAnsi="Arial Nova" w:cs="Times New Roman"/>
          <w:sz w:val="24"/>
          <w:szCs w:val="24"/>
        </w:rPr>
        <w:t>inferior</w:t>
      </w:r>
      <w:r w:rsidR="00FB022F">
        <w:rPr>
          <w:rFonts w:ascii="Arial Nova" w:hAnsi="Arial Nova" w:cs="Times New Roman"/>
          <w:sz w:val="24"/>
          <w:szCs w:val="24"/>
        </w:rPr>
        <w:t xml:space="preserve"> al monto en el que se valuó la propiedad</w:t>
      </w:r>
      <w:r w:rsidR="0082277D">
        <w:rPr>
          <w:rFonts w:ascii="Arial Nova" w:hAnsi="Arial Nova" w:cs="Times New Roman"/>
          <w:sz w:val="24"/>
          <w:szCs w:val="24"/>
        </w:rPr>
        <w:t xml:space="preserve"> y</w:t>
      </w:r>
      <w:r w:rsidR="00F614D8" w:rsidRPr="00F614D8">
        <w:rPr>
          <w:rFonts w:ascii="Arial Nova" w:hAnsi="Arial Nova" w:cs="Times New Roman"/>
          <w:sz w:val="24"/>
          <w:szCs w:val="24"/>
        </w:rPr>
        <w:t xml:space="preserve"> </w:t>
      </w:r>
      <w:r w:rsidR="0082277D">
        <w:rPr>
          <w:rFonts w:ascii="Arial Nova" w:hAnsi="Arial Nova" w:cs="Times New Roman"/>
          <w:sz w:val="24"/>
          <w:szCs w:val="24"/>
        </w:rPr>
        <w:t xml:space="preserve">su </w:t>
      </w:r>
      <w:r w:rsidR="00F614D8" w:rsidRPr="00F614D8">
        <w:rPr>
          <w:rFonts w:ascii="Arial Nova" w:hAnsi="Arial Nova" w:cs="Times New Roman"/>
          <w:sz w:val="24"/>
          <w:szCs w:val="24"/>
        </w:rPr>
        <w:t>forma de pago</w:t>
      </w:r>
      <w:r w:rsidRPr="000F558E">
        <w:rPr>
          <w:rFonts w:ascii="Arial Nova" w:hAnsi="Arial Nova" w:cs="Times New Roman"/>
          <w:sz w:val="24"/>
          <w:szCs w:val="24"/>
        </w:rPr>
        <w:t>.</w:t>
      </w:r>
    </w:p>
    <w:p w14:paraId="4D20D1D4" w14:textId="77777777" w:rsidR="000F558E" w:rsidRPr="000F558E" w:rsidRDefault="000F558E" w:rsidP="002B7C7C">
      <w:pPr>
        <w:spacing w:after="0" w:line="240" w:lineRule="auto"/>
        <w:jc w:val="both"/>
        <w:rPr>
          <w:rFonts w:ascii="Arial Nova" w:hAnsi="Arial Nova" w:cs="Times New Roman"/>
          <w:sz w:val="24"/>
          <w:szCs w:val="24"/>
        </w:rPr>
      </w:pPr>
    </w:p>
    <w:p w14:paraId="7A968939" w14:textId="2FC3C6D2" w:rsidR="002C5B74" w:rsidRPr="002C5B74" w:rsidRDefault="002C5B74" w:rsidP="002B7C7C">
      <w:pPr>
        <w:spacing w:after="0" w:line="240" w:lineRule="auto"/>
        <w:jc w:val="both"/>
        <w:rPr>
          <w:rFonts w:ascii="Arial Nova" w:hAnsi="Arial Nova" w:cs="Times New Roman"/>
          <w:sz w:val="24"/>
          <w:szCs w:val="24"/>
        </w:rPr>
      </w:pPr>
      <w:r w:rsidRPr="002C5B74">
        <w:rPr>
          <w:rFonts w:ascii="Arial Nova" w:hAnsi="Arial Nova" w:cs="Times New Roman"/>
          <w:sz w:val="24"/>
          <w:szCs w:val="24"/>
        </w:rPr>
        <w:t>Durante la tramitación del procedimiento</w:t>
      </w:r>
      <w:r w:rsidR="007A0CD1">
        <w:rPr>
          <w:rFonts w:ascii="Arial Nova" w:hAnsi="Arial Nova" w:cs="Times New Roman"/>
          <w:sz w:val="24"/>
          <w:szCs w:val="24"/>
        </w:rPr>
        <w:t xml:space="preserve"> la </w:t>
      </w:r>
      <w:r w:rsidR="001F2220">
        <w:rPr>
          <w:rFonts w:ascii="Arial Nova" w:hAnsi="Arial Nova" w:cs="Times New Roman"/>
          <w:sz w:val="24"/>
          <w:szCs w:val="24"/>
        </w:rPr>
        <w:t>mujer</w:t>
      </w:r>
      <w:r w:rsidR="007A0CD1">
        <w:rPr>
          <w:rFonts w:ascii="Arial Nova" w:hAnsi="Arial Nova" w:cs="Times New Roman"/>
          <w:sz w:val="24"/>
          <w:szCs w:val="24"/>
        </w:rPr>
        <w:t xml:space="preserve"> falleció, por lo que </w:t>
      </w:r>
      <w:r w:rsidRPr="002C5B74">
        <w:rPr>
          <w:rFonts w:ascii="Arial Nova" w:hAnsi="Arial Nova" w:cs="Times New Roman"/>
          <w:sz w:val="24"/>
          <w:szCs w:val="24"/>
        </w:rPr>
        <w:t>el albacea de su sucesión</w:t>
      </w:r>
      <w:r w:rsidR="007A0CD1" w:rsidRPr="007A0CD1">
        <w:rPr>
          <w:rFonts w:ascii="Arial Nova" w:hAnsi="Arial Nova" w:cs="Times New Roman"/>
          <w:sz w:val="24"/>
          <w:szCs w:val="24"/>
        </w:rPr>
        <w:t xml:space="preserve"> </w:t>
      </w:r>
      <w:r w:rsidR="007A0CD1">
        <w:rPr>
          <w:rFonts w:ascii="Arial Nova" w:hAnsi="Arial Nova" w:cs="Times New Roman"/>
          <w:sz w:val="24"/>
          <w:szCs w:val="24"/>
        </w:rPr>
        <w:t>fue quien co</w:t>
      </w:r>
      <w:r w:rsidR="007A0CD1" w:rsidRPr="002C5B74">
        <w:rPr>
          <w:rFonts w:ascii="Arial Nova" w:hAnsi="Arial Nova" w:cs="Times New Roman"/>
          <w:sz w:val="24"/>
          <w:szCs w:val="24"/>
        </w:rPr>
        <w:t>ntinuó el procedimiento</w:t>
      </w:r>
      <w:r w:rsidRPr="002C5B74">
        <w:rPr>
          <w:rFonts w:ascii="Arial Nova" w:hAnsi="Arial Nova" w:cs="Times New Roman"/>
          <w:sz w:val="24"/>
          <w:szCs w:val="24"/>
        </w:rPr>
        <w:t xml:space="preserve">. </w:t>
      </w:r>
      <w:r w:rsidR="00FB022F">
        <w:rPr>
          <w:rFonts w:ascii="Arial Nova" w:hAnsi="Arial Nova" w:cs="Times New Roman"/>
          <w:sz w:val="24"/>
          <w:szCs w:val="24"/>
        </w:rPr>
        <w:t>En esas condiciones, e</w:t>
      </w:r>
      <w:r w:rsidRPr="002C5B74">
        <w:rPr>
          <w:rFonts w:ascii="Arial Nova" w:hAnsi="Arial Nova" w:cs="Times New Roman"/>
          <w:sz w:val="24"/>
          <w:szCs w:val="24"/>
        </w:rPr>
        <w:t xml:space="preserve">l juez de primera instancia </w:t>
      </w:r>
      <w:r w:rsidR="007A0CD1">
        <w:rPr>
          <w:rFonts w:ascii="Arial Nova" w:hAnsi="Arial Nova" w:cs="Times New Roman"/>
          <w:sz w:val="24"/>
          <w:szCs w:val="24"/>
        </w:rPr>
        <w:t xml:space="preserve">que conoció del asunto </w:t>
      </w:r>
      <w:r w:rsidRPr="002C5B74">
        <w:rPr>
          <w:rFonts w:ascii="Arial Nova" w:hAnsi="Arial Nova" w:cs="Times New Roman"/>
          <w:sz w:val="24"/>
          <w:szCs w:val="24"/>
        </w:rPr>
        <w:t xml:space="preserve">declaró improcedente </w:t>
      </w:r>
      <w:r w:rsidR="006A584C">
        <w:rPr>
          <w:rFonts w:ascii="Arial Nova" w:hAnsi="Arial Nova" w:cs="Times New Roman"/>
          <w:sz w:val="24"/>
          <w:szCs w:val="24"/>
        </w:rPr>
        <w:t xml:space="preserve">la </w:t>
      </w:r>
      <w:r w:rsidRPr="002C5B74">
        <w:rPr>
          <w:rFonts w:ascii="Arial Nova" w:hAnsi="Arial Nova" w:cs="Times New Roman"/>
          <w:sz w:val="24"/>
          <w:szCs w:val="24"/>
        </w:rPr>
        <w:t>acción y la Sala responsable confirmó dicha resolución</w:t>
      </w:r>
      <w:r w:rsidR="00FB022F">
        <w:rPr>
          <w:rFonts w:ascii="Arial Nova" w:hAnsi="Arial Nova" w:cs="Times New Roman"/>
          <w:sz w:val="24"/>
          <w:szCs w:val="24"/>
        </w:rPr>
        <w:t xml:space="preserve"> en la </w:t>
      </w:r>
      <w:r w:rsidR="002B7C7C">
        <w:rPr>
          <w:rFonts w:ascii="Arial Nova" w:hAnsi="Arial Nova" w:cs="Times New Roman"/>
          <w:sz w:val="24"/>
          <w:szCs w:val="24"/>
        </w:rPr>
        <w:t>apelación</w:t>
      </w:r>
      <w:r w:rsidRPr="002C5B74">
        <w:rPr>
          <w:rFonts w:ascii="Arial Nova" w:hAnsi="Arial Nova" w:cs="Times New Roman"/>
          <w:sz w:val="24"/>
          <w:szCs w:val="24"/>
        </w:rPr>
        <w:t>.</w:t>
      </w:r>
      <w:r w:rsidR="007A0CD1">
        <w:rPr>
          <w:rFonts w:ascii="Arial Nova" w:hAnsi="Arial Nova" w:cs="Times New Roman"/>
          <w:sz w:val="24"/>
          <w:szCs w:val="24"/>
        </w:rPr>
        <w:t xml:space="preserve"> </w:t>
      </w:r>
      <w:r w:rsidRPr="002C5B74">
        <w:rPr>
          <w:rFonts w:ascii="Arial Nova" w:hAnsi="Arial Nova" w:cs="Times New Roman"/>
          <w:sz w:val="24"/>
          <w:szCs w:val="24"/>
        </w:rPr>
        <w:t xml:space="preserve">En contra de esa determinación, el albacea de la sucesión </w:t>
      </w:r>
      <w:r w:rsidR="007A0CD1">
        <w:rPr>
          <w:rFonts w:ascii="Arial Nova" w:hAnsi="Arial Nova" w:cs="Times New Roman"/>
          <w:sz w:val="24"/>
          <w:szCs w:val="24"/>
        </w:rPr>
        <w:t>a</w:t>
      </w:r>
      <w:r w:rsidR="00F614D8" w:rsidRPr="002C5B74">
        <w:rPr>
          <w:rFonts w:ascii="Arial Nova" w:hAnsi="Arial Nova" w:cs="Times New Roman"/>
          <w:sz w:val="24"/>
          <w:szCs w:val="24"/>
        </w:rPr>
        <w:t xml:space="preserve"> </w:t>
      </w:r>
      <w:r w:rsidRPr="002C5B74">
        <w:rPr>
          <w:rFonts w:ascii="Arial Nova" w:hAnsi="Arial Nova" w:cs="Times New Roman"/>
          <w:sz w:val="24"/>
          <w:szCs w:val="24"/>
        </w:rPr>
        <w:t xml:space="preserve">bienes de la actora promovió </w:t>
      </w:r>
      <w:r w:rsidR="007A0CD1">
        <w:rPr>
          <w:rFonts w:ascii="Arial Nova" w:hAnsi="Arial Nova" w:cs="Times New Roman"/>
          <w:sz w:val="24"/>
          <w:szCs w:val="24"/>
        </w:rPr>
        <w:t>juicio de amparo directo, mismo</w:t>
      </w:r>
      <w:r w:rsidRPr="002C5B74">
        <w:rPr>
          <w:rFonts w:ascii="Arial Nova" w:hAnsi="Arial Nova" w:cs="Times New Roman"/>
          <w:sz w:val="24"/>
          <w:szCs w:val="24"/>
        </w:rPr>
        <w:t xml:space="preserve"> que se resolvió en el sentido de negar la protección constitucional.</w:t>
      </w:r>
    </w:p>
    <w:p w14:paraId="7C1B3BE6" w14:textId="77777777" w:rsidR="002C5B74" w:rsidRPr="002C5B74" w:rsidRDefault="002C5B74" w:rsidP="002B7C7C">
      <w:pPr>
        <w:spacing w:after="0" w:line="240" w:lineRule="auto"/>
        <w:jc w:val="both"/>
        <w:rPr>
          <w:rFonts w:ascii="Arial Nova" w:hAnsi="Arial Nova" w:cs="Times New Roman"/>
          <w:sz w:val="24"/>
          <w:szCs w:val="24"/>
        </w:rPr>
      </w:pPr>
    </w:p>
    <w:p w14:paraId="7F1E7D64" w14:textId="45292B45" w:rsidR="000F558E" w:rsidRPr="000F558E" w:rsidRDefault="002C5B74" w:rsidP="002B7C7C">
      <w:pPr>
        <w:spacing w:after="0" w:line="240" w:lineRule="auto"/>
        <w:jc w:val="both"/>
        <w:rPr>
          <w:rFonts w:ascii="Arial Nova" w:hAnsi="Arial Nova" w:cs="Times New Roman"/>
          <w:sz w:val="24"/>
          <w:szCs w:val="24"/>
        </w:rPr>
      </w:pPr>
      <w:r w:rsidRPr="002C5B74">
        <w:rPr>
          <w:rFonts w:ascii="Arial Nova" w:hAnsi="Arial Nova" w:cs="Times New Roman"/>
          <w:sz w:val="24"/>
          <w:szCs w:val="24"/>
        </w:rPr>
        <w:t>Inconforme con la resolución anterior, la parte quejosa interpuso recurso de revisión manifestando que</w:t>
      </w:r>
      <w:r w:rsidR="00FB022F">
        <w:rPr>
          <w:rFonts w:ascii="Arial Nova" w:hAnsi="Arial Nova" w:cs="Times New Roman"/>
          <w:sz w:val="24"/>
          <w:szCs w:val="24"/>
        </w:rPr>
        <w:t>,</w:t>
      </w:r>
      <w:r w:rsidRPr="002C5B74">
        <w:rPr>
          <w:rFonts w:ascii="Arial Nova" w:hAnsi="Arial Nova" w:cs="Times New Roman"/>
          <w:sz w:val="24"/>
          <w:szCs w:val="24"/>
        </w:rPr>
        <w:t xml:space="preserve"> no se suplió la deficiencia de la queja en favor de la vendedora a pesar de ser una persona mayor en situación de vulnerabilidad y no se activaron los protocolos establecidos para la defensa de </w:t>
      </w:r>
      <w:r w:rsidR="00FB022F">
        <w:rPr>
          <w:rFonts w:ascii="Arial Nova" w:hAnsi="Arial Nova" w:cs="Times New Roman"/>
          <w:sz w:val="24"/>
          <w:szCs w:val="24"/>
        </w:rPr>
        <w:t>persona adulta mayor</w:t>
      </w:r>
      <w:r w:rsidRPr="002C5B74">
        <w:rPr>
          <w:rFonts w:ascii="Arial Nova" w:hAnsi="Arial Nova" w:cs="Times New Roman"/>
          <w:sz w:val="24"/>
          <w:szCs w:val="24"/>
        </w:rPr>
        <w:t>.</w:t>
      </w:r>
    </w:p>
    <w:p w14:paraId="66375C53" w14:textId="77777777" w:rsidR="007853E6" w:rsidRPr="00F91611" w:rsidRDefault="007853E6" w:rsidP="002B7C7C">
      <w:pPr>
        <w:spacing w:after="0" w:line="240" w:lineRule="auto"/>
        <w:jc w:val="both"/>
        <w:rPr>
          <w:rFonts w:ascii="Arial Nova" w:hAnsi="Arial Nova" w:cs="Times New Roman"/>
          <w:sz w:val="24"/>
          <w:szCs w:val="24"/>
        </w:rPr>
      </w:pPr>
    </w:p>
    <w:p w14:paraId="6BA52939" w14:textId="4CDF03DC" w:rsidR="0048582B" w:rsidRPr="0032693A" w:rsidRDefault="00B323DA" w:rsidP="002B7C7C">
      <w:pPr>
        <w:shd w:val="clear" w:color="auto" w:fill="B4C6E7" w:themeFill="accent1" w:themeFillTint="66"/>
        <w:spacing w:after="0" w:line="240" w:lineRule="auto"/>
        <w:jc w:val="right"/>
        <w:rPr>
          <w:rFonts w:ascii="Arial Nova" w:hAnsi="Arial Nova" w:cs="Times New Roman"/>
          <w:b/>
          <w:bCs/>
          <w:smallCaps/>
          <w:color w:val="000F2E"/>
          <w:sz w:val="28"/>
          <w:szCs w:val="28"/>
        </w:rPr>
      </w:pPr>
      <w:r w:rsidRPr="0032693A">
        <w:rPr>
          <w:rFonts w:ascii="Arial Nova" w:hAnsi="Arial Nova" w:cs="Times New Roman"/>
          <w:b/>
          <w:bCs/>
          <w:smallCaps/>
          <w:color w:val="000F2E"/>
          <w:sz w:val="28"/>
          <w:szCs w:val="28"/>
        </w:rPr>
        <w:t>Decisión de la Sala:</w:t>
      </w:r>
    </w:p>
    <w:p w14:paraId="33ECAC66" w14:textId="77777777" w:rsidR="008A3EA0" w:rsidRDefault="008A3EA0" w:rsidP="002B7C7C">
      <w:pPr>
        <w:tabs>
          <w:tab w:val="left" w:pos="0"/>
        </w:tabs>
        <w:spacing w:after="0" w:line="240" w:lineRule="auto"/>
        <w:contextualSpacing/>
        <w:jc w:val="both"/>
        <w:rPr>
          <w:rFonts w:ascii="Arial Nova" w:hAnsi="Arial Nova" w:cs="Times New Roman"/>
          <w:sz w:val="24"/>
          <w:szCs w:val="24"/>
        </w:rPr>
      </w:pPr>
    </w:p>
    <w:p w14:paraId="6BD1F358" w14:textId="02A73E43" w:rsidR="00831E2C" w:rsidRPr="00831E2C" w:rsidRDefault="00831E2C" w:rsidP="002B7C7C">
      <w:pPr>
        <w:spacing w:after="0" w:line="240" w:lineRule="auto"/>
        <w:jc w:val="both"/>
        <w:rPr>
          <w:rFonts w:ascii="Arial Nova" w:hAnsi="Arial Nova" w:cs="Times New Roman"/>
          <w:sz w:val="24"/>
          <w:szCs w:val="24"/>
        </w:rPr>
      </w:pPr>
      <w:r w:rsidRPr="00831E2C">
        <w:rPr>
          <w:rFonts w:ascii="Arial Nova" w:hAnsi="Arial Nova" w:cs="Times New Roman"/>
          <w:sz w:val="24"/>
          <w:szCs w:val="24"/>
        </w:rPr>
        <w:t>En su fallo, la Primera Sala consideró que las desventajas sociales o económicas de ciertos individuos o grupos no pueden ni deben traducirse, a su vez, en desventajas procesales y de acceso a un recurso efectivo</w:t>
      </w:r>
      <w:r w:rsidR="009B1C8D">
        <w:rPr>
          <w:rFonts w:ascii="Arial Nova" w:hAnsi="Arial Nova" w:cs="Times New Roman"/>
          <w:sz w:val="24"/>
          <w:szCs w:val="24"/>
        </w:rPr>
        <w:t>. P</w:t>
      </w:r>
      <w:r w:rsidRPr="00831E2C">
        <w:rPr>
          <w:rFonts w:ascii="Arial Nova" w:hAnsi="Arial Nova" w:cs="Times New Roman"/>
          <w:sz w:val="24"/>
          <w:szCs w:val="24"/>
        </w:rPr>
        <w:t>or el contrario, es precisamente ante estos escenarios, cuando los jueces y tribunales federales deben auxiliar a las personas en situación de vulnerabilidad para lograr que su defensa legal se ajuste a las exigencias de la técnica jurídica requerida.</w:t>
      </w:r>
    </w:p>
    <w:p w14:paraId="70716E41" w14:textId="77777777" w:rsidR="00831E2C" w:rsidRPr="00831E2C" w:rsidRDefault="00831E2C" w:rsidP="002B7C7C">
      <w:pPr>
        <w:spacing w:after="0" w:line="240" w:lineRule="auto"/>
        <w:jc w:val="both"/>
        <w:rPr>
          <w:rFonts w:ascii="Arial Nova" w:hAnsi="Arial Nova" w:cs="Times New Roman"/>
          <w:sz w:val="24"/>
          <w:szCs w:val="24"/>
        </w:rPr>
      </w:pPr>
    </w:p>
    <w:p w14:paraId="758F647B" w14:textId="500D076B" w:rsidR="007A4767" w:rsidRPr="00831E2C" w:rsidRDefault="00831E2C" w:rsidP="002B7C7C">
      <w:pPr>
        <w:spacing w:after="0" w:line="240" w:lineRule="auto"/>
        <w:jc w:val="both"/>
        <w:rPr>
          <w:rFonts w:ascii="Arial Nova" w:hAnsi="Arial Nova" w:cs="Times New Roman"/>
          <w:sz w:val="24"/>
          <w:szCs w:val="24"/>
        </w:rPr>
      </w:pPr>
      <w:r w:rsidRPr="00831E2C">
        <w:rPr>
          <w:rFonts w:ascii="Arial Nova" w:hAnsi="Arial Nova" w:cs="Times New Roman"/>
          <w:sz w:val="24"/>
          <w:szCs w:val="24"/>
        </w:rPr>
        <w:t>De esta manera, los órganos jurisdiccionales de amparo se encuentran obligados a aplicar la suplencia de la deficiencia de la queja en favor de las personas o grupos sociales que se encuentran en un estado de vulnerabilidad</w:t>
      </w:r>
      <w:r w:rsidR="007A4767">
        <w:rPr>
          <w:rFonts w:ascii="Arial Nova" w:hAnsi="Arial Nova" w:cs="Times New Roman"/>
          <w:sz w:val="24"/>
          <w:szCs w:val="24"/>
        </w:rPr>
        <w:t>.</w:t>
      </w:r>
      <w:r w:rsidR="009B1C8D">
        <w:rPr>
          <w:rFonts w:ascii="Arial Nova" w:hAnsi="Arial Nova" w:cs="Times New Roman"/>
          <w:sz w:val="24"/>
          <w:szCs w:val="24"/>
        </w:rPr>
        <w:t xml:space="preserve"> </w:t>
      </w:r>
      <w:r w:rsidR="007A4767">
        <w:rPr>
          <w:rFonts w:ascii="Arial Nova" w:hAnsi="Arial Nova" w:cs="Times New Roman"/>
          <w:sz w:val="24"/>
          <w:szCs w:val="24"/>
        </w:rPr>
        <w:t>T</w:t>
      </w:r>
      <w:r w:rsidR="009B1C8D">
        <w:rPr>
          <w:rFonts w:ascii="Arial Nova" w:hAnsi="Arial Nova" w:cs="Times New Roman"/>
          <w:sz w:val="24"/>
          <w:szCs w:val="24"/>
        </w:rPr>
        <w:t>o</w:t>
      </w:r>
      <w:r w:rsidRPr="00831E2C">
        <w:rPr>
          <w:rFonts w:ascii="Arial Nova" w:hAnsi="Arial Nova" w:cs="Times New Roman"/>
          <w:sz w:val="24"/>
          <w:szCs w:val="24"/>
        </w:rPr>
        <w:t xml:space="preserve">da vez que, a través de </w:t>
      </w:r>
      <w:r w:rsidR="002B7C7C">
        <w:rPr>
          <w:rFonts w:ascii="Arial Nova" w:hAnsi="Arial Nova" w:cs="Times New Roman"/>
          <w:sz w:val="24"/>
          <w:szCs w:val="24"/>
        </w:rPr>
        <w:t>e</w:t>
      </w:r>
      <w:r w:rsidRPr="00831E2C">
        <w:rPr>
          <w:rFonts w:ascii="Arial Nova" w:hAnsi="Arial Nova" w:cs="Times New Roman"/>
          <w:sz w:val="24"/>
          <w:szCs w:val="24"/>
        </w:rPr>
        <w:t>sta</w:t>
      </w:r>
      <w:r w:rsidR="007A4767">
        <w:rPr>
          <w:rFonts w:ascii="Arial Nova" w:hAnsi="Arial Nova" w:cs="Times New Roman"/>
          <w:sz w:val="24"/>
          <w:szCs w:val="24"/>
        </w:rPr>
        <w:t xml:space="preserve"> suplencia</w:t>
      </w:r>
      <w:r w:rsidRPr="00831E2C">
        <w:rPr>
          <w:rFonts w:ascii="Arial Nova" w:hAnsi="Arial Nova" w:cs="Times New Roman"/>
          <w:sz w:val="24"/>
          <w:szCs w:val="24"/>
        </w:rPr>
        <w:t xml:space="preserve"> se busca que tales personas no se vean injustificadamente afectadas cuando acuden al juicio de amparo.</w:t>
      </w:r>
    </w:p>
    <w:p w14:paraId="3C7BDCA4" w14:textId="77777777" w:rsidR="001A520A" w:rsidRDefault="001A520A" w:rsidP="002B7C7C">
      <w:pPr>
        <w:spacing w:after="0" w:line="240" w:lineRule="auto"/>
        <w:jc w:val="both"/>
        <w:rPr>
          <w:rFonts w:ascii="Arial Nova" w:hAnsi="Arial Nova" w:cs="Times New Roman"/>
          <w:sz w:val="24"/>
          <w:szCs w:val="24"/>
        </w:rPr>
      </w:pPr>
    </w:p>
    <w:p w14:paraId="6E4C8733" w14:textId="75010089" w:rsidR="00831E2C" w:rsidRPr="00831E2C" w:rsidRDefault="00102BBC" w:rsidP="002B7C7C">
      <w:pPr>
        <w:spacing w:after="0" w:line="240" w:lineRule="auto"/>
        <w:jc w:val="both"/>
        <w:rPr>
          <w:rFonts w:ascii="Arial Nova" w:hAnsi="Arial Nova" w:cs="Times New Roman"/>
          <w:sz w:val="24"/>
          <w:szCs w:val="24"/>
        </w:rPr>
      </w:pPr>
      <w:r>
        <w:rPr>
          <w:rFonts w:ascii="Arial Nova" w:hAnsi="Arial Nova" w:cs="Times New Roman"/>
          <w:sz w:val="24"/>
          <w:szCs w:val="24"/>
        </w:rPr>
        <w:t>En ese sentido</w:t>
      </w:r>
      <w:r w:rsidR="00831E2C" w:rsidRPr="00831E2C">
        <w:rPr>
          <w:rFonts w:ascii="Arial Nova" w:hAnsi="Arial Nova" w:cs="Times New Roman"/>
          <w:sz w:val="24"/>
          <w:szCs w:val="24"/>
        </w:rPr>
        <w:t>, con el fin de abordar los problemas y dificultades de la tercera edad de una manera estructural</w:t>
      </w:r>
      <w:r w:rsidR="001A520A">
        <w:rPr>
          <w:rFonts w:ascii="Arial Nova" w:hAnsi="Arial Nova" w:cs="Times New Roman"/>
          <w:sz w:val="24"/>
          <w:szCs w:val="24"/>
        </w:rPr>
        <w:t xml:space="preserve">, </w:t>
      </w:r>
      <w:r w:rsidR="00831E2C" w:rsidRPr="00831E2C">
        <w:rPr>
          <w:rFonts w:ascii="Arial Nova" w:hAnsi="Arial Nova" w:cs="Times New Roman"/>
          <w:sz w:val="24"/>
          <w:szCs w:val="24"/>
        </w:rPr>
        <w:t xml:space="preserve">la </w:t>
      </w:r>
      <w:r w:rsidR="001A520A">
        <w:rPr>
          <w:rFonts w:ascii="Arial Nova" w:hAnsi="Arial Nova" w:cs="Times New Roman"/>
          <w:sz w:val="24"/>
          <w:szCs w:val="24"/>
        </w:rPr>
        <w:t xml:space="preserve">Primera </w:t>
      </w:r>
      <w:r w:rsidR="00831E2C" w:rsidRPr="00831E2C">
        <w:rPr>
          <w:rFonts w:ascii="Arial Nova" w:hAnsi="Arial Nova" w:cs="Times New Roman"/>
          <w:sz w:val="24"/>
          <w:szCs w:val="24"/>
        </w:rPr>
        <w:t xml:space="preserve">Sala </w:t>
      </w:r>
      <w:r w:rsidR="007A4767">
        <w:rPr>
          <w:rFonts w:ascii="Arial Nova" w:hAnsi="Arial Nova" w:cs="Times New Roman"/>
          <w:sz w:val="24"/>
          <w:szCs w:val="24"/>
        </w:rPr>
        <w:t xml:space="preserve">especificó </w:t>
      </w:r>
      <w:r w:rsidR="00831E2C" w:rsidRPr="00831E2C">
        <w:rPr>
          <w:rFonts w:ascii="Arial Nova" w:hAnsi="Arial Nova" w:cs="Times New Roman"/>
          <w:sz w:val="24"/>
          <w:szCs w:val="24"/>
        </w:rPr>
        <w:t>que el envejecimiento no necesariamente conduce a un estado de vulnerabilidad</w:t>
      </w:r>
      <w:r w:rsidR="0052700C">
        <w:rPr>
          <w:rFonts w:ascii="Arial Nova" w:hAnsi="Arial Nova" w:cs="Times New Roman"/>
          <w:sz w:val="24"/>
          <w:szCs w:val="24"/>
        </w:rPr>
        <w:t>.</w:t>
      </w:r>
      <w:r w:rsidR="00831E2C" w:rsidRPr="00831E2C">
        <w:rPr>
          <w:rFonts w:ascii="Arial Nova" w:hAnsi="Arial Nova" w:cs="Times New Roman"/>
          <w:sz w:val="24"/>
          <w:szCs w:val="24"/>
        </w:rPr>
        <w:t xml:space="preserve"> </w:t>
      </w:r>
      <w:r w:rsidR="0052700C">
        <w:rPr>
          <w:rFonts w:ascii="Arial Nova" w:hAnsi="Arial Nova" w:cs="Times New Roman"/>
          <w:sz w:val="24"/>
          <w:szCs w:val="24"/>
        </w:rPr>
        <w:t>Dicho estad</w:t>
      </w:r>
      <w:r w:rsidR="001F2220">
        <w:rPr>
          <w:rFonts w:ascii="Arial Nova" w:hAnsi="Arial Nova" w:cs="Times New Roman"/>
          <w:sz w:val="24"/>
          <w:szCs w:val="24"/>
        </w:rPr>
        <w:t>o</w:t>
      </w:r>
      <w:r w:rsidR="00831E2C" w:rsidRPr="00831E2C">
        <w:rPr>
          <w:rFonts w:ascii="Arial Nova" w:hAnsi="Arial Nova" w:cs="Times New Roman"/>
          <w:sz w:val="24"/>
          <w:szCs w:val="24"/>
        </w:rPr>
        <w:t xml:space="preserve"> debe obedecer a otros aspectos</w:t>
      </w:r>
      <w:r w:rsidR="007A4767">
        <w:rPr>
          <w:rFonts w:ascii="Arial Nova" w:hAnsi="Arial Nova" w:cs="Times New Roman"/>
          <w:sz w:val="24"/>
          <w:szCs w:val="24"/>
        </w:rPr>
        <w:t xml:space="preserve">, </w:t>
      </w:r>
      <w:r w:rsidR="00831E2C" w:rsidRPr="00831E2C">
        <w:rPr>
          <w:rFonts w:ascii="Arial Nova" w:hAnsi="Arial Nova" w:cs="Times New Roman"/>
          <w:sz w:val="24"/>
          <w:szCs w:val="24"/>
        </w:rPr>
        <w:t>como</w:t>
      </w:r>
      <w:r w:rsidR="007A4767">
        <w:rPr>
          <w:rFonts w:ascii="Arial Nova" w:hAnsi="Arial Nova" w:cs="Times New Roman"/>
          <w:sz w:val="24"/>
          <w:szCs w:val="24"/>
        </w:rPr>
        <w:t xml:space="preserve"> lo es:</w:t>
      </w:r>
      <w:r w:rsidR="00831E2C" w:rsidRPr="00831E2C">
        <w:rPr>
          <w:rFonts w:ascii="Arial Nova" w:hAnsi="Arial Nova" w:cs="Times New Roman"/>
          <w:sz w:val="24"/>
          <w:szCs w:val="24"/>
        </w:rPr>
        <w:t xml:space="preserve"> la disminución de la capacidad motora o </w:t>
      </w:r>
      <w:r w:rsidR="00831E2C" w:rsidRPr="00831E2C">
        <w:rPr>
          <w:rFonts w:ascii="Arial Nova" w:hAnsi="Arial Nova" w:cs="Times New Roman"/>
          <w:sz w:val="24"/>
          <w:szCs w:val="24"/>
        </w:rPr>
        <w:lastRenderedPageBreak/>
        <w:t>intelectual</w:t>
      </w:r>
      <w:r w:rsidR="007A4767">
        <w:rPr>
          <w:rFonts w:ascii="Arial Nova" w:hAnsi="Arial Nova" w:cs="Times New Roman"/>
          <w:sz w:val="24"/>
          <w:szCs w:val="24"/>
        </w:rPr>
        <w:t xml:space="preserve">, </w:t>
      </w:r>
      <w:r w:rsidR="00831E2C" w:rsidRPr="00831E2C">
        <w:rPr>
          <w:rFonts w:ascii="Arial Nova" w:hAnsi="Arial Nova" w:cs="Times New Roman"/>
          <w:sz w:val="24"/>
          <w:szCs w:val="24"/>
        </w:rPr>
        <w:t>aspectos como el sexo, la portación de alguna enfermedad, educación, analfabetismo, pertenecer a una comunidad indígena, entre otros</w:t>
      </w:r>
      <w:r w:rsidR="007A4767">
        <w:rPr>
          <w:rFonts w:ascii="Arial Nova" w:hAnsi="Arial Nova" w:cs="Times New Roman"/>
          <w:sz w:val="24"/>
          <w:szCs w:val="24"/>
        </w:rPr>
        <w:t>. Estos aspectos,</w:t>
      </w:r>
      <w:r w:rsidR="00831E2C" w:rsidRPr="00831E2C">
        <w:rPr>
          <w:rFonts w:ascii="Arial Nova" w:hAnsi="Arial Nova" w:cs="Times New Roman"/>
          <w:sz w:val="24"/>
          <w:szCs w:val="24"/>
        </w:rPr>
        <w:t xml:space="preserve"> a su vez, </w:t>
      </w:r>
      <w:r w:rsidR="007A4767">
        <w:rPr>
          <w:rFonts w:ascii="Arial Nova" w:hAnsi="Arial Nova" w:cs="Times New Roman"/>
          <w:sz w:val="24"/>
          <w:szCs w:val="24"/>
        </w:rPr>
        <w:t xml:space="preserve">conducen </w:t>
      </w:r>
      <w:r w:rsidR="00831E2C" w:rsidRPr="00831E2C">
        <w:rPr>
          <w:rFonts w:ascii="Arial Nova" w:hAnsi="Arial Nova" w:cs="Times New Roman"/>
          <w:sz w:val="24"/>
          <w:szCs w:val="24"/>
        </w:rPr>
        <w:t>a una discriminación social, familiar, laboral y económica</w:t>
      </w:r>
      <w:r w:rsidR="007A4767">
        <w:rPr>
          <w:rFonts w:ascii="Arial Nova" w:hAnsi="Arial Nova" w:cs="Times New Roman"/>
          <w:sz w:val="24"/>
          <w:szCs w:val="24"/>
        </w:rPr>
        <w:t xml:space="preserve">; </w:t>
      </w:r>
      <w:r w:rsidR="00831E2C" w:rsidRPr="00831E2C">
        <w:rPr>
          <w:rFonts w:ascii="Arial Nova" w:hAnsi="Arial Nova" w:cs="Times New Roman"/>
          <w:sz w:val="24"/>
          <w:szCs w:val="24"/>
        </w:rPr>
        <w:t>que, concatenados con la edad avanzada, pued</w:t>
      </w:r>
      <w:r w:rsidR="007A4767">
        <w:rPr>
          <w:rFonts w:ascii="Arial Nova" w:hAnsi="Arial Nova" w:cs="Times New Roman"/>
          <w:sz w:val="24"/>
          <w:szCs w:val="24"/>
        </w:rPr>
        <w:t>en</w:t>
      </w:r>
      <w:r w:rsidR="00831E2C" w:rsidRPr="00831E2C">
        <w:rPr>
          <w:rFonts w:ascii="Arial Nova" w:hAnsi="Arial Nova" w:cs="Times New Roman"/>
          <w:sz w:val="24"/>
          <w:szCs w:val="24"/>
        </w:rPr>
        <w:t xml:space="preserve"> implicar una situación de desigualdad que desemboque en la vulneración de los derechos humanos de las personas mayores.</w:t>
      </w:r>
    </w:p>
    <w:p w14:paraId="08EB9A9B" w14:textId="77777777" w:rsidR="00831E2C" w:rsidRPr="00831E2C" w:rsidRDefault="00831E2C" w:rsidP="002B7C7C">
      <w:pPr>
        <w:spacing w:after="0" w:line="240" w:lineRule="auto"/>
        <w:jc w:val="both"/>
        <w:rPr>
          <w:rFonts w:ascii="Arial Nova" w:hAnsi="Arial Nova" w:cs="Times New Roman"/>
          <w:sz w:val="24"/>
          <w:szCs w:val="24"/>
        </w:rPr>
      </w:pPr>
    </w:p>
    <w:p w14:paraId="0B68D2F7" w14:textId="4D790543" w:rsidR="00831E2C" w:rsidRPr="00831E2C" w:rsidRDefault="002B7C7C" w:rsidP="002B7C7C">
      <w:pPr>
        <w:spacing w:after="0" w:line="240" w:lineRule="auto"/>
        <w:jc w:val="both"/>
        <w:rPr>
          <w:rFonts w:ascii="Arial Nova" w:hAnsi="Arial Nova" w:cs="Times New Roman"/>
          <w:sz w:val="24"/>
          <w:szCs w:val="24"/>
        </w:rPr>
      </w:pPr>
      <w:r>
        <w:rPr>
          <w:rFonts w:ascii="Arial Nova" w:hAnsi="Arial Nova" w:cs="Times New Roman"/>
          <w:sz w:val="24"/>
          <w:szCs w:val="24"/>
        </w:rPr>
        <w:t>Asimismo</w:t>
      </w:r>
      <w:r w:rsidR="00102BBC">
        <w:rPr>
          <w:rFonts w:ascii="Arial Nova" w:hAnsi="Arial Nova" w:cs="Times New Roman"/>
          <w:sz w:val="24"/>
          <w:szCs w:val="24"/>
        </w:rPr>
        <w:t>,</w:t>
      </w:r>
      <w:r w:rsidR="00831E2C" w:rsidRPr="00831E2C">
        <w:rPr>
          <w:rFonts w:ascii="Arial Nova" w:hAnsi="Arial Nova" w:cs="Times New Roman"/>
          <w:sz w:val="24"/>
          <w:szCs w:val="24"/>
        </w:rPr>
        <w:t xml:space="preserve"> </w:t>
      </w:r>
      <w:r>
        <w:rPr>
          <w:rFonts w:ascii="Arial Nova" w:hAnsi="Arial Nova" w:cs="Times New Roman"/>
          <w:sz w:val="24"/>
          <w:szCs w:val="24"/>
        </w:rPr>
        <w:t xml:space="preserve">la Sala destacó que, conforme a precedentes, </w:t>
      </w:r>
      <w:r w:rsidR="00831E2C" w:rsidRPr="00831E2C">
        <w:rPr>
          <w:rFonts w:ascii="Arial Nova" w:hAnsi="Arial Nova" w:cs="Times New Roman"/>
          <w:sz w:val="24"/>
          <w:szCs w:val="24"/>
        </w:rPr>
        <w:t>se ha sostenido la constitucionalidad de la Ley de Amparo en relación con la aplicación de la suplencia de la queja</w:t>
      </w:r>
      <w:r w:rsidR="0082277D">
        <w:rPr>
          <w:rFonts w:ascii="Arial Nova" w:hAnsi="Arial Nova" w:cs="Times New Roman"/>
          <w:sz w:val="24"/>
          <w:szCs w:val="24"/>
        </w:rPr>
        <w:t xml:space="preserve">, </w:t>
      </w:r>
      <w:r w:rsidR="00831E2C" w:rsidRPr="00831E2C">
        <w:rPr>
          <w:rFonts w:ascii="Arial Nova" w:hAnsi="Arial Nova" w:cs="Times New Roman"/>
          <w:sz w:val="24"/>
          <w:szCs w:val="24"/>
        </w:rPr>
        <w:t xml:space="preserve">a pesar de no tener un supuesto específico para la aplicación </w:t>
      </w:r>
      <w:r w:rsidR="0082277D">
        <w:rPr>
          <w:rFonts w:ascii="Arial Nova" w:hAnsi="Arial Nova" w:cs="Times New Roman"/>
          <w:sz w:val="24"/>
          <w:szCs w:val="24"/>
        </w:rPr>
        <w:t xml:space="preserve">automática </w:t>
      </w:r>
      <w:r w:rsidR="00831E2C" w:rsidRPr="00831E2C">
        <w:rPr>
          <w:rFonts w:ascii="Arial Nova" w:hAnsi="Arial Nova" w:cs="Times New Roman"/>
          <w:sz w:val="24"/>
          <w:szCs w:val="24"/>
        </w:rPr>
        <w:t>de dicha figura en favor de las personas adultas mayores</w:t>
      </w:r>
      <w:r w:rsidR="007A4767">
        <w:rPr>
          <w:rFonts w:ascii="Arial Nova" w:hAnsi="Arial Nova" w:cs="Times New Roman"/>
          <w:sz w:val="24"/>
          <w:szCs w:val="24"/>
        </w:rPr>
        <w:t>.</w:t>
      </w:r>
      <w:r w:rsidR="0082277D" w:rsidRPr="00C752D6">
        <w:rPr>
          <w:rFonts w:ascii="Arial Nova" w:hAnsi="Arial Nova" w:cs="Times New Roman"/>
          <w:sz w:val="24"/>
          <w:szCs w:val="24"/>
        </w:rPr>
        <w:t xml:space="preserve"> </w:t>
      </w:r>
      <w:r w:rsidR="001A520A">
        <w:rPr>
          <w:rFonts w:ascii="Arial Nova" w:hAnsi="Arial Nova" w:cs="Times New Roman"/>
          <w:sz w:val="24"/>
          <w:szCs w:val="24"/>
        </w:rPr>
        <w:t>Por ello</w:t>
      </w:r>
      <w:r w:rsidR="00831E2C" w:rsidRPr="00831E2C">
        <w:rPr>
          <w:rFonts w:ascii="Arial Nova" w:hAnsi="Arial Nova" w:cs="Times New Roman"/>
          <w:sz w:val="24"/>
          <w:szCs w:val="24"/>
        </w:rPr>
        <w:t>, el Alto Tribunal concluyó que las personas juzgadoras de amparo tienen la obligación de analizar, en cada caso, si concurren situaciones de vulnerabilidad que pongan en un estado de indefensión a la persona mayor y que ameriten aplicar la suplencia de la queja en su favor, al equipararlas como persona en condición de marginación.</w:t>
      </w:r>
    </w:p>
    <w:p w14:paraId="4F721583" w14:textId="77777777" w:rsidR="00831E2C" w:rsidRPr="00831E2C" w:rsidRDefault="00831E2C" w:rsidP="002B7C7C">
      <w:pPr>
        <w:spacing w:after="0" w:line="240" w:lineRule="auto"/>
        <w:jc w:val="both"/>
        <w:rPr>
          <w:rFonts w:ascii="Arial Nova" w:hAnsi="Arial Nova" w:cs="Times New Roman"/>
          <w:sz w:val="24"/>
          <w:szCs w:val="24"/>
        </w:rPr>
      </w:pPr>
    </w:p>
    <w:p w14:paraId="66B01CE0" w14:textId="55B68662" w:rsidR="00831E2C" w:rsidRPr="00831E2C" w:rsidRDefault="00831E2C" w:rsidP="002B7C7C">
      <w:pPr>
        <w:spacing w:after="0" w:line="240" w:lineRule="auto"/>
        <w:jc w:val="both"/>
        <w:rPr>
          <w:rFonts w:ascii="Arial Nova" w:hAnsi="Arial Nova" w:cs="Times New Roman"/>
          <w:sz w:val="24"/>
          <w:szCs w:val="24"/>
        </w:rPr>
      </w:pPr>
      <w:r w:rsidRPr="00831E2C">
        <w:rPr>
          <w:rFonts w:ascii="Arial Nova" w:hAnsi="Arial Nova" w:cs="Times New Roman"/>
          <w:sz w:val="24"/>
          <w:szCs w:val="24"/>
        </w:rPr>
        <w:t>Lo anterior</w:t>
      </w:r>
      <w:r w:rsidR="001F2220">
        <w:rPr>
          <w:rFonts w:ascii="Arial Nova" w:hAnsi="Arial Nova" w:cs="Times New Roman"/>
          <w:sz w:val="24"/>
          <w:szCs w:val="24"/>
        </w:rPr>
        <w:t xml:space="preserve"> no implica</w:t>
      </w:r>
      <w:r w:rsidRPr="00831E2C">
        <w:rPr>
          <w:rFonts w:ascii="Arial Nova" w:hAnsi="Arial Nova" w:cs="Times New Roman"/>
          <w:sz w:val="24"/>
          <w:szCs w:val="24"/>
        </w:rPr>
        <w:t xml:space="preserve"> que sea requisito indispensable que la persona mayor demuestre su situación de vulnerabilidad y que </w:t>
      </w:r>
      <w:r w:rsidR="001F2220">
        <w:rPr>
          <w:rFonts w:ascii="Arial Nova" w:hAnsi="Arial Nova" w:cs="Times New Roman"/>
          <w:sz w:val="24"/>
          <w:szCs w:val="24"/>
        </w:rPr>
        <w:t>é</w:t>
      </w:r>
      <w:r w:rsidRPr="00831E2C">
        <w:rPr>
          <w:rFonts w:ascii="Arial Nova" w:hAnsi="Arial Nova" w:cs="Times New Roman"/>
          <w:sz w:val="24"/>
          <w:szCs w:val="24"/>
        </w:rPr>
        <w:t>s</w:t>
      </w:r>
      <w:r w:rsidR="001A520A">
        <w:rPr>
          <w:rFonts w:ascii="Arial Nova" w:hAnsi="Arial Nova" w:cs="Times New Roman"/>
          <w:sz w:val="24"/>
          <w:szCs w:val="24"/>
        </w:rPr>
        <w:t xml:space="preserve">ta </w:t>
      </w:r>
      <w:r w:rsidRPr="00831E2C">
        <w:rPr>
          <w:rFonts w:ascii="Arial Nova" w:hAnsi="Arial Nova" w:cs="Times New Roman"/>
          <w:sz w:val="24"/>
          <w:szCs w:val="24"/>
        </w:rPr>
        <w:t>realmente le imposibilita acceder en forma efectiva al sistema de justicia. Esto es así, ya que</w:t>
      </w:r>
      <w:r w:rsidR="007A4767">
        <w:rPr>
          <w:rFonts w:ascii="Arial Nova" w:hAnsi="Arial Nova" w:cs="Times New Roman"/>
          <w:sz w:val="24"/>
          <w:szCs w:val="24"/>
        </w:rPr>
        <w:t xml:space="preserve"> </w:t>
      </w:r>
      <w:r w:rsidR="00C752D6" w:rsidRPr="00831E2C">
        <w:rPr>
          <w:rFonts w:ascii="Arial Nova" w:hAnsi="Arial Nova" w:cs="Times New Roman"/>
          <w:sz w:val="24"/>
          <w:szCs w:val="24"/>
        </w:rPr>
        <w:t xml:space="preserve">la exigencia de tales requisitos </w:t>
      </w:r>
      <w:r w:rsidR="00A37CC4">
        <w:rPr>
          <w:rFonts w:ascii="Arial Nova" w:hAnsi="Arial Nova" w:cs="Times New Roman"/>
          <w:sz w:val="24"/>
          <w:szCs w:val="24"/>
        </w:rPr>
        <w:t xml:space="preserve">sería </w:t>
      </w:r>
      <w:r w:rsidR="00C752D6">
        <w:rPr>
          <w:rFonts w:ascii="Arial Nova" w:hAnsi="Arial Nova" w:cs="Times New Roman"/>
          <w:sz w:val="24"/>
          <w:szCs w:val="24"/>
        </w:rPr>
        <w:t>contraria</w:t>
      </w:r>
      <w:r w:rsidR="00993743">
        <w:rPr>
          <w:rFonts w:ascii="Arial Nova" w:hAnsi="Arial Nova" w:cs="Times New Roman"/>
          <w:sz w:val="24"/>
          <w:szCs w:val="24"/>
        </w:rPr>
        <w:t xml:space="preserve"> a </w:t>
      </w:r>
      <w:r w:rsidRPr="00831E2C">
        <w:rPr>
          <w:rFonts w:ascii="Arial Nova" w:hAnsi="Arial Nova" w:cs="Times New Roman"/>
          <w:sz w:val="24"/>
          <w:szCs w:val="24"/>
        </w:rPr>
        <w:t>la intención de la comunidad internacional</w:t>
      </w:r>
      <w:r w:rsidR="001F2220">
        <w:rPr>
          <w:rFonts w:ascii="Arial Nova" w:hAnsi="Arial Nova" w:cs="Times New Roman"/>
          <w:sz w:val="24"/>
          <w:szCs w:val="24"/>
        </w:rPr>
        <w:t xml:space="preserve"> —al emitir la </w:t>
      </w:r>
      <w:r w:rsidR="003B5568" w:rsidRPr="001F2220">
        <w:rPr>
          <w:rFonts w:ascii="Arial Nova" w:hAnsi="Arial Nova" w:cs="Times New Roman"/>
          <w:sz w:val="24"/>
          <w:szCs w:val="24"/>
        </w:rPr>
        <w:t xml:space="preserve">Convención Interamericana Sobre </w:t>
      </w:r>
      <w:r w:rsidR="006E1879">
        <w:rPr>
          <w:rFonts w:ascii="Arial Nova" w:hAnsi="Arial Nova" w:cs="Times New Roman"/>
          <w:sz w:val="24"/>
          <w:szCs w:val="24"/>
        </w:rPr>
        <w:t>l</w:t>
      </w:r>
      <w:r w:rsidR="003B5568" w:rsidRPr="001F2220">
        <w:rPr>
          <w:rFonts w:ascii="Arial Nova" w:hAnsi="Arial Nova" w:cs="Times New Roman"/>
          <w:sz w:val="24"/>
          <w:szCs w:val="24"/>
        </w:rPr>
        <w:t xml:space="preserve">a Protección </w:t>
      </w:r>
      <w:r w:rsidR="006E1879">
        <w:rPr>
          <w:rFonts w:ascii="Arial Nova" w:hAnsi="Arial Nova" w:cs="Times New Roman"/>
          <w:sz w:val="24"/>
          <w:szCs w:val="24"/>
        </w:rPr>
        <w:t>d</w:t>
      </w:r>
      <w:r w:rsidR="003B5568" w:rsidRPr="001F2220">
        <w:rPr>
          <w:rFonts w:ascii="Arial Nova" w:hAnsi="Arial Nova" w:cs="Times New Roman"/>
          <w:sz w:val="24"/>
          <w:szCs w:val="24"/>
        </w:rPr>
        <w:t xml:space="preserve">e </w:t>
      </w:r>
      <w:r w:rsidR="006E1879">
        <w:rPr>
          <w:rFonts w:ascii="Arial Nova" w:hAnsi="Arial Nova" w:cs="Times New Roman"/>
          <w:sz w:val="24"/>
          <w:szCs w:val="24"/>
        </w:rPr>
        <w:t>l</w:t>
      </w:r>
      <w:r w:rsidR="003B5568" w:rsidRPr="001F2220">
        <w:rPr>
          <w:rFonts w:ascii="Arial Nova" w:hAnsi="Arial Nova" w:cs="Times New Roman"/>
          <w:sz w:val="24"/>
          <w:szCs w:val="24"/>
        </w:rPr>
        <w:t xml:space="preserve">os Derechos Humanos </w:t>
      </w:r>
      <w:r w:rsidR="006E1879">
        <w:rPr>
          <w:rFonts w:ascii="Arial Nova" w:hAnsi="Arial Nova" w:cs="Times New Roman"/>
          <w:sz w:val="24"/>
          <w:szCs w:val="24"/>
        </w:rPr>
        <w:t>d</w:t>
      </w:r>
      <w:r w:rsidR="003B5568" w:rsidRPr="001F2220">
        <w:rPr>
          <w:rFonts w:ascii="Arial Nova" w:hAnsi="Arial Nova" w:cs="Times New Roman"/>
          <w:sz w:val="24"/>
          <w:szCs w:val="24"/>
        </w:rPr>
        <w:t xml:space="preserve">e </w:t>
      </w:r>
      <w:r w:rsidR="006E1879">
        <w:rPr>
          <w:rFonts w:ascii="Arial Nova" w:hAnsi="Arial Nova" w:cs="Times New Roman"/>
          <w:sz w:val="24"/>
          <w:szCs w:val="24"/>
        </w:rPr>
        <w:t>l</w:t>
      </w:r>
      <w:r w:rsidR="003B5568" w:rsidRPr="001F2220">
        <w:rPr>
          <w:rFonts w:ascii="Arial Nova" w:hAnsi="Arial Nova" w:cs="Times New Roman"/>
          <w:sz w:val="24"/>
          <w:szCs w:val="24"/>
        </w:rPr>
        <w:t>as Personas Mayores</w:t>
      </w:r>
      <w:r w:rsidR="003B5568">
        <w:rPr>
          <w:rFonts w:ascii="Arial Nova" w:hAnsi="Arial Nova" w:cs="Times New Roman"/>
          <w:sz w:val="24"/>
          <w:szCs w:val="24"/>
        </w:rPr>
        <w:t>—</w:t>
      </w:r>
      <w:r w:rsidRPr="00831E2C">
        <w:rPr>
          <w:rFonts w:ascii="Arial Nova" w:hAnsi="Arial Nova" w:cs="Times New Roman"/>
          <w:sz w:val="24"/>
          <w:szCs w:val="24"/>
        </w:rPr>
        <w:t>de abordar los problemas y dificultades de la tercera edad de una manera estructural. Además, con ello, se impon</w:t>
      </w:r>
      <w:r w:rsidR="00B45735">
        <w:rPr>
          <w:rFonts w:ascii="Arial Nova" w:hAnsi="Arial Nova" w:cs="Times New Roman"/>
          <w:sz w:val="24"/>
          <w:szCs w:val="24"/>
        </w:rPr>
        <w:t>ía</w:t>
      </w:r>
      <w:r w:rsidRPr="00831E2C">
        <w:rPr>
          <w:rFonts w:ascii="Arial Nova" w:hAnsi="Arial Nova" w:cs="Times New Roman"/>
          <w:sz w:val="24"/>
          <w:szCs w:val="24"/>
        </w:rPr>
        <w:t xml:space="preserve"> indebidamente la carga de la prueba a l</w:t>
      </w:r>
      <w:r w:rsidR="009B1C8D">
        <w:rPr>
          <w:rFonts w:ascii="Arial Nova" w:hAnsi="Arial Nova" w:cs="Times New Roman"/>
          <w:sz w:val="24"/>
          <w:szCs w:val="24"/>
        </w:rPr>
        <w:t xml:space="preserve">os beneficiarios de tal figura, </w:t>
      </w:r>
      <w:r w:rsidRPr="00831E2C">
        <w:rPr>
          <w:rFonts w:ascii="Arial Nova" w:hAnsi="Arial Nova" w:cs="Times New Roman"/>
          <w:sz w:val="24"/>
          <w:szCs w:val="24"/>
        </w:rPr>
        <w:t xml:space="preserve">cuando quien </w:t>
      </w:r>
      <w:r w:rsidR="00B45735">
        <w:rPr>
          <w:rFonts w:ascii="Arial Nova" w:hAnsi="Arial Nova" w:cs="Times New Roman"/>
          <w:sz w:val="24"/>
          <w:szCs w:val="24"/>
        </w:rPr>
        <w:t>estaba</w:t>
      </w:r>
      <w:r w:rsidRPr="00831E2C">
        <w:rPr>
          <w:rFonts w:ascii="Arial Nova" w:hAnsi="Arial Nova" w:cs="Times New Roman"/>
          <w:sz w:val="24"/>
          <w:szCs w:val="24"/>
        </w:rPr>
        <w:t xml:space="preserve"> obligado a la protección de los derechos de las personas mayores e</w:t>
      </w:r>
      <w:r w:rsidR="00B45735">
        <w:rPr>
          <w:rFonts w:ascii="Arial Nova" w:hAnsi="Arial Nova" w:cs="Times New Roman"/>
          <w:sz w:val="24"/>
          <w:szCs w:val="24"/>
        </w:rPr>
        <w:t>ra</w:t>
      </w:r>
      <w:r w:rsidRPr="00831E2C">
        <w:rPr>
          <w:rFonts w:ascii="Arial Nova" w:hAnsi="Arial Nova" w:cs="Times New Roman"/>
          <w:sz w:val="24"/>
          <w:szCs w:val="24"/>
        </w:rPr>
        <w:t xml:space="preserve"> la autoridad jurisdiccional.</w:t>
      </w:r>
    </w:p>
    <w:p w14:paraId="0D50B8DC" w14:textId="77777777" w:rsidR="00831E2C" w:rsidRPr="00831E2C" w:rsidRDefault="00831E2C" w:rsidP="002B7C7C">
      <w:pPr>
        <w:spacing w:after="0" w:line="240" w:lineRule="auto"/>
        <w:jc w:val="both"/>
        <w:rPr>
          <w:rFonts w:ascii="Arial Nova" w:hAnsi="Arial Nova" w:cs="Times New Roman"/>
          <w:sz w:val="24"/>
          <w:szCs w:val="24"/>
        </w:rPr>
      </w:pPr>
    </w:p>
    <w:p w14:paraId="6CD09095" w14:textId="5160E21C" w:rsidR="00831E2C" w:rsidRPr="00831E2C" w:rsidRDefault="002B7C7C" w:rsidP="002B7C7C">
      <w:pPr>
        <w:spacing w:after="0" w:line="240" w:lineRule="auto"/>
        <w:jc w:val="both"/>
        <w:rPr>
          <w:rFonts w:ascii="Arial Nova" w:hAnsi="Arial Nova" w:cs="Times New Roman"/>
          <w:sz w:val="24"/>
          <w:szCs w:val="24"/>
        </w:rPr>
      </w:pPr>
      <w:r>
        <w:rPr>
          <w:rFonts w:ascii="Arial Nova" w:hAnsi="Arial Nova" w:cs="Times New Roman"/>
          <w:sz w:val="24"/>
          <w:szCs w:val="24"/>
        </w:rPr>
        <w:t>De igual forma</w:t>
      </w:r>
      <w:r w:rsidR="00831E2C" w:rsidRPr="00831E2C">
        <w:rPr>
          <w:rFonts w:ascii="Arial Nova" w:hAnsi="Arial Nova" w:cs="Times New Roman"/>
          <w:sz w:val="24"/>
          <w:szCs w:val="24"/>
        </w:rPr>
        <w:t>, a la luz de consideraciones adoptadas en precedentes, la Sala destacó que este deber de las personas juzgadoras de amparo no se modifica</w:t>
      </w:r>
      <w:r w:rsidR="00A37CC4">
        <w:rPr>
          <w:rFonts w:ascii="Arial Nova" w:hAnsi="Arial Nova" w:cs="Times New Roman"/>
          <w:sz w:val="24"/>
          <w:szCs w:val="24"/>
        </w:rPr>
        <w:t>ba</w:t>
      </w:r>
      <w:r w:rsidR="00831E2C" w:rsidRPr="00831E2C">
        <w:rPr>
          <w:rFonts w:ascii="Arial Nova" w:hAnsi="Arial Nova" w:cs="Times New Roman"/>
          <w:sz w:val="24"/>
          <w:szCs w:val="24"/>
        </w:rPr>
        <w:t xml:space="preserve"> aun si la persona mayor fallec</w:t>
      </w:r>
      <w:r w:rsidR="006E1879">
        <w:rPr>
          <w:rFonts w:ascii="Arial Nova" w:hAnsi="Arial Nova" w:cs="Times New Roman"/>
          <w:sz w:val="24"/>
          <w:szCs w:val="24"/>
        </w:rPr>
        <w:t>e</w:t>
      </w:r>
      <w:r w:rsidR="00831E2C" w:rsidRPr="00831E2C">
        <w:rPr>
          <w:rFonts w:ascii="Arial Nova" w:hAnsi="Arial Nova" w:cs="Times New Roman"/>
          <w:sz w:val="24"/>
          <w:szCs w:val="24"/>
        </w:rPr>
        <w:t xml:space="preserve"> durante la tramitación del procedimien</w:t>
      </w:r>
      <w:r w:rsidR="009B1C8D">
        <w:rPr>
          <w:rFonts w:ascii="Arial Nova" w:hAnsi="Arial Nova" w:cs="Times New Roman"/>
          <w:sz w:val="24"/>
          <w:szCs w:val="24"/>
        </w:rPr>
        <w:t>to.</w:t>
      </w:r>
      <w:r w:rsidR="00BF1EF4">
        <w:rPr>
          <w:rFonts w:ascii="Arial Nova" w:hAnsi="Arial Nova" w:cs="Times New Roman"/>
          <w:sz w:val="24"/>
          <w:szCs w:val="24"/>
        </w:rPr>
        <w:t xml:space="preserve"> Pues</w:t>
      </w:r>
      <w:r w:rsidR="00A536CE" w:rsidRPr="00A536CE">
        <w:rPr>
          <w:rFonts w:ascii="Arial Nova" w:hAnsi="Arial Nova" w:cs="Times New Roman"/>
          <w:sz w:val="24"/>
          <w:szCs w:val="24"/>
        </w:rPr>
        <w:t>, t</w:t>
      </w:r>
      <w:r w:rsidR="00831E2C" w:rsidRPr="00A536CE">
        <w:rPr>
          <w:rFonts w:ascii="Arial Nova" w:hAnsi="Arial Nova" w:cs="Times New Roman"/>
          <w:sz w:val="24"/>
          <w:szCs w:val="24"/>
        </w:rPr>
        <w:t xml:space="preserve">al circunstancia no </w:t>
      </w:r>
      <w:r w:rsidR="00993743" w:rsidRPr="00A536CE">
        <w:rPr>
          <w:rFonts w:ascii="Arial Nova" w:hAnsi="Arial Nova" w:cs="Times New Roman"/>
          <w:sz w:val="24"/>
          <w:szCs w:val="24"/>
        </w:rPr>
        <w:t>imped</w:t>
      </w:r>
      <w:r w:rsidR="00993743">
        <w:rPr>
          <w:rFonts w:ascii="Arial Nova" w:hAnsi="Arial Nova" w:cs="Times New Roman"/>
          <w:sz w:val="24"/>
          <w:szCs w:val="24"/>
        </w:rPr>
        <w:t>ía</w:t>
      </w:r>
      <w:r w:rsidR="00831E2C" w:rsidRPr="00A536CE">
        <w:rPr>
          <w:rFonts w:ascii="Arial Nova" w:hAnsi="Arial Nova" w:cs="Times New Roman"/>
          <w:sz w:val="24"/>
          <w:szCs w:val="24"/>
        </w:rPr>
        <w:t xml:space="preserve"> el estudio de la posible tran</w:t>
      </w:r>
      <w:r w:rsidR="00BF1EF4">
        <w:rPr>
          <w:rFonts w:ascii="Arial Nova" w:hAnsi="Arial Nova" w:cs="Times New Roman"/>
          <w:sz w:val="24"/>
          <w:szCs w:val="24"/>
        </w:rPr>
        <w:t>sgresión a sus derechos humanos,</w:t>
      </w:r>
      <w:r w:rsidR="00831E2C" w:rsidRPr="00A536CE">
        <w:rPr>
          <w:rFonts w:ascii="Arial Nova" w:hAnsi="Arial Nova" w:cs="Times New Roman"/>
          <w:sz w:val="24"/>
          <w:szCs w:val="24"/>
        </w:rPr>
        <w:t xml:space="preserve"> debido a que, la protección, garantía o reparación de éstos no desaparec</w:t>
      </w:r>
      <w:r w:rsidR="006E1879">
        <w:rPr>
          <w:rFonts w:ascii="Arial Nova" w:hAnsi="Arial Nova" w:cs="Times New Roman"/>
          <w:sz w:val="24"/>
          <w:szCs w:val="24"/>
        </w:rPr>
        <w:t>e</w:t>
      </w:r>
      <w:r w:rsidR="00831E2C" w:rsidRPr="00A536CE">
        <w:rPr>
          <w:rFonts w:ascii="Arial Nova" w:hAnsi="Arial Nova" w:cs="Times New Roman"/>
          <w:sz w:val="24"/>
          <w:szCs w:val="24"/>
        </w:rPr>
        <w:t xml:space="preserve"> con la muerte de la persona</w:t>
      </w:r>
      <w:r w:rsidR="00831E2C" w:rsidRPr="00831E2C">
        <w:rPr>
          <w:rFonts w:ascii="Arial Nova" w:hAnsi="Arial Nova" w:cs="Times New Roman"/>
          <w:sz w:val="24"/>
          <w:szCs w:val="24"/>
        </w:rPr>
        <w:t>.</w:t>
      </w:r>
    </w:p>
    <w:p w14:paraId="36766005" w14:textId="5ADFF2CF" w:rsidR="00831E2C" w:rsidRPr="00831E2C" w:rsidRDefault="00831E2C" w:rsidP="002B7C7C">
      <w:pPr>
        <w:spacing w:after="0" w:line="240" w:lineRule="auto"/>
        <w:jc w:val="both"/>
        <w:rPr>
          <w:rFonts w:ascii="Arial Nova" w:hAnsi="Arial Nova" w:cs="Times New Roman"/>
          <w:sz w:val="24"/>
          <w:szCs w:val="24"/>
        </w:rPr>
      </w:pPr>
    </w:p>
    <w:p w14:paraId="764E83B1" w14:textId="2ECF7AED" w:rsidR="00831E2C" w:rsidRPr="00831E2C" w:rsidRDefault="00831E2C" w:rsidP="002B7C7C">
      <w:pPr>
        <w:spacing w:after="0" w:line="240" w:lineRule="auto"/>
        <w:jc w:val="both"/>
        <w:rPr>
          <w:rFonts w:ascii="Arial Nova" w:hAnsi="Arial Nova" w:cs="Times New Roman"/>
          <w:sz w:val="24"/>
          <w:szCs w:val="24"/>
        </w:rPr>
      </w:pPr>
      <w:r w:rsidRPr="00831E2C">
        <w:rPr>
          <w:rFonts w:ascii="Arial Nova" w:hAnsi="Arial Nova" w:cs="Times New Roman"/>
          <w:sz w:val="24"/>
          <w:szCs w:val="24"/>
        </w:rPr>
        <w:t xml:space="preserve">A partir de estas razones, </w:t>
      </w:r>
      <w:r w:rsidR="00BF1EF4">
        <w:rPr>
          <w:rFonts w:ascii="Arial Nova" w:hAnsi="Arial Nova" w:cs="Times New Roman"/>
          <w:sz w:val="24"/>
          <w:szCs w:val="24"/>
        </w:rPr>
        <w:t>la Primera Sala advirtió que</w:t>
      </w:r>
      <w:r w:rsidR="006E1879">
        <w:rPr>
          <w:rFonts w:ascii="Arial Nova" w:hAnsi="Arial Nova" w:cs="Times New Roman"/>
          <w:sz w:val="24"/>
          <w:szCs w:val="24"/>
        </w:rPr>
        <w:t>, en el caso concreto,</w:t>
      </w:r>
      <w:r w:rsidR="00BF1EF4">
        <w:rPr>
          <w:rFonts w:ascii="Arial Nova" w:hAnsi="Arial Nova" w:cs="Times New Roman"/>
          <w:sz w:val="24"/>
          <w:szCs w:val="24"/>
        </w:rPr>
        <w:t xml:space="preserve"> el </w:t>
      </w:r>
      <w:r w:rsidRPr="00831E2C">
        <w:rPr>
          <w:rFonts w:ascii="Arial Nova" w:hAnsi="Arial Nova" w:cs="Times New Roman"/>
          <w:sz w:val="24"/>
          <w:szCs w:val="24"/>
        </w:rPr>
        <w:t xml:space="preserve">Tribunal Colegiado </w:t>
      </w:r>
      <w:r w:rsidR="00BF1EF4">
        <w:rPr>
          <w:rFonts w:ascii="Arial Nova" w:hAnsi="Arial Nova" w:cs="Times New Roman"/>
          <w:sz w:val="24"/>
          <w:szCs w:val="24"/>
        </w:rPr>
        <w:t xml:space="preserve">no identificó que se trataba de una persona mayor y que ésta se encontraba en una situación de vulnerabilidad. Por lo anterior, se ordenó revocar </w:t>
      </w:r>
      <w:r w:rsidRPr="00831E2C">
        <w:rPr>
          <w:rFonts w:ascii="Arial Nova" w:hAnsi="Arial Nova" w:cs="Times New Roman"/>
          <w:sz w:val="24"/>
          <w:szCs w:val="24"/>
        </w:rPr>
        <w:t>la sentencia impugnada</w:t>
      </w:r>
      <w:r w:rsidR="00BF1EF4">
        <w:rPr>
          <w:rFonts w:ascii="Arial Nova" w:hAnsi="Arial Nova" w:cs="Times New Roman"/>
          <w:sz w:val="24"/>
          <w:szCs w:val="24"/>
        </w:rPr>
        <w:t xml:space="preserve"> y devolver</w:t>
      </w:r>
      <w:r w:rsidRPr="00831E2C">
        <w:rPr>
          <w:rFonts w:ascii="Arial Nova" w:hAnsi="Arial Nova" w:cs="Times New Roman"/>
          <w:sz w:val="24"/>
          <w:szCs w:val="24"/>
        </w:rPr>
        <w:t xml:space="preserve"> el asunto para que </w:t>
      </w:r>
      <w:r w:rsidR="00BF1EF4">
        <w:rPr>
          <w:rFonts w:ascii="Arial Nova" w:hAnsi="Arial Nova" w:cs="Times New Roman"/>
          <w:sz w:val="24"/>
          <w:szCs w:val="24"/>
        </w:rPr>
        <w:t xml:space="preserve">el Tribunal Colegiado aplicara </w:t>
      </w:r>
      <w:r w:rsidRPr="00831E2C">
        <w:rPr>
          <w:rFonts w:ascii="Arial Nova" w:hAnsi="Arial Nova" w:cs="Times New Roman"/>
          <w:sz w:val="24"/>
          <w:szCs w:val="24"/>
        </w:rPr>
        <w:t xml:space="preserve">la suplencia de la queja en </w:t>
      </w:r>
      <w:r w:rsidR="00BF1EF4">
        <w:rPr>
          <w:rFonts w:ascii="Arial Nova" w:hAnsi="Arial Nova" w:cs="Times New Roman"/>
          <w:sz w:val="24"/>
          <w:szCs w:val="24"/>
        </w:rPr>
        <w:t xml:space="preserve">beneficio de la parte quejosa </w:t>
      </w:r>
      <w:r w:rsidRPr="00831E2C">
        <w:rPr>
          <w:rFonts w:ascii="Arial Nova" w:hAnsi="Arial Nova" w:cs="Times New Roman"/>
          <w:sz w:val="24"/>
          <w:szCs w:val="24"/>
        </w:rPr>
        <w:t>con base en una</w:t>
      </w:r>
      <w:r w:rsidR="00BF1EF4">
        <w:rPr>
          <w:rFonts w:ascii="Arial Nova" w:hAnsi="Arial Nova" w:cs="Times New Roman"/>
          <w:sz w:val="24"/>
          <w:szCs w:val="24"/>
        </w:rPr>
        <w:t xml:space="preserve"> perspectiva de envejecimiento y emitiera</w:t>
      </w:r>
      <w:r w:rsidRPr="00831E2C">
        <w:rPr>
          <w:rFonts w:ascii="Arial Nova" w:hAnsi="Arial Nova" w:cs="Times New Roman"/>
          <w:sz w:val="24"/>
          <w:szCs w:val="24"/>
        </w:rPr>
        <w:t xml:space="preserve"> la sentencia que en derecho corresponda.</w:t>
      </w:r>
    </w:p>
    <w:p w14:paraId="3D1F2260" w14:textId="77777777" w:rsidR="00831E2C" w:rsidRPr="00831E2C" w:rsidRDefault="00831E2C" w:rsidP="002B7C7C">
      <w:pPr>
        <w:spacing w:after="0" w:line="240" w:lineRule="auto"/>
        <w:jc w:val="both"/>
        <w:rPr>
          <w:rFonts w:ascii="Arial Nova" w:hAnsi="Arial Nova" w:cs="Times New Roman"/>
          <w:sz w:val="24"/>
          <w:szCs w:val="24"/>
        </w:rPr>
      </w:pPr>
    </w:p>
    <w:p w14:paraId="6555BF86" w14:textId="468A3E49" w:rsidR="0048582B" w:rsidRPr="00642B2A" w:rsidRDefault="00B323DA" w:rsidP="002B7C7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2B7C7C">
      <w:pPr>
        <w:spacing w:after="0" w:line="240" w:lineRule="auto"/>
        <w:jc w:val="both"/>
        <w:rPr>
          <w:rFonts w:ascii="Arial Nova" w:hAnsi="Arial Nova" w:cs="Times New Roman"/>
          <w:b/>
          <w:bCs/>
          <w:sz w:val="24"/>
          <w:szCs w:val="24"/>
          <w:shd w:val="clear" w:color="auto" w:fill="B4C6E7" w:themeFill="accent1" w:themeFillTint="66"/>
        </w:rPr>
      </w:pPr>
    </w:p>
    <w:p w14:paraId="72FC86BA" w14:textId="3584C4C6" w:rsidR="00F655A6" w:rsidRDefault="001F4A4B" w:rsidP="006E1879">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8870A6">
        <w:rPr>
          <w:rFonts w:ascii="Arial Nova" w:hAnsi="Arial Nova" w:cs="Times New Roman"/>
          <w:sz w:val="24"/>
          <w:szCs w:val="24"/>
        </w:rPr>
        <w:t xml:space="preserve"> </w:t>
      </w:r>
      <w:r w:rsidR="00831E2C">
        <w:rPr>
          <w:rFonts w:ascii="Arial Nova" w:hAnsi="Arial Nova" w:cs="Times New Roman"/>
          <w:sz w:val="24"/>
          <w:szCs w:val="24"/>
        </w:rPr>
        <w:t xml:space="preserve">11 </w:t>
      </w:r>
      <w:r w:rsidR="00C10761">
        <w:rPr>
          <w:rFonts w:ascii="Arial Nova" w:hAnsi="Arial Nova" w:cs="Times New Roman"/>
          <w:sz w:val="24"/>
          <w:szCs w:val="24"/>
        </w:rPr>
        <w:t>de octubre d</w:t>
      </w:r>
      <w:r w:rsidRPr="001F4A4B">
        <w:rPr>
          <w:rFonts w:ascii="Arial Nova" w:hAnsi="Arial Nova" w:cs="Times New Roman"/>
          <w:sz w:val="24"/>
          <w:szCs w:val="24"/>
        </w:rPr>
        <w:t xml:space="preserve">e 2023, por </w:t>
      </w:r>
      <w:r w:rsidR="00831E2C">
        <w:rPr>
          <w:rFonts w:ascii="Arial Nova" w:hAnsi="Arial Nova" w:cs="Times New Roman"/>
          <w:sz w:val="24"/>
          <w:szCs w:val="24"/>
        </w:rPr>
        <w:t xml:space="preserve">mayoría de tres votos </w:t>
      </w:r>
      <w:r w:rsidR="00B97964">
        <w:rPr>
          <w:rFonts w:ascii="Arial Nova" w:hAnsi="Arial Nova" w:cs="Times New Roman"/>
          <w:sz w:val="24"/>
          <w:szCs w:val="24"/>
        </w:rPr>
        <w:t xml:space="preserve">de </w:t>
      </w:r>
      <w:r w:rsidR="00831E2C">
        <w:rPr>
          <w:rFonts w:ascii="Arial Nova" w:hAnsi="Arial Nova" w:cs="Times New Roman"/>
          <w:sz w:val="24"/>
          <w:szCs w:val="24"/>
        </w:rPr>
        <w:t>l</w:t>
      </w:r>
      <w:r w:rsidR="00F655A6">
        <w:rPr>
          <w:rFonts w:ascii="Arial Nova" w:hAnsi="Arial Nova" w:cs="Times New Roman"/>
          <w:sz w:val="24"/>
          <w:szCs w:val="24"/>
        </w:rPr>
        <w:t xml:space="preserve">os Señores Ministros </w:t>
      </w:r>
      <w:r w:rsidR="00C10761">
        <w:rPr>
          <w:rFonts w:ascii="Arial Nova" w:hAnsi="Arial Nova" w:cs="Times New Roman"/>
          <w:sz w:val="24"/>
          <w:szCs w:val="24"/>
        </w:rPr>
        <w:t>Arturo Zaldívar Lelo de Larrea,</w:t>
      </w:r>
      <w:r w:rsidR="00CB440E" w:rsidRPr="00CB440E">
        <w:rPr>
          <w:rFonts w:ascii="Arial Nova" w:hAnsi="Arial Nova" w:cs="Times New Roman"/>
          <w:sz w:val="24"/>
          <w:szCs w:val="24"/>
        </w:rPr>
        <w:t xml:space="preserve"> quien está con el sentido, pero se aparta de los párrafos ciento cuarenta y uno y ciento cincuenta y nueve, </w:t>
      </w:r>
      <w:r w:rsidR="00B5054E">
        <w:rPr>
          <w:rFonts w:ascii="Arial Nova" w:hAnsi="Arial Nova" w:cs="Times New Roman"/>
          <w:sz w:val="24"/>
          <w:szCs w:val="24"/>
        </w:rPr>
        <w:t>Juan Luis González Alcántara Carrancá</w:t>
      </w:r>
      <w:r w:rsidR="00831E2C">
        <w:rPr>
          <w:rFonts w:ascii="Arial Nova" w:hAnsi="Arial Nova" w:cs="Times New Roman"/>
          <w:sz w:val="24"/>
          <w:szCs w:val="24"/>
        </w:rPr>
        <w:t xml:space="preserve"> y </w:t>
      </w:r>
      <w:r w:rsidR="007853E6">
        <w:rPr>
          <w:rFonts w:ascii="Arial Nova" w:hAnsi="Arial Nova" w:cs="Times New Roman"/>
          <w:sz w:val="24"/>
          <w:szCs w:val="24"/>
        </w:rPr>
        <w:t>Alfredo Gutiérrez Ortiz Mena</w:t>
      </w:r>
      <w:r w:rsidR="00CB440E" w:rsidRPr="00CB440E">
        <w:rPr>
          <w:rFonts w:ascii="Arial Nova" w:hAnsi="Arial Nova" w:cs="Times New Roman"/>
          <w:sz w:val="24"/>
          <w:szCs w:val="24"/>
        </w:rPr>
        <w:t>, quien se reserva su derecho a formular voto concurrente</w:t>
      </w:r>
      <w:r w:rsidR="00831E2C">
        <w:rPr>
          <w:rFonts w:ascii="Arial Nova" w:hAnsi="Arial Nova" w:cs="Times New Roman"/>
          <w:sz w:val="24"/>
          <w:szCs w:val="24"/>
        </w:rPr>
        <w:t xml:space="preserve">. En contra del emitido por el Ministro </w:t>
      </w:r>
      <w:r w:rsidR="00A8397C">
        <w:rPr>
          <w:rFonts w:ascii="Arial Nova" w:hAnsi="Arial Nova" w:cs="Times New Roman"/>
          <w:sz w:val="24"/>
          <w:szCs w:val="24"/>
        </w:rPr>
        <w:t>Jorge Mari</w:t>
      </w:r>
      <w:r w:rsidR="00C10761">
        <w:rPr>
          <w:rFonts w:ascii="Arial Nova" w:hAnsi="Arial Nova" w:cs="Times New Roman"/>
          <w:sz w:val="24"/>
          <w:szCs w:val="24"/>
        </w:rPr>
        <w:t xml:space="preserve">o </w:t>
      </w:r>
      <w:r w:rsidR="00A8397C">
        <w:rPr>
          <w:rFonts w:ascii="Arial Nova" w:hAnsi="Arial Nova" w:cs="Times New Roman"/>
          <w:sz w:val="24"/>
          <w:szCs w:val="24"/>
        </w:rPr>
        <w:t>Pardo Rebolledo (Presidente).</w:t>
      </w:r>
      <w:r w:rsidR="00B5054E">
        <w:rPr>
          <w:rFonts w:ascii="Arial Nova" w:hAnsi="Arial Nova" w:cs="Times New Roman"/>
          <w:sz w:val="24"/>
          <w:szCs w:val="24"/>
        </w:rPr>
        <w:t xml:space="preserve"> </w:t>
      </w:r>
      <w:r w:rsidR="00831E2C">
        <w:rPr>
          <w:rFonts w:ascii="Arial Nova" w:hAnsi="Arial Nova" w:cs="Times New Roman"/>
          <w:sz w:val="24"/>
          <w:szCs w:val="24"/>
        </w:rPr>
        <w:t>Ausente Ministra Ana Margarita Ríos Farjat.</w:t>
      </w:r>
    </w:p>
    <w:p w14:paraId="72BCBF8A" w14:textId="77777777" w:rsidR="00575CD2" w:rsidRDefault="00575CD2" w:rsidP="002B7C7C">
      <w:pPr>
        <w:spacing w:after="0" w:line="240" w:lineRule="auto"/>
        <w:jc w:val="both"/>
        <w:rPr>
          <w:rFonts w:ascii="Arial Nova" w:hAnsi="Arial Nova" w:cs="Times New Roman"/>
          <w:sz w:val="24"/>
          <w:szCs w:val="24"/>
        </w:rPr>
      </w:pPr>
    </w:p>
    <w:p w14:paraId="3013EF45" w14:textId="77777777" w:rsidR="00D51A62" w:rsidRDefault="00D51A62"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A8397C">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8F18F5">
      <w:pPr>
        <w:spacing w:after="0" w:line="240" w:lineRule="auto"/>
        <w:jc w:val="both"/>
        <w:rPr>
          <w:rFonts w:ascii="Arial Nova" w:hAnsi="Arial Nova" w:cs="Times New Roman"/>
          <w:sz w:val="24"/>
          <w:szCs w:val="24"/>
        </w:rPr>
      </w:pPr>
    </w:p>
    <w:sectPr w:rsidR="005651E4" w:rsidRPr="00E32435" w:rsidSect="00285452">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DD83" w14:textId="77777777" w:rsidR="00285452" w:rsidRDefault="00285452" w:rsidP="000A7E7B">
      <w:pPr>
        <w:spacing w:after="0" w:line="240" w:lineRule="auto"/>
      </w:pPr>
      <w:r>
        <w:separator/>
      </w:r>
    </w:p>
    <w:p w14:paraId="7F0FD270" w14:textId="77777777" w:rsidR="00285452" w:rsidRDefault="00285452"/>
  </w:endnote>
  <w:endnote w:type="continuationSeparator" w:id="0">
    <w:p w14:paraId="7EBC56DE" w14:textId="77777777" w:rsidR="00285452" w:rsidRDefault="00285452" w:rsidP="000A7E7B">
      <w:pPr>
        <w:spacing w:after="0" w:line="240" w:lineRule="auto"/>
      </w:pPr>
      <w:r>
        <w:continuationSeparator/>
      </w:r>
    </w:p>
    <w:p w14:paraId="1A5D778A" w14:textId="77777777" w:rsidR="00285452" w:rsidRDefault="00285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0F6EA506"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F574E0" w:rsidRPr="00F574E0">
          <w:rPr>
            <w:rFonts w:ascii="Arial Nova" w:hAnsi="Arial Nova" w:cs="Times New Roman"/>
            <w:b/>
            <w:bCs/>
            <w:noProof/>
            <w:color w:val="002060"/>
            <w:sz w:val="24"/>
            <w:szCs w:val="24"/>
            <w:lang w:val="es-ES"/>
          </w:rPr>
          <w:t>4</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0285" w14:textId="77777777" w:rsidR="00285452" w:rsidRDefault="00285452" w:rsidP="000A7E7B">
      <w:pPr>
        <w:spacing w:after="0" w:line="240" w:lineRule="auto"/>
      </w:pPr>
      <w:r>
        <w:separator/>
      </w:r>
    </w:p>
    <w:p w14:paraId="42586CF3" w14:textId="77777777" w:rsidR="00285452" w:rsidRDefault="00285452"/>
  </w:footnote>
  <w:footnote w:type="continuationSeparator" w:id="0">
    <w:p w14:paraId="416B3739" w14:textId="77777777" w:rsidR="00285452" w:rsidRDefault="00285452" w:rsidP="000A7E7B">
      <w:pPr>
        <w:spacing w:after="0" w:line="240" w:lineRule="auto"/>
      </w:pPr>
      <w:r>
        <w:continuationSeparator/>
      </w:r>
    </w:p>
    <w:p w14:paraId="49325D00" w14:textId="77777777" w:rsidR="00285452" w:rsidRDefault="00285452"/>
  </w:footnote>
  <w:footnote w:id="1">
    <w:p w14:paraId="190EDBEF" w14:textId="77777777" w:rsidR="0052700C" w:rsidRDefault="0052700C" w:rsidP="00C752D6">
      <w:pPr>
        <w:pStyle w:val="Textonotapie"/>
        <w:jc w:val="both"/>
        <w:rPr>
          <w:rFonts w:ascii="Arial Nova" w:hAnsi="Arial Nova" w:cs="Arial"/>
        </w:rPr>
      </w:pPr>
      <w:r w:rsidRPr="002B7C7C">
        <w:rPr>
          <w:rStyle w:val="Refdenotaalpie"/>
          <w:rFonts w:ascii="Arial Nova" w:hAnsi="Arial Nova"/>
        </w:rPr>
        <w:footnoteRef/>
      </w:r>
      <w:r w:rsidRPr="002B7C7C">
        <w:rPr>
          <w:rFonts w:ascii="Arial Nova" w:hAnsi="Arial Nova"/>
        </w:rPr>
        <w:t xml:space="preserve"> </w:t>
      </w:r>
      <w:r w:rsidRPr="002B7C7C">
        <w:rPr>
          <w:rFonts w:ascii="Arial Nova" w:hAnsi="Arial Nova" w:cs="Arial"/>
        </w:rPr>
        <w:t xml:space="preserve">Artículo 79. La autoridad que conozca del juicio de amparo deberá suplir la deficiencia de los conceptos de violación o agravios, en los casos siguientes: </w:t>
      </w:r>
    </w:p>
    <w:p w14:paraId="42E3BCC0" w14:textId="09E8326F" w:rsidR="002B7C7C" w:rsidRPr="002B7C7C" w:rsidRDefault="002B7C7C" w:rsidP="00C752D6">
      <w:pPr>
        <w:pStyle w:val="Textonotapie"/>
        <w:jc w:val="both"/>
        <w:rPr>
          <w:rFonts w:ascii="Arial Nova" w:hAnsi="Arial Nova" w:cs="Arial"/>
        </w:rPr>
      </w:pPr>
      <w:r>
        <w:rPr>
          <w:rFonts w:ascii="Arial Nova" w:hAnsi="Arial Nova" w:cs="Arial"/>
        </w:rPr>
        <w:t>(…)</w:t>
      </w:r>
    </w:p>
    <w:p w14:paraId="19211CDA" w14:textId="396CABFD" w:rsidR="0052700C" w:rsidRPr="002B7C7C" w:rsidRDefault="0052700C" w:rsidP="00C752D6">
      <w:pPr>
        <w:pStyle w:val="Textonotapie"/>
        <w:jc w:val="both"/>
        <w:rPr>
          <w:rFonts w:ascii="Arial Nova" w:hAnsi="Arial Nova"/>
        </w:rPr>
      </w:pPr>
      <w:r w:rsidRPr="002B7C7C">
        <w:rPr>
          <w:rFonts w:ascii="Arial Nova" w:hAnsi="Arial Nova" w:cs="Arial"/>
        </w:rPr>
        <w:t>VII. En cualquier materia, en favor de quienes por sus condiciones de pobreza o marginación se encuentren en clara desventaja social para su defensa en el juicio.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52C81777" w:rsidR="0048582B" w:rsidRPr="00046D48" w:rsidRDefault="0048582B" w:rsidP="002C5B74">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30AB542" w14:textId="3876410C" w:rsidR="00A67889" w:rsidRPr="00046D48" w:rsidRDefault="001C0675" w:rsidP="002C5B74">
    <w:pPr>
      <w:pStyle w:val="Encabezado"/>
      <w:ind w:left="3969"/>
      <w:jc w:val="right"/>
      <w:rPr>
        <w:rFonts w:ascii="Arial Nova" w:hAnsi="Arial Nova"/>
        <w:color w:val="002060"/>
        <w:sz w:val="20"/>
        <w:szCs w:val="20"/>
      </w:rPr>
    </w:pPr>
    <w:r>
      <w:rPr>
        <w:rFonts w:ascii="Arial Nova" w:hAnsi="Arial Nova" w:cs="Times New Roman"/>
        <w:b/>
        <w:bCs/>
        <w:color w:val="002060"/>
        <w:sz w:val="20"/>
        <w:szCs w:val="20"/>
      </w:rPr>
      <w:tab/>
    </w:r>
    <w:r w:rsidR="00F614D8">
      <w:rPr>
        <w:rFonts w:ascii="Arial Nova" w:hAnsi="Arial Nova" w:cs="Times New Roman"/>
        <w:b/>
        <w:bCs/>
        <w:color w:val="002060"/>
        <w:sz w:val="20"/>
        <w:szCs w:val="20"/>
      </w:rPr>
      <w:t>AMPARO DIRECTO EN REVISIÓN</w:t>
    </w:r>
    <w:r w:rsidR="00967F7D">
      <w:rPr>
        <w:rFonts w:ascii="Arial Nova" w:hAnsi="Arial Nova" w:cs="Times New Roman"/>
        <w:b/>
        <w:bCs/>
        <w:color w:val="002060"/>
        <w:sz w:val="20"/>
        <w:szCs w:val="20"/>
      </w:rPr>
      <w:t xml:space="preserve"> </w:t>
    </w:r>
    <w:r w:rsidR="00F614D8">
      <w:rPr>
        <w:rFonts w:ascii="Arial Nova" w:hAnsi="Arial Nova" w:cs="Times New Roman"/>
        <w:b/>
        <w:bCs/>
        <w:color w:val="002060"/>
        <w:sz w:val="20"/>
        <w:szCs w:val="20"/>
      </w:rPr>
      <w:t>1332/</w:t>
    </w:r>
    <w:r w:rsidR="00B97964">
      <w:rPr>
        <w:rFonts w:ascii="Arial Nova" w:hAnsi="Arial Nova" w:cs="Times New Roman"/>
        <w:b/>
        <w:bCs/>
        <w:color w:val="002060"/>
        <w:sz w:val="20"/>
        <w:szCs w:val="20"/>
      </w:rPr>
      <w:t>202</w:t>
    </w:r>
    <w:r w:rsidR="00C10761">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F68"/>
    <w:multiLevelType w:val="hybridMultilevel"/>
    <w:tmpl w:val="59F2123A"/>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1373071020">
    <w:abstractNumId w:val="3"/>
  </w:num>
  <w:num w:numId="2" w16cid:durableId="677731958">
    <w:abstractNumId w:val="1"/>
  </w:num>
  <w:num w:numId="3" w16cid:durableId="1668485072">
    <w:abstractNumId w:val="2"/>
  </w:num>
  <w:num w:numId="4" w16cid:durableId="162596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23"/>
    <w:rsid w:val="000015D9"/>
    <w:rsid w:val="000018A2"/>
    <w:rsid w:val="000044C6"/>
    <w:rsid w:val="00012771"/>
    <w:rsid w:val="00023E29"/>
    <w:rsid w:val="00024AF3"/>
    <w:rsid w:val="00026C6C"/>
    <w:rsid w:val="00037474"/>
    <w:rsid w:val="0004681E"/>
    <w:rsid w:val="00046D48"/>
    <w:rsid w:val="000474D9"/>
    <w:rsid w:val="000505E8"/>
    <w:rsid w:val="000614E2"/>
    <w:rsid w:val="000643FD"/>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0F558E"/>
    <w:rsid w:val="00100C8F"/>
    <w:rsid w:val="00101718"/>
    <w:rsid w:val="00102BBC"/>
    <w:rsid w:val="001058A3"/>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20A"/>
    <w:rsid w:val="001A59DF"/>
    <w:rsid w:val="001A67C7"/>
    <w:rsid w:val="001A7541"/>
    <w:rsid w:val="001A7B50"/>
    <w:rsid w:val="001B1219"/>
    <w:rsid w:val="001C01EC"/>
    <w:rsid w:val="001C0675"/>
    <w:rsid w:val="001C0F20"/>
    <w:rsid w:val="001C1906"/>
    <w:rsid w:val="001C63EB"/>
    <w:rsid w:val="001D13B2"/>
    <w:rsid w:val="001D21EB"/>
    <w:rsid w:val="001D4B75"/>
    <w:rsid w:val="001D5AB2"/>
    <w:rsid w:val="001E084E"/>
    <w:rsid w:val="001E25BF"/>
    <w:rsid w:val="001E577C"/>
    <w:rsid w:val="001E64C1"/>
    <w:rsid w:val="001E75D9"/>
    <w:rsid w:val="001F200E"/>
    <w:rsid w:val="001F2220"/>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85452"/>
    <w:rsid w:val="002866E2"/>
    <w:rsid w:val="002901D6"/>
    <w:rsid w:val="00291AB0"/>
    <w:rsid w:val="00292788"/>
    <w:rsid w:val="00296126"/>
    <w:rsid w:val="00296FCF"/>
    <w:rsid w:val="0029700B"/>
    <w:rsid w:val="002A09EA"/>
    <w:rsid w:val="002A6F62"/>
    <w:rsid w:val="002B0FC2"/>
    <w:rsid w:val="002B3826"/>
    <w:rsid w:val="002B6947"/>
    <w:rsid w:val="002B7C7C"/>
    <w:rsid w:val="002C0C35"/>
    <w:rsid w:val="002C53C2"/>
    <w:rsid w:val="002C5B74"/>
    <w:rsid w:val="002D0BA1"/>
    <w:rsid w:val="002D2054"/>
    <w:rsid w:val="002D458E"/>
    <w:rsid w:val="002D6E50"/>
    <w:rsid w:val="002E2DF0"/>
    <w:rsid w:val="002E4082"/>
    <w:rsid w:val="002E68E4"/>
    <w:rsid w:val="002F024C"/>
    <w:rsid w:val="002F1506"/>
    <w:rsid w:val="002F4387"/>
    <w:rsid w:val="002F5189"/>
    <w:rsid w:val="002F5E8B"/>
    <w:rsid w:val="002F6958"/>
    <w:rsid w:val="00300F95"/>
    <w:rsid w:val="00302903"/>
    <w:rsid w:val="00315E53"/>
    <w:rsid w:val="00320183"/>
    <w:rsid w:val="003213F0"/>
    <w:rsid w:val="00322A63"/>
    <w:rsid w:val="00323C00"/>
    <w:rsid w:val="00324F35"/>
    <w:rsid w:val="003266E1"/>
    <w:rsid w:val="0032693A"/>
    <w:rsid w:val="00326989"/>
    <w:rsid w:val="00332C63"/>
    <w:rsid w:val="00333908"/>
    <w:rsid w:val="00334473"/>
    <w:rsid w:val="00340154"/>
    <w:rsid w:val="00340F79"/>
    <w:rsid w:val="00344F45"/>
    <w:rsid w:val="003456DC"/>
    <w:rsid w:val="003464B8"/>
    <w:rsid w:val="003468DB"/>
    <w:rsid w:val="00346BA5"/>
    <w:rsid w:val="00346BA6"/>
    <w:rsid w:val="00354BF0"/>
    <w:rsid w:val="003634E8"/>
    <w:rsid w:val="003649F3"/>
    <w:rsid w:val="00366734"/>
    <w:rsid w:val="00366748"/>
    <w:rsid w:val="00374B5E"/>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68"/>
    <w:rsid w:val="003B55DB"/>
    <w:rsid w:val="003B6A72"/>
    <w:rsid w:val="003C7974"/>
    <w:rsid w:val="003D4B08"/>
    <w:rsid w:val="003D642E"/>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1365"/>
    <w:rsid w:val="004239C9"/>
    <w:rsid w:val="00435177"/>
    <w:rsid w:val="0043637B"/>
    <w:rsid w:val="0044166C"/>
    <w:rsid w:val="00444CFB"/>
    <w:rsid w:val="00447670"/>
    <w:rsid w:val="0044784E"/>
    <w:rsid w:val="004478A2"/>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00C"/>
    <w:rsid w:val="00527634"/>
    <w:rsid w:val="00532133"/>
    <w:rsid w:val="0053735F"/>
    <w:rsid w:val="00540AA6"/>
    <w:rsid w:val="00544056"/>
    <w:rsid w:val="00550380"/>
    <w:rsid w:val="0055469E"/>
    <w:rsid w:val="00554BB3"/>
    <w:rsid w:val="00554CAF"/>
    <w:rsid w:val="005552DB"/>
    <w:rsid w:val="00564FF0"/>
    <w:rsid w:val="005651E4"/>
    <w:rsid w:val="005707EA"/>
    <w:rsid w:val="00570D0D"/>
    <w:rsid w:val="005723A9"/>
    <w:rsid w:val="0057274B"/>
    <w:rsid w:val="0057369D"/>
    <w:rsid w:val="00575CD2"/>
    <w:rsid w:val="00577488"/>
    <w:rsid w:val="005776C4"/>
    <w:rsid w:val="00583C0F"/>
    <w:rsid w:val="00584C2F"/>
    <w:rsid w:val="00587CCA"/>
    <w:rsid w:val="00593D25"/>
    <w:rsid w:val="005962C5"/>
    <w:rsid w:val="005A31A2"/>
    <w:rsid w:val="005A400D"/>
    <w:rsid w:val="005A4594"/>
    <w:rsid w:val="005A4D99"/>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4A21"/>
    <w:rsid w:val="005D668C"/>
    <w:rsid w:val="005D7615"/>
    <w:rsid w:val="005D7AF6"/>
    <w:rsid w:val="005D7D25"/>
    <w:rsid w:val="005E054A"/>
    <w:rsid w:val="005F33A7"/>
    <w:rsid w:val="005F6321"/>
    <w:rsid w:val="005F6734"/>
    <w:rsid w:val="0060715F"/>
    <w:rsid w:val="006077FD"/>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3064"/>
    <w:rsid w:val="00674886"/>
    <w:rsid w:val="0068196C"/>
    <w:rsid w:val="00681F98"/>
    <w:rsid w:val="006916BA"/>
    <w:rsid w:val="00694131"/>
    <w:rsid w:val="006A0C3F"/>
    <w:rsid w:val="006A366D"/>
    <w:rsid w:val="006A584C"/>
    <w:rsid w:val="006B2893"/>
    <w:rsid w:val="006B6B5E"/>
    <w:rsid w:val="006B710C"/>
    <w:rsid w:val="006B7665"/>
    <w:rsid w:val="006C15EF"/>
    <w:rsid w:val="006C2052"/>
    <w:rsid w:val="006D203A"/>
    <w:rsid w:val="006D7779"/>
    <w:rsid w:val="006D7DF3"/>
    <w:rsid w:val="006E0F21"/>
    <w:rsid w:val="006E151E"/>
    <w:rsid w:val="006E1879"/>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4A9E"/>
    <w:rsid w:val="007853E6"/>
    <w:rsid w:val="00785542"/>
    <w:rsid w:val="00796584"/>
    <w:rsid w:val="00797413"/>
    <w:rsid w:val="007A0CD1"/>
    <w:rsid w:val="007A1AC0"/>
    <w:rsid w:val="007A286B"/>
    <w:rsid w:val="007A33F2"/>
    <w:rsid w:val="007A4767"/>
    <w:rsid w:val="007A5815"/>
    <w:rsid w:val="007A5A9F"/>
    <w:rsid w:val="007A7085"/>
    <w:rsid w:val="007B02B5"/>
    <w:rsid w:val="007B25BC"/>
    <w:rsid w:val="007B27CA"/>
    <w:rsid w:val="007B346F"/>
    <w:rsid w:val="007B5185"/>
    <w:rsid w:val="007C079A"/>
    <w:rsid w:val="007D2459"/>
    <w:rsid w:val="007D500D"/>
    <w:rsid w:val="007D5D5D"/>
    <w:rsid w:val="007E2277"/>
    <w:rsid w:val="007E67CA"/>
    <w:rsid w:val="007F270C"/>
    <w:rsid w:val="007F3616"/>
    <w:rsid w:val="00803BB6"/>
    <w:rsid w:val="008109A5"/>
    <w:rsid w:val="00813028"/>
    <w:rsid w:val="008134BE"/>
    <w:rsid w:val="0081545D"/>
    <w:rsid w:val="0082277D"/>
    <w:rsid w:val="00823513"/>
    <w:rsid w:val="0082358F"/>
    <w:rsid w:val="008244D4"/>
    <w:rsid w:val="00825464"/>
    <w:rsid w:val="00831E2C"/>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870A6"/>
    <w:rsid w:val="00890B9D"/>
    <w:rsid w:val="00892BD5"/>
    <w:rsid w:val="00894197"/>
    <w:rsid w:val="00894EF7"/>
    <w:rsid w:val="008977C2"/>
    <w:rsid w:val="008A0670"/>
    <w:rsid w:val="008A2FC6"/>
    <w:rsid w:val="008A3EA0"/>
    <w:rsid w:val="008A55C8"/>
    <w:rsid w:val="008B0FEE"/>
    <w:rsid w:val="008C1837"/>
    <w:rsid w:val="008C18FA"/>
    <w:rsid w:val="008C2656"/>
    <w:rsid w:val="008C6934"/>
    <w:rsid w:val="008C79D6"/>
    <w:rsid w:val="008E2BAC"/>
    <w:rsid w:val="008E342F"/>
    <w:rsid w:val="008F18F5"/>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67F7D"/>
    <w:rsid w:val="00981254"/>
    <w:rsid w:val="00983C16"/>
    <w:rsid w:val="00985B95"/>
    <w:rsid w:val="00986832"/>
    <w:rsid w:val="00987B58"/>
    <w:rsid w:val="00993743"/>
    <w:rsid w:val="00994661"/>
    <w:rsid w:val="009A7F2E"/>
    <w:rsid w:val="009B0BCE"/>
    <w:rsid w:val="009B1C8D"/>
    <w:rsid w:val="009B4895"/>
    <w:rsid w:val="009C12DD"/>
    <w:rsid w:val="009C33C3"/>
    <w:rsid w:val="009C507B"/>
    <w:rsid w:val="009D0A51"/>
    <w:rsid w:val="009D4D4F"/>
    <w:rsid w:val="009E1DB0"/>
    <w:rsid w:val="009E399D"/>
    <w:rsid w:val="009E501E"/>
    <w:rsid w:val="009F092B"/>
    <w:rsid w:val="009F435E"/>
    <w:rsid w:val="009F4D4B"/>
    <w:rsid w:val="009F54C9"/>
    <w:rsid w:val="009F5A78"/>
    <w:rsid w:val="009F65DC"/>
    <w:rsid w:val="00A02821"/>
    <w:rsid w:val="00A030F8"/>
    <w:rsid w:val="00A06BD8"/>
    <w:rsid w:val="00A1353A"/>
    <w:rsid w:val="00A14187"/>
    <w:rsid w:val="00A2399F"/>
    <w:rsid w:val="00A23FF9"/>
    <w:rsid w:val="00A24797"/>
    <w:rsid w:val="00A2652C"/>
    <w:rsid w:val="00A26C35"/>
    <w:rsid w:val="00A27E5F"/>
    <w:rsid w:val="00A335F8"/>
    <w:rsid w:val="00A337B9"/>
    <w:rsid w:val="00A34118"/>
    <w:rsid w:val="00A356D8"/>
    <w:rsid w:val="00A36297"/>
    <w:rsid w:val="00A372BA"/>
    <w:rsid w:val="00A37CC4"/>
    <w:rsid w:val="00A46110"/>
    <w:rsid w:val="00A536CE"/>
    <w:rsid w:val="00A54512"/>
    <w:rsid w:val="00A60A42"/>
    <w:rsid w:val="00A61235"/>
    <w:rsid w:val="00A61E50"/>
    <w:rsid w:val="00A64273"/>
    <w:rsid w:val="00A67889"/>
    <w:rsid w:val="00A71F20"/>
    <w:rsid w:val="00A762AD"/>
    <w:rsid w:val="00A8397C"/>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2F59"/>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735"/>
    <w:rsid w:val="00B45F76"/>
    <w:rsid w:val="00B46855"/>
    <w:rsid w:val="00B46A1E"/>
    <w:rsid w:val="00B4724D"/>
    <w:rsid w:val="00B47781"/>
    <w:rsid w:val="00B50068"/>
    <w:rsid w:val="00B504A2"/>
    <w:rsid w:val="00B5054E"/>
    <w:rsid w:val="00B50628"/>
    <w:rsid w:val="00B5357A"/>
    <w:rsid w:val="00B56E9D"/>
    <w:rsid w:val="00B605B9"/>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97964"/>
    <w:rsid w:val="00BA232A"/>
    <w:rsid w:val="00BA4D8A"/>
    <w:rsid w:val="00BB001B"/>
    <w:rsid w:val="00BB020E"/>
    <w:rsid w:val="00BB72CB"/>
    <w:rsid w:val="00BC3D1C"/>
    <w:rsid w:val="00BC6626"/>
    <w:rsid w:val="00BD416C"/>
    <w:rsid w:val="00BD45D2"/>
    <w:rsid w:val="00BE0015"/>
    <w:rsid w:val="00BE71DC"/>
    <w:rsid w:val="00BF1EF4"/>
    <w:rsid w:val="00BF3067"/>
    <w:rsid w:val="00BF452E"/>
    <w:rsid w:val="00BF6B4B"/>
    <w:rsid w:val="00BF73A8"/>
    <w:rsid w:val="00C00D9C"/>
    <w:rsid w:val="00C00F77"/>
    <w:rsid w:val="00C011E2"/>
    <w:rsid w:val="00C05E1C"/>
    <w:rsid w:val="00C10761"/>
    <w:rsid w:val="00C11633"/>
    <w:rsid w:val="00C1232B"/>
    <w:rsid w:val="00C12CB3"/>
    <w:rsid w:val="00C16101"/>
    <w:rsid w:val="00C17B4E"/>
    <w:rsid w:val="00C23036"/>
    <w:rsid w:val="00C23B5A"/>
    <w:rsid w:val="00C23EE5"/>
    <w:rsid w:val="00C2651E"/>
    <w:rsid w:val="00C31F7D"/>
    <w:rsid w:val="00C35D9C"/>
    <w:rsid w:val="00C37896"/>
    <w:rsid w:val="00C3799D"/>
    <w:rsid w:val="00C40192"/>
    <w:rsid w:val="00C406C9"/>
    <w:rsid w:val="00C40B5E"/>
    <w:rsid w:val="00C410B5"/>
    <w:rsid w:val="00C41125"/>
    <w:rsid w:val="00C415E5"/>
    <w:rsid w:val="00C42B98"/>
    <w:rsid w:val="00C4629A"/>
    <w:rsid w:val="00C5383F"/>
    <w:rsid w:val="00C6021D"/>
    <w:rsid w:val="00C61315"/>
    <w:rsid w:val="00C62218"/>
    <w:rsid w:val="00C6376D"/>
    <w:rsid w:val="00C64F82"/>
    <w:rsid w:val="00C67B64"/>
    <w:rsid w:val="00C73136"/>
    <w:rsid w:val="00C74B44"/>
    <w:rsid w:val="00C752D6"/>
    <w:rsid w:val="00C80819"/>
    <w:rsid w:val="00C835B2"/>
    <w:rsid w:val="00C86185"/>
    <w:rsid w:val="00C87D99"/>
    <w:rsid w:val="00C94C16"/>
    <w:rsid w:val="00C97793"/>
    <w:rsid w:val="00CA3F75"/>
    <w:rsid w:val="00CA4303"/>
    <w:rsid w:val="00CA5857"/>
    <w:rsid w:val="00CB440E"/>
    <w:rsid w:val="00CC5293"/>
    <w:rsid w:val="00CD3037"/>
    <w:rsid w:val="00CD5BC9"/>
    <w:rsid w:val="00CE0FA8"/>
    <w:rsid w:val="00CE21AD"/>
    <w:rsid w:val="00CE33EB"/>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34B4E"/>
    <w:rsid w:val="00D4428F"/>
    <w:rsid w:val="00D51A62"/>
    <w:rsid w:val="00D54F58"/>
    <w:rsid w:val="00D57F00"/>
    <w:rsid w:val="00D64EAC"/>
    <w:rsid w:val="00D67FAD"/>
    <w:rsid w:val="00D71BDE"/>
    <w:rsid w:val="00D720C6"/>
    <w:rsid w:val="00D75C58"/>
    <w:rsid w:val="00D775F4"/>
    <w:rsid w:val="00D83116"/>
    <w:rsid w:val="00D83391"/>
    <w:rsid w:val="00D92A83"/>
    <w:rsid w:val="00D95714"/>
    <w:rsid w:val="00D95C95"/>
    <w:rsid w:val="00D969A8"/>
    <w:rsid w:val="00D96E77"/>
    <w:rsid w:val="00DA5473"/>
    <w:rsid w:val="00DA6AE7"/>
    <w:rsid w:val="00DA6B8A"/>
    <w:rsid w:val="00DA7975"/>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0202"/>
    <w:rsid w:val="00DF65FC"/>
    <w:rsid w:val="00DF7C53"/>
    <w:rsid w:val="00E00285"/>
    <w:rsid w:val="00E00A82"/>
    <w:rsid w:val="00E02AFF"/>
    <w:rsid w:val="00E170FF"/>
    <w:rsid w:val="00E20849"/>
    <w:rsid w:val="00E22045"/>
    <w:rsid w:val="00E229FD"/>
    <w:rsid w:val="00E260E5"/>
    <w:rsid w:val="00E31613"/>
    <w:rsid w:val="00E318A5"/>
    <w:rsid w:val="00E32435"/>
    <w:rsid w:val="00E32AAE"/>
    <w:rsid w:val="00E36FDF"/>
    <w:rsid w:val="00E4199C"/>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D53AB"/>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574E0"/>
    <w:rsid w:val="00F605C3"/>
    <w:rsid w:val="00F614D8"/>
    <w:rsid w:val="00F63276"/>
    <w:rsid w:val="00F655A6"/>
    <w:rsid w:val="00F6655B"/>
    <w:rsid w:val="00F66F10"/>
    <w:rsid w:val="00F6787C"/>
    <w:rsid w:val="00F67D19"/>
    <w:rsid w:val="00F72AB2"/>
    <w:rsid w:val="00F751FF"/>
    <w:rsid w:val="00F80810"/>
    <w:rsid w:val="00F81918"/>
    <w:rsid w:val="00F849EB"/>
    <w:rsid w:val="00F91611"/>
    <w:rsid w:val="00F92D08"/>
    <w:rsid w:val="00F93292"/>
    <w:rsid w:val="00F9544C"/>
    <w:rsid w:val="00FA10DA"/>
    <w:rsid w:val="00FA60E5"/>
    <w:rsid w:val="00FA74B9"/>
    <w:rsid w:val="00FB022F"/>
    <w:rsid w:val="00FB3C76"/>
    <w:rsid w:val="00FB544E"/>
    <w:rsid w:val="00FC260E"/>
    <w:rsid w:val="00FD14FB"/>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qFormat/>
    <w:locked/>
    <w:rsid w:val="00A337B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DB664-3704-484E-B683-8681E4C5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6581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cp:revision>
  <cp:lastPrinted>2021-06-08T20:16:00Z</cp:lastPrinted>
  <dcterms:created xsi:type="dcterms:W3CDTF">2024-03-06T20:41:00Z</dcterms:created>
  <dcterms:modified xsi:type="dcterms:W3CDTF">2024-03-19T17:55:00Z</dcterms:modified>
</cp:coreProperties>
</file>