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B5FC7" w14:textId="04FEC849" w:rsidR="001624A8" w:rsidRPr="00B64D08" w:rsidRDefault="001624A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56598F" w14:textId="77777777" w:rsidR="00B64D08" w:rsidRP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6DE549D4" w:rsidR="00EE029D" w:rsidRPr="00046D48" w:rsidRDefault="00FF16E3"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ROBO. </w:t>
      </w:r>
      <w:r w:rsidR="00884936">
        <w:rPr>
          <w:rFonts w:ascii="Arial Nova" w:hAnsi="Arial Nova" w:cs="Times New Roman"/>
          <w:b/>
          <w:bCs/>
          <w:smallCaps/>
          <w:color w:val="002060"/>
        </w:rPr>
        <w:t>ES VÁLIDO INCREMENTAR LA</w:t>
      </w:r>
      <w:r>
        <w:rPr>
          <w:rFonts w:ascii="Arial Nova" w:hAnsi="Arial Nova" w:cs="Times New Roman"/>
          <w:b/>
          <w:bCs/>
          <w:smallCaps/>
          <w:color w:val="002060"/>
        </w:rPr>
        <w:t>S</w:t>
      </w:r>
      <w:r w:rsidR="00884936">
        <w:rPr>
          <w:rFonts w:ascii="Arial Nova" w:hAnsi="Arial Nova" w:cs="Times New Roman"/>
          <w:b/>
          <w:bCs/>
          <w:smallCaps/>
          <w:color w:val="002060"/>
        </w:rPr>
        <w:t xml:space="preserve"> PENA</w:t>
      </w:r>
      <w:r>
        <w:rPr>
          <w:rFonts w:ascii="Arial Nova" w:hAnsi="Arial Nova" w:cs="Times New Roman"/>
          <w:b/>
          <w:bCs/>
          <w:smallCaps/>
          <w:color w:val="002060"/>
        </w:rPr>
        <w:t xml:space="preserve">S PARA SANCIONARLO </w:t>
      </w:r>
      <w:r w:rsidR="00884936">
        <w:rPr>
          <w:rFonts w:ascii="Arial Nova" w:hAnsi="Arial Nova" w:cs="Times New Roman"/>
          <w:b/>
          <w:bCs/>
          <w:smallCaps/>
          <w:color w:val="002060"/>
        </w:rPr>
        <w:t xml:space="preserve">CUANDO SE COMETE CON VIOLENCIA Y EN UN TRANSPORTE PÚBLICO </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1D8F4E46" w:rsidR="00832148" w:rsidRPr="001624A8" w:rsidRDefault="000018A2" w:rsidP="00884936">
      <w:pPr>
        <w:shd w:val="clear" w:color="auto" w:fill="EDEDED" w:themeFill="accent3" w:themeFillTint="33"/>
        <w:spacing w:after="0" w:line="240" w:lineRule="auto"/>
        <w:ind w:left="3686"/>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884936">
        <w:rPr>
          <w:rFonts w:ascii="Arial Nova" w:hAnsi="Arial Nova" w:cs="Times New Roman"/>
          <w:b/>
          <w:bCs/>
          <w:smallCaps/>
          <w:color w:val="002060"/>
        </w:rPr>
        <w:t>a Ana Margarita Ríos Farjat</w:t>
      </w:r>
      <w:r w:rsidR="00B92B45" w:rsidRPr="001624A8">
        <w:rPr>
          <w:rFonts w:ascii="Arial Nova" w:hAnsi="Arial Nova" w:cs="Times New Roman"/>
          <w:smallCaps/>
          <w:color w:val="002060"/>
        </w:rPr>
        <w:t>.</w:t>
      </w:r>
    </w:p>
    <w:p w14:paraId="63E065DC" w14:textId="329B672B" w:rsidR="00832148" w:rsidRDefault="000018A2" w:rsidP="00884936">
      <w:pPr>
        <w:shd w:val="clear" w:color="auto" w:fill="EDEDED" w:themeFill="accent3" w:themeFillTint="33"/>
        <w:spacing w:after="0" w:line="240" w:lineRule="auto"/>
        <w:ind w:left="3686"/>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300F95" w:rsidRPr="001624A8">
        <w:rPr>
          <w:rFonts w:ascii="Arial Nova" w:hAnsi="Arial Nova" w:cs="Times New Roman"/>
          <w:smallCaps/>
          <w:color w:val="002060"/>
        </w:rPr>
        <w:t>o</w:t>
      </w:r>
      <w:r w:rsidRPr="001624A8">
        <w:rPr>
          <w:rFonts w:ascii="Arial Nova" w:hAnsi="Arial Nova" w:cs="Times New Roman"/>
          <w:smallCaps/>
          <w:color w:val="002060"/>
        </w:rPr>
        <w:t xml:space="preserve">: </w:t>
      </w:r>
      <w:r w:rsidR="00884936">
        <w:rPr>
          <w:rFonts w:ascii="Arial Nova" w:hAnsi="Arial Nova" w:cs="Times New Roman"/>
          <w:smallCaps/>
          <w:color w:val="002060"/>
        </w:rPr>
        <w:t>Saúl Armando Patiño Lara</w:t>
      </w:r>
      <w:r w:rsidR="00B92B45" w:rsidRPr="001624A8">
        <w:rPr>
          <w:rFonts w:ascii="Arial Nova" w:hAnsi="Arial Nova" w:cs="Times New Roman"/>
          <w:smallCaps/>
          <w:color w:val="002060"/>
        </w:rPr>
        <w:t>.</w:t>
      </w:r>
      <w:bookmarkEnd w:id="2"/>
    </w:p>
    <w:p w14:paraId="5255C1D6" w14:textId="58AC7CB3" w:rsidR="0038791E" w:rsidRPr="0038791E" w:rsidRDefault="004479A5" w:rsidP="00884936">
      <w:pPr>
        <w:shd w:val="clear" w:color="auto" w:fill="EDEDED" w:themeFill="accent3" w:themeFillTint="33"/>
        <w:spacing w:after="0" w:line="240" w:lineRule="auto"/>
        <w:ind w:left="3686"/>
        <w:jc w:val="right"/>
        <w:rPr>
          <w:rFonts w:ascii="Arial Nova" w:hAnsi="Arial Nova" w:cs="Times New Roman"/>
          <w:smallCaps/>
          <w:color w:val="002060"/>
        </w:rPr>
      </w:pPr>
      <w:r>
        <w:rPr>
          <w:rFonts w:ascii="Arial Nova" w:hAnsi="Arial Nova" w:cs="Times New Roman"/>
          <w:smallCaps/>
          <w:color w:val="002060"/>
        </w:rPr>
        <w:t>Colaboró</w:t>
      </w:r>
      <w:r w:rsidR="0038791E" w:rsidRPr="0038791E">
        <w:rPr>
          <w:rFonts w:ascii="Arial Nova" w:hAnsi="Arial Nova" w:cs="Times New Roman"/>
          <w:smallCaps/>
          <w:color w:val="002060"/>
        </w:rPr>
        <w:t xml:space="preserve">: </w:t>
      </w:r>
      <w:r w:rsidR="00884936">
        <w:rPr>
          <w:rFonts w:ascii="Arial Nova" w:hAnsi="Arial Nova" w:cs="Times New Roman"/>
          <w:smallCaps/>
          <w:color w:val="002060"/>
        </w:rPr>
        <w:t>Zulma Marlene Lara Ceballos</w:t>
      </w:r>
      <w:r>
        <w:rPr>
          <w:rFonts w:ascii="Arial Nova" w:hAnsi="Arial Nova" w:cs="Times New Roman"/>
          <w:smallCaps/>
          <w:color w:val="002060"/>
        </w:rPr>
        <w:t>.</w:t>
      </w:r>
    </w:p>
    <w:p w14:paraId="1C0B4F90" w14:textId="6219B853" w:rsidR="001C01EC" w:rsidRPr="004C2D17" w:rsidRDefault="001C01EC" w:rsidP="00884936">
      <w:pPr>
        <w:shd w:val="clear" w:color="auto" w:fill="EDEDED" w:themeFill="accent3" w:themeFillTint="33"/>
        <w:spacing w:after="0" w:line="240" w:lineRule="auto"/>
        <w:ind w:left="3686"/>
        <w:jc w:val="right"/>
        <w:rPr>
          <w:rFonts w:ascii="Arial Nova" w:hAnsi="Arial Nova" w:cs="Times New Roman"/>
          <w:smallCaps/>
        </w:rPr>
      </w:pPr>
      <w:bookmarkStart w:id="3" w:name="_Hlk133506816"/>
      <w:r w:rsidRPr="001624A8">
        <w:rPr>
          <w:rFonts w:ascii="Arial Nova" w:hAnsi="Arial Nova" w:cs="Times New Roman"/>
          <w:smallCaps/>
          <w:color w:val="002060"/>
        </w:rPr>
        <w:t>Expediente: Amparo</w:t>
      </w:r>
      <w:r w:rsidR="00884936">
        <w:rPr>
          <w:rFonts w:ascii="Arial Nova" w:hAnsi="Arial Nova" w:cs="Times New Roman"/>
          <w:smallCaps/>
          <w:color w:val="002060"/>
        </w:rPr>
        <w:t xml:space="preserve"> Directo</w:t>
      </w:r>
      <w:r w:rsidRPr="001624A8">
        <w:rPr>
          <w:rFonts w:ascii="Arial Nova" w:hAnsi="Arial Nova" w:cs="Times New Roman"/>
          <w:smallCaps/>
          <w:color w:val="002060"/>
        </w:rPr>
        <w:t xml:space="preserve">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884936">
        <w:rPr>
          <w:rFonts w:ascii="Arial Nova" w:hAnsi="Arial Nova" w:cs="Times New Roman"/>
          <w:smallCaps/>
          <w:color w:val="002060"/>
        </w:rPr>
        <w:t>6123</w:t>
      </w:r>
      <w:r w:rsidRPr="001624A8">
        <w:rPr>
          <w:rFonts w:ascii="Arial Nova" w:hAnsi="Arial Nova" w:cs="Times New Roman"/>
          <w:smallCaps/>
          <w:color w:val="002060"/>
        </w:rPr>
        <w:t>/202</w:t>
      </w:r>
      <w:r w:rsidR="0038791E">
        <w:rPr>
          <w:rFonts w:ascii="Arial Nova" w:hAnsi="Arial Nova" w:cs="Times New Roman"/>
          <w:smallCaps/>
          <w:color w:val="002060"/>
        </w:rPr>
        <w:t>3</w:t>
      </w:r>
      <w:r w:rsidRPr="004C2D17">
        <w:rPr>
          <w:rFonts w:ascii="Arial Nova" w:hAnsi="Arial Nova" w:cs="Times New Roman"/>
          <w:smallCaps/>
        </w:rPr>
        <w:t>.</w:t>
      </w:r>
      <w:bookmarkEnd w:id="1"/>
      <w:bookmarkEnd w:id="3"/>
    </w:p>
    <w:p w14:paraId="4ED83672" w14:textId="77777777" w:rsidR="001C01EC" w:rsidRDefault="001C01EC" w:rsidP="00884936">
      <w:pPr>
        <w:spacing w:after="0" w:line="240" w:lineRule="auto"/>
        <w:ind w:left="2410"/>
        <w:jc w:val="center"/>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6A36C992" w14:textId="3685E156" w:rsidR="00985FA0" w:rsidRPr="00985FA0" w:rsidRDefault="00FF16E3" w:rsidP="00985FA0">
            <w:pPr>
              <w:ind w:right="49"/>
              <w:jc w:val="both"/>
              <w:rPr>
                <w:rFonts w:ascii="Arial Nova" w:hAnsi="Arial Nova" w:cs="Times New Roman"/>
              </w:rPr>
            </w:pPr>
            <w:r>
              <w:rPr>
                <w:rFonts w:ascii="Arial Nova" w:hAnsi="Arial Nova" w:cs="Times New Roman"/>
              </w:rPr>
              <w:t>U</w:t>
            </w:r>
            <w:r w:rsidR="00985FA0" w:rsidRPr="00985FA0">
              <w:rPr>
                <w:rFonts w:ascii="Arial Nova" w:hAnsi="Arial Nova" w:cs="Times New Roman"/>
              </w:rPr>
              <w:t xml:space="preserve">na persona que, con el uso de una navaja y palabras altisonantes, exigió a </w:t>
            </w:r>
            <w:r w:rsidR="00A021DC">
              <w:rPr>
                <w:rFonts w:ascii="Arial Nova" w:hAnsi="Arial Nova" w:cs="Times New Roman"/>
              </w:rPr>
              <w:t>las personas</w:t>
            </w:r>
            <w:r w:rsidR="00985FA0" w:rsidRPr="00985FA0">
              <w:rPr>
                <w:rFonts w:ascii="Arial Nova" w:hAnsi="Arial Nova" w:cs="Times New Roman"/>
              </w:rPr>
              <w:t xml:space="preserve"> que se encontraban a bordo de una camioneta del transporte público </w:t>
            </w:r>
            <w:r w:rsidR="00A021DC">
              <w:rPr>
                <w:rFonts w:ascii="Arial Nova" w:hAnsi="Arial Nova" w:cs="Times New Roman"/>
              </w:rPr>
              <w:t xml:space="preserve">de pasajeros </w:t>
            </w:r>
            <w:r w:rsidR="00985FA0" w:rsidRPr="00985FA0">
              <w:rPr>
                <w:rFonts w:ascii="Arial Nova" w:hAnsi="Arial Nova" w:cs="Times New Roman"/>
              </w:rPr>
              <w:t>en el Estado de México que le entregaran sus pertenencias. Inmediatamente la persona fue detenida y sentenciada a 26 años y 3 meses de prisión por el delito de robo agravado, al haberse cometido en un transporte público de pasajeros y con el uso de violencia moral, decisión que fue modificada en apelación, únicamente para reducir la pena de prisión.</w:t>
            </w:r>
          </w:p>
          <w:p w14:paraId="52DFCE1D" w14:textId="77777777" w:rsidR="00985FA0" w:rsidRPr="00985FA0" w:rsidRDefault="00985FA0" w:rsidP="00985FA0">
            <w:pPr>
              <w:jc w:val="both"/>
              <w:rPr>
                <w:rFonts w:ascii="Arial Nova" w:hAnsi="Arial Nova" w:cs="Times New Roman"/>
              </w:rPr>
            </w:pPr>
          </w:p>
          <w:p w14:paraId="6EF313D6" w14:textId="43D25DC5" w:rsidR="00985FA0" w:rsidRDefault="00985FA0" w:rsidP="00985FA0">
            <w:pPr>
              <w:jc w:val="both"/>
              <w:rPr>
                <w:rFonts w:ascii="Arial Nova" w:hAnsi="Arial Nova" w:cs="Times New Roman"/>
              </w:rPr>
            </w:pPr>
            <w:r w:rsidRPr="00985FA0">
              <w:rPr>
                <w:rFonts w:ascii="Arial Nova" w:hAnsi="Arial Nova" w:cs="Times New Roman"/>
              </w:rPr>
              <w:t xml:space="preserve">Inconforme, la persona sentenciada promovió juicio de amparo directo en el que reclamó la inconstitucionalidad de las fracciones I, inciso b), y XVIII, párrafo primero, del artículo 290, del Código Penal </w:t>
            </w:r>
            <w:r w:rsidR="00B405C3">
              <w:rPr>
                <w:rFonts w:ascii="Arial Nova" w:hAnsi="Arial Nova" w:cs="Times New Roman"/>
              </w:rPr>
              <w:t>d</w:t>
            </w:r>
            <w:r w:rsidRPr="00985FA0">
              <w:rPr>
                <w:rFonts w:ascii="Arial Nova" w:hAnsi="Arial Nova" w:cs="Times New Roman"/>
              </w:rPr>
              <w:t>el Estado de México que prevén como circunstancias que agravan las penas, que el delito de robo se cometa en transporte público de pasajeros y con violencia. Lo anterior, porque a su juicio son ambiguas y generan una doble pena, sin embargo, le fue negada la protección constitucional. En contra de esa decisión el quejoso interpuso un recurso de revisión.</w:t>
            </w:r>
          </w:p>
          <w:p w14:paraId="7786A9E5" w14:textId="0430B905" w:rsidR="00985FA0" w:rsidRDefault="00985FA0" w:rsidP="00985FA0">
            <w:pPr>
              <w:jc w:val="both"/>
              <w:rPr>
                <w:rFonts w:ascii="Arial Nova" w:hAnsi="Arial Nova" w:cs="Times New Roman"/>
              </w:rPr>
            </w:pPr>
          </w:p>
          <w:p w14:paraId="38BD8D17" w14:textId="78642422" w:rsidR="00985FA0" w:rsidRDefault="00985FA0" w:rsidP="00985FA0">
            <w:pPr>
              <w:jc w:val="both"/>
              <w:rPr>
                <w:rFonts w:ascii="Arial Nova" w:hAnsi="Arial Nova" w:cs="Times New Roman"/>
              </w:rPr>
            </w:pPr>
            <w:r w:rsidRPr="00985FA0">
              <w:rPr>
                <w:rFonts w:ascii="Arial Nova" w:hAnsi="Arial Nova" w:cs="Times New Roman"/>
              </w:rPr>
              <w:t>En su fallo, el alto tribunal reiteró que las agravantes del delito no sancionan en dos ocasiones la misma conducta, ni significan un doble procesamiento por el mismo hecho, sino que conllevan la aplicación de penas adicionales cuando se presentan determinadas circunstancias que afectan a las víctimas más allá de su patrimonio y ameritan un mayor reproche social.</w:t>
            </w:r>
          </w:p>
          <w:p w14:paraId="78C0EE53" w14:textId="77777777" w:rsidR="00FF16E3" w:rsidRDefault="00FF16E3" w:rsidP="00985FA0">
            <w:pPr>
              <w:jc w:val="both"/>
              <w:rPr>
                <w:rFonts w:ascii="Arial Nova" w:hAnsi="Arial Nova" w:cs="Times New Roman"/>
              </w:rPr>
            </w:pPr>
          </w:p>
          <w:p w14:paraId="118A1616" w14:textId="090187B7" w:rsidR="00FF16E3" w:rsidRPr="00985FA0" w:rsidRDefault="00FF16E3" w:rsidP="00985FA0">
            <w:pPr>
              <w:jc w:val="both"/>
              <w:rPr>
                <w:rFonts w:ascii="Arial Nova" w:hAnsi="Arial Nova" w:cs="Times New Roman"/>
              </w:rPr>
            </w:pPr>
            <w:r w:rsidRPr="00FF16E3">
              <w:rPr>
                <w:rFonts w:ascii="Arial Nova" w:hAnsi="Arial Nova" w:cs="Times New Roman"/>
              </w:rPr>
              <w:t>Por otra parte, la Sala deliberó que la norma que regula esas sanciones adicionales no es ambigua ni permite una aplicación arbitraria, por lo que es acorde al principio de exacta aplicación de la ley penal —taxatividad—.</w:t>
            </w:r>
          </w:p>
          <w:p w14:paraId="068A96B6" w14:textId="6CFC1055" w:rsidR="00601D71" w:rsidRPr="00650F1C" w:rsidRDefault="00601D71" w:rsidP="00D53B10">
            <w:pPr>
              <w:jc w:val="both"/>
              <w:rPr>
                <w:rFonts w:ascii="Times New Roman" w:hAnsi="Times New Roman" w:cs="Times New Roman"/>
                <w:sz w:val="20"/>
                <w:szCs w:val="20"/>
              </w:rPr>
            </w:pPr>
          </w:p>
        </w:tc>
      </w:tr>
    </w:tbl>
    <w:p w14:paraId="156102F9" w14:textId="02854FB5" w:rsidR="00584C2F" w:rsidRDefault="00584C2F" w:rsidP="000018A2">
      <w:pPr>
        <w:spacing w:after="0" w:line="240" w:lineRule="auto"/>
        <w:jc w:val="both"/>
        <w:rPr>
          <w:rFonts w:ascii="Times New Roman" w:hAnsi="Times New Roman" w:cs="Times New Roman"/>
          <w:sz w:val="24"/>
          <w:szCs w:val="24"/>
        </w:rPr>
      </w:pPr>
    </w:p>
    <w:p w14:paraId="12FA3ED2" w14:textId="42D663AA" w:rsidR="005F33A7" w:rsidRDefault="005F33A7" w:rsidP="000018A2">
      <w:pPr>
        <w:spacing w:after="0" w:line="240" w:lineRule="auto"/>
        <w:jc w:val="both"/>
        <w:rPr>
          <w:rFonts w:ascii="Times New Roman" w:hAnsi="Times New Roman" w:cs="Times New Roman"/>
          <w:sz w:val="24"/>
          <w:szCs w:val="24"/>
        </w:rPr>
      </w:pPr>
    </w:p>
    <w:p w14:paraId="35BA4E0B" w14:textId="01C4FCEB" w:rsidR="0051268B" w:rsidRDefault="0051268B" w:rsidP="000018A2">
      <w:pPr>
        <w:spacing w:after="0" w:line="240" w:lineRule="auto"/>
        <w:jc w:val="both"/>
        <w:rPr>
          <w:rFonts w:ascii="Times New Roman" w:hAnsi="Times New Roman" w:cs="Times New Roman"/>
          <w:sz w:val="24"/>
          <w:szCs w:val="24"/>
        </w:rPr>
      </w:pPr>
    </w:p>
    <w:p w14:paraId="7D2773C5" w14:textId="6D9159CE" w:rsidR="00985FA0" w:rsidRDefault="00985FA0"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753ABAF5" w14:textId="77777777" w:rsidR="00FF16E3" w:rsidRPr="00FF16E3" w:rsidRDefault="00FF16E3" w:rsidP="00FF16E3">
      <w:pPr>
        <w:spacing w:after="0" w:line="240" w:lineRule="auto"/>
        <w:jc w:val="both"/>
        <w:rPr>
          <w:rFonts w:ascii="Arial Nova" w:hAnsi="Arial Nova" w:cs="Times New Roman"/>
          <w:sz w:val="24"/>
          <w:szCs w:val="24"/>
        </w:rPr>
      </w:pPr>
      <w:r w:rsidRPr="00FF16E3">
        <w:rPr>
          <w:rFonts w:ascii="Arial Nova" w:hAnsi="Arial Nova" w:cs="Times New Roman"/>
          <w:sz w:val="24"/>
          <w:szCs w:val="24"/>
        </w:rPr>
        <w:t>El 19 de junio de 2019, aproximadamente a las 13:45 horas, en Ecatepec, Estado de México, una persona abordó una camioneta del transporte público de pasajeros y, con palabras altisonantes, le exigió a quienes se encontraban a bordo que le entregaran sus pertenencias.</w:t>
      </w:r>
    </w:p>
    <w:p w14:paraId="58E0DEE6" w14:textId="77777777" w:rsidR="00FF16E3" w:rsidRDefault="00FF16E3" w:rsidP="00FF16E3">
      <w:pPr>
        <w:spacing w:after="0" w:line="240" w:lineRule="auto"/>
        <w:jc w:val="both"/>
        <w:rPr>
          <w:rFonts w:ascii="Arial Nova" w:hAnsi="Arial Nova" w:cs="Times New Roman"/>
          <w:sz w:val="24"/>
          <w:szCs w:val="24"/>
        </w:rPr>
      </w:pPr>
    </w:p>
    <w:p w14:paraId="6923514C" w14:textId="3FEF42C2" w:rsidR="00FF16E3" w:rsidRPr="00FF16E3" w:rsidRDefault="00FF16E3" w:rsidP="00FF16E3">
      <w:pPr>
        <w:spacing w:after="0" w:line="240" w:lineRule="auto"/>
        <w:jc w:val="both"/>
        <w:rPr>
          <w:rFonts w:ascii="Arial Nova" w:hAnsi="Arial Nova" w:cs="Times New Roman"/>
          <w:sz w:val="24"/>
          <w:szCs w:val="24"/>
        </w:rPr>
      </w:pPr>
      <w:r w:rsidRPr="00FF16E3">
        <w:rPr>
          <w:rFonts w:ascii="Arial Nova" w:hAnsi="Arial Nova" w:cs="Times New Roman"/>
          <w:sz w:val="24"/>
          <w:szCs w:val="24"/>
        </w:rPr>
        <w:t>Enseguida, una de las víctimas bajó del transporte y se percató que se encontraban unos policías, a quienes les explicó lo sucedido. Los elementos de la policía dieron alcance a la camioneta, y detuvieron al sujeto activo, quien portaba una navaja y tenía en su poder las pertenencias de las víctimas.</w:t>
      </w:r>
    </w:p>
    <w:p w14:paraId="32335267" w14:textId="77777777" w:rsidR="00FF16E3" w:rsidRDefault="00FF16E3" w:rsidP="00FF16E3">
      <w:pPr>
        <w:spacing w:after="0" w:line="240" w:lineRule="auto"/>
        <w:jc w:val="both"/>
        <w:rPr>
          <w:rFonts w:ascii="Arial Nova" w:hAnsi="Arial Nova" w:cs="Times New Roman"/>
          <w:sz w:val="24"/>
          <w:szCs w:val="24"/>
        </w:rPr>
      </w:pPr>
    </w:p>
    <w:p w14:paraId="0AF2BA09" w14:textId="45463A31" w:rsidR="00FF16E3" w:rsidRPr="00FF16E3" w:rsidRDefault="00FF16E3" w:rsidP="00FF16E3">
      <w:pPr>
        <w:spacing w:after="0" w:line="240" w:lineRule="auto"/>
        <w:jc w:val="both"/>
        <w:rPr>
          <w:rFonts w:ascii="Arial Nova" w:hAnsi="Arial Nova" w:cs="Times New Roman"/>
          <w:sz w:val="24"/>
          <w:szCs w:val="24"/>
        </w:rPr>
      </w:pPr>
      <w:r w:rsidRPr="00FF16E3">
        <w:rPr>
          <w:rFonts w:ascii="Arial Nova" w:hAnsi="Arial Nova" w:cs="Times New Roman"/>
          <w:sz w:val="24"/>
          <w:szCs w:val="24"/>
        </w:rPr>
        <w:t>Por esos hechos se condenó en primera y segunda instancias al ahora recurrente, por el delito de robo agravado, al cometerse en un transporte público de pasajeros y con el uso de violencia moral.</w:t>
      </w:r>
    </w:p>
    <w:p w14:paraId="2D11FA0B" w14:textId="77777777" w:rsidR="00FF16E3" w:rsidRDefault="00FF16E3" w:rsidP="00FF16E3">
      <w:pPr>
        <w:spacing w:after="0" w:line="240" w:lineRule="auto"/>
        <w:jc w:val="both"/>
        <w:rPr>
          <w:rFonts w:ascii="Arial Nova" w:hAnsi="Arial Nova" w:cs="Times New Roman"/>
          <w:sz w:val="24"/>
          <w:szCs w:val="24"/>
        </w:rPr>
      </w:pPr>
    </w:p>
    <w:p w14:paraId="1CAC4F02" w14:textId="59AD8382" w:rsidR="00884936" w:rsidRPr="00884936" w:rsidRDefault="00FF16E3" w:rsidP="00884936">
      <w:pPr>
        <w:spacing w:after="0" w:line="240" w:lineRule="auto"/>
        <w:jc w:val="both"/>
        <w:rPr>
          <w:rFonts w:ascii="Arial Nova" w:hAnsi="Arial Nova" w:cs="Times New Roman"/>
          <w:sz w:val="24"/>
          <w:szCs w:val="24"/>
        </w:rPr>
      </w:pPr>
      <w:r w:rsidRPr="00FF16E3">
        <w:rPr>
          <w:rFonts w:ascii="Arial Nova" w:hAnsi="Arial Nova" w:cs="Times New Roman"/>
          <w:sz w:val="24"/>
          <w:szCs w:val="24"/>
        </w:rPr>
        <w:t xml:space="preserve">En contra de esa determinación, el sentenciado promovió un juicio de amparo directo en el que reclamó la inconstitucionalidad de las fracciones I, inciso b), y XVIII, párrafo primero, del artículo 290, del Código Penal del Estado de México, pues consideró que vulneran los principios de taxatividad y </w:t>
      </w:r>
      <w:r w:rsidRPr="005C4D2A">
        <w:rPr>
          <w:rFonts w:ascii="Arial Nova" w:hAnsi="Arial Nova" w:cs="Times New Roman"/>
          <w:i/>
          <w:iCs/>
          <w:sz w:val="24"/>
          <w:szCs w:val="24"/>
        </w:rPr>
        <w:t>non bis in idem</w:t>
      </w:r>
      <w:r w:rsidRPr="00FF16E3">
        <w:rPr>
          <w:rFonts w:ascii="Arial Nova" w:hAnsi="Arial Nova" w:cs="Times New Roman"/>
          <w:sz w:val="24"/>
          <w:szCs w:val="24"/>
        </w:rPr>
        <w:t xml:space="preserve">, pero le fue negada la protección constitucional. Inconforme con lo anterior, interpuso </w:t>
      </w:r>
      <w:r>
        <w:rPr>
          <w:rFonts w:ascii="Arial Nova" w:hAnsi="Arial Nova" w:cs="Times New Roman"/>
          <w:sz w:val="24"/>
          <w:szCs w:val="24"/>
        </w:rPr>
        <w:t>un</w:t>
      </w:r>
      <w:r w:rsidRPr="00FF16E3">
        <w:rPr>
          <w:rFonts w:ascii="Arial Nova" w:hAnsi="Arial Nova" w:cs="Times New Roman"/>
          <w:sz w:val="24"/>
          <w:szCs w:val="24"/>
        </w:rPr>
        <w:t xml:space="preserve"> recurso de revisión.</w:t>
      </w:r>
    </w:p>
    <w:p w14:paraId="71E551C1" w14:textId="77777777" w:rsidR="00BA4D8A" w:rsidRDefault="00BA4D8A" w:rsidP="00601D71">
      <w:pPr>
        <w:spacing w:after="0" w:line="240" w:lineRule="auto"/>
        <w:jc w:val="both"/>
        <w:rPr>
          <w:rFonts w:ascii="Arial Nova" w:hAnsi="Arial Nova" w:cs="Times New Roman"/>
          <w:sz w:val="24"/>
          <w:szCs w:val="24"/>
        </w:rPr>
      </w:pPr>
    </w:p>
    <w:p w14:paraId="6BA52939" w14:textId="4CDF03DC" w:rsidR="0048582B" w:rsidRPr="008B0FEE"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6A125516" w14:textId="77777777" w:rsidR="00884936" w:rsidRPr="00884936" w:rsidRDefault="00884936" w:rsidP="00985FA0">
      <w:pPr>
        <w:spacing w:after="0" w:line="240" w:lineRule="auto"/>
        <w:jc w:val="both"/>
        <w:rPr>
          <w:rFonts w:ascii="Arial Nova" w:hAnsi="Arial Nova" w:cs="Times New Roman"/>
          <w:sz w:val="24"/>
          <w:szCs w:val="24"/>
        </w:rPr>
      </w:pPr>
      <w:r w:rsidRPr="00884936">
        <w:rPr>
          <w:rFonts w:ascii="Arial Nova" w:hAnsi="Arial Nova" w:cs="Times New Roman"/>
          <w:sz w:val="24"/>
          <w:szCs w:val="24"/>
        </w:rPr>
        <w:t xml:space="preserve">En su fallo, el alto tribunal reiteró que las agravantes del delito no sancionan en dos ocasiones la misma conducta, ni significan un doble procesamiento por el mismo hecho, sino que conllevan la aplicación de penas adicionales cuando se presentan determinadas circunstancias que afectan a las víctimas más allá de su patrimonio y ameritan un mayor reproche social. </w:t>
      </w:r>
    </w:p>
    <w:p w14:paraId="5C5723FB" w14:textId="77777777" w:rsidR="00884936" w:rsidRPr="00884936" w:rsidRDefault="00884936" w:rsidP="00985FA0">
      <w:pPr>
        <w:spacing w:after="0" w:line="240" w:lineRule="auto"/>
        <w:jc w:val="both"/>
        <w:rPr>
          <w:rFonts w:ascii="Arial Nova" w:hAnsi="Arial Nova" w:cs="Times New Roman"/>
          <w:sz w:val="24"/>
          <w:szCs w:val="24"/>
        </w:rPr>
      </w:pPr>
    </w:p>
    <w:p w14:paraId="160C2FC0" w14:textId="77777777" w:rsidR="00884936" w:rsidRPr="00884936" w:rsidRDefault="00884936" w:rsidP="00985FA0">
      <w:pPr>
        <w:spacing w:after="0" w:line="240" w:lineRule="auto"/>
        <w:jc w:val="both"/>
        <w:rPr>
          <w:rFonts w:ascii="Arial Nova" w:hAnsi="Arial Nova" w:cs="Times New Roman"/>
          <w:sz w:val="24"/>
          <w:szCs w:val="24"/>
        </w:rPr>
      </w:pPr>
      <w:r w:rsidRPr="00884936">
        <w:rPr>
          <w:rFonts w:ascii="Arial Nova" w:hAnsi="Arial Nova" w:cs="Times New Roman"/>
          <w:sz w:val="24"/>
          <w:szCs w:val="24"/>
        </w:rPr>
        <w:t>Esto se justifica cuando el delito de robo es cometido con violencia moral y en un transporte público, pues de esta forma no sólo se atenta contra el patrimonio de las personas, sino que también se producen afectaciones psicológicas e inseguridad social.</w:t>
      </w:r>
    </w:p>
    <w:p w14:paraId="6C908AE0" w14:textId="77777777" w:rsidR="00884936" w:rsidRPr="00884936" w:rsidRDefault="00884936" w:rsidP="00985FA0">
      <w:pPr>
        <w:spacing w:after="0" w:line="240" w:lineRule="auto"/>
        <w:jc w:val="both"/>
        <w:rPr>
          <w:rFonts w:ascii="Arial Nova" w:hAnsi="Arial Nova" w:cs="Times New Roman"/>
          <w:sz w:val="24"/>
          <w:szCs w:val="24"/>
        </w:rPr>
      </w:pPr>
    </w:p>
    <w:p w14:paraId="002CA113" w14:textId="77777777" w:rsidR="00884936" w:rsidRPr="00884936" w:rsidRDefault="00884936" w:rsidP="00985FA0">
      <w:pPr>
        <w:spacing w:after="0" w:line="240" w:lineRule="auto"/>
        <w:jc w:val="both"/>
        <w:rPr>
          <w:rFonts w:ascii="Arial Nova" w:hAnsi="Arial Nova" w:cs="Times New Roman"/>
          <w:sz w:val="24"/>
          <w:szCs w:val="24"/>
        </w:rPr>
      </w:pPr>
      <w:r w:rsidRPr="00884936">
        <w:rPr>
          <w:rFonts w:ascii="Arial Nova" w:hAnsi="Arial Nova" w:cs="Times New Roman"/>
          <w:sz w:val="24"/>
          <w:szCs w:val="24"/>
        </w:rPr>
        <w:t>Por otra parte, la Sala deliberó que la norma que regula esas sanciones adicionales no es ambigua ni permite una aplicación arbitraria, por lo que es acorde al principio de exacta aplicación de la ley penal —taxatividad—.</w:t>
      </w:r>
    </w:p>
    <w:p w14:paraId="4B2C0661" w14:textId="77777777" w:rsidR="00884936" w:rsidRPr="00884936" w:rsidRDefault="00884936" w:rsidP="00985FA0">
      <w:pPr>
        <w:spacing w:after="0" w:line="240" w:lineRule="auto"/>
        <w:jc w:val="both"/>
        <w:rPr>
          <w:rFonts w:ascii="Arial Nova" w:hAnsi="Arial Nova" w:cs="Times New Roman"/>
          <w:sz w:val="24"/>
          <w:szCs w:val="24"/>
        </w:rPr>
      </w:pPr>
    </w:p>
    <w:p w14:paraId="72FDA515" w14:textId="77777777" w:rsidR="00884936" w:rsidRPr="00884936" w:rsidRDefault="00884936" w:rsidP="00985FA0">
      <w:pPr>
        <w:spacing w:after="0" w:line="240" w:lineRule="auto"/>
        <w:jc w:val="both"/>
        <w:rPr>
          <w:rFonts w:ascii="Arial Nova" w:hAnsi="Arial Nova" w:cs="Times New Roman"/>
          <w:sz w:val="24"/>
          <w:szCs w:val="24"/>
        </w:rPr>
      </w:pPr>
      <w:r w:rsidRPr="00884936">
        <w:rPr>
          <w:rFonts w:ascii="Arial Nova" w:hAnsi="Arial Nova" w:cs="Times New Roman"/>
          <w:sz w:val="24"/>
          <w:szCs w:val="24"/>
        </w:rPr>
        <w:t xml:space="preserve">Ello es así, ya que la norma es clara en establecer que la violencia moral ocurre cuando se ocupa cualquier forma de intimidación —como amagos o amenazas— en </w:t>
      </w:r>
      <w:r w:rsidRPr="00884936">
        <w:rPr>
          <w:rFonts w:ascii="Arial Nova" w:hAnsi="Arial Nova" w:cs="Times New Roman"/>
          <w:sz w:val="24"/>
          <w:szCs w:val="24"/>
        </w:rPr>
        <w:lastRenderedPageBreak/>
        <w:t>contra de la víctima o alguna persona vinculada con ésta, con la advertencia de causarle un mal en su persona o en sus bienes, con el fin de anular su resistencia y así consumar el robo. Además, que cualquier persona puede comprender lo que significa un medio de transporte público de pasajeros, lo cual incluso puede definirse atendiendo a la Ley de Movilidad del Estado de México, que no sólo prevé lo que debe entenderse como servicio público de transporte, sino los medios por los cuales puede prestarse.</w:t>
      </w:r>
    </w:p>
    <w:p w14:paraId="07B309CC" w14:textId="77777777" w:rsidR="00884936" w:rsidRPr="00884936" w:rsidRDefault="00884936" w:rsidP="00985FA0">
      <w:pPr>
        <w:spacing w:after="0" w:line="240" w:lineRule="auto"/>
        <w:jc w:val="both"/>
        <w:rPr>
          <w:rFonts w:ascii="Arial Nova" w:hAnsi="Arial Nova" w:cs="Times New Roman"/>
          <w:sz w:val="24"/>
          <w:szCs w:val="24"/>
        </w:rPr>
      </w:pPr>
    </w:p>
    <w:p w14:paraId="7A8B91A0" w14:textId="77777777" w:rsidR="00884936" w:rsidRPr="00884936" w:rsidRDefault="00884936" w:rsidP="00985FA0">
      <w:pPr>
        <w:spacing w:after="0" w:line="240" w:lineRule="auto"/>
        <w:jc w:val="both"/>
        <w:rPr>
          <w:rFonts w:ascii="Arial Nova" w:hAnsi="Arial Nova" w:cs="Times New Roman"/>
          <w:sz w:val="24"/>
          <w:szCs w:val="24"/>
        </w:rPr>
      </w:pPr>
      <w:r w:rsidRPr="00884936">
        <w:rPr>
          <w:rFonts w:ascii="Arial Nova" w:hAnsi="Arial Nova" w:cs="Times New Roman"/>
          <w:sz w:val="24"/>
          <w:szCs w:val="24"/>
        </w:rPr>
        <w:t>A partir de estas razones, la Primera Sala confirmó la sentencia impugnada y negó el amparo solicitado.</w:t>
      </w:r>
    </w:p>
    <w:p w14:paraId="53D080FC" w14:textId="77777777" w:rsidR="00252246" w:rsidRPr="00E32435" w:rsidRDefault="00252246" w:rsidP="00601D71">
      <w:pPr>
        <w:spacing w:after="0" w:line="240" w:lineRule="auto"/>
        <w:jc w:val="both"/>
        <w:rPr>
          <w:rFonts w:ascii="Arial Nova" w:hAnsi="Arial Nova" w:cs="Times New Roman"/>
          <w:sz w:val="24"/>
          <w:szCs w:val="24"/>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0DE01B25" w14:textId="2D63CBE1" w:rsidR="00197921" w:rsidRPr="00E32435" w:rsidRDefault="00275EB5" w:rsidP="000018A2">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en sesión de la Primera Sala del 1</w:t>
      </w:r>
      <w:r w:rsidR="00601D71">
        <w:rPr>
          <w:rFonts w:ascii="Arial Nova" w:hAnsi="Arial Nova" w:cs="Times New Roman"/>
          <w:sz w:val="24"/>
          <w:szCs w:val="24"/>
        </w:rPr>
        <w:t>0</w:t>
      </w:r>
      <w:r w:rsidR="00B92B45" w:rsidRPr="00E32435">
        <w:rPr>
          <w:rFonts w:ascii="Arial Nova" w:hAnsi="Arial Nova" w:cs="Times New Roman"/>
          <w:sz w:val="24"/>
          <w:szCs w:val="24"/>
        </w:rPr>
        <w:t xml:space="preserve"> de </w:t>
      </w:r>
      <w:r w:rsidR="00601D71">
        <w:rPr>
          <w:rFonts w:ascii="Arial Nova" w:hAnsi="Arial Nova" w:cs="Times New Roman"/>
          <w:sz w:val="24"/>
          <w:szCs w:val="24"/>
        </w:rPr>
        <w:t>abril</w:t>
      </w:r>
      <w:r w:rsidR="00B92B45" w:rsidRPr="00E32435">
        <w:rPr>
          <w:rFonts w:ascii="Arial Nova" w:hAnsi="Arial Nova" w:cs="Times New Roman"/>
          <w:sz w:val="24"/>
          <w:szCs w:val="24"/>
        </w:rPr>
        <w:t xml:space="preserve"> 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4479A5">
        <w:rPr>
          <w:rFonts w:ascii="Arial Nova" w:hAnsi="Arial Nova" w:cs="Times New Roman"/>
          <w:sz w:val="24"/>
          <w:szCs w:val="24"/>
        </w:rPr>
        <w:t xml:space="preserve">unanimidad de cinco votos </w:t>
      </w:r>
      <w:r w:rsidR="002F5E8B" w:rsidRPr="00E32435">
        <w:rPr>
          <w:rFonts w:ascii="Arial Nova" w:hAnsi="Arial Nova" w:cs="Times New Roman"/>
          <w:sz w:val="24"/>
          <w:szCs w:val="24"/>
        </w:rPr>
        <w:t>de 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601D71">
        <w:rPr>
          <w:rFonts w:ascii="Arial Nova" w:hAnsi="Arial Nova" w:cs="Times New Roman"/>
          <w:sz w:val="24"/>
          <w:szCs w:val="24"/>
        </w:rPr>
        <w:t xml:space="preserve">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8791E">
        <w:rPr>
          <w:rFonts w:ascii="Arial Nova" w:hAnsi="Arial Nova" w:cs="Times New Roman"/>
          <w:sz w:val="24"/>
          <w:szCs w:val="24"/>
        </w:rPr>
        <w:t xml:space="preserve">Loretta Ortiz Ahlf y Ana Margarita Ríos Farjat, así como de los Señores Ministros </w:t>
      </w:r>
      <w:r w:rsidR="0038791E" w:rsidRPr="00E32435">
        <w:rPr>
          <w:rFonts w:ascii="Arial Nova" w:hAnsi="Arial Nova" w:cs="Times New Roman"/>
          <w:sz w:val="24"/>
          <w:szCs w:val="24"/>
        </w:rPr>
        <w:t>Juan Luis González Alcántara Carrancá</w:t>
      </w:r>
      <w:r w:rsidR="0038791E" w:rsidRPr="0038791E">
        <w:rPr>
          <w:rFonts w:ascii="Arial Nova" w:hAnsi="Arial Nova" w:cs="Times New Roman"/>
          <w:sz w:val="24"/>
          <w:szCs w:val="24"/>
        </w:rPr>
        <w:t xml:space="preserve">, </w:t>
      </w:r>
      <w:r w:rsidR="004479A5">
        <w:rPr>
          <w:rFonts w:ascii="Arial Nova" w:hAnsi="Arial Nova" w:cs="Times New Roman"/>
          <w:sz w:val="24"/>
          <w:szCs w:val="24"/>
        </w:rPr>
        <w:t xml:space="preserve">Alfredo Gutiérrez Ortiz Mena y </w:t>
      </w:r>
      <w:r w:rsidR="00F46BE8" w:rsidRPr="00E32435">
        <w:rPr>
          <w:rFonts w:ascii="Arial Nova" w:hAnsi="Arial Nova" w:cs="Times New Roman"/>
          <w:sz w:val="24"/>
          <w:szCs w:val="24"/>
        </w:rPr>
        <w:t>Jorge Mario Pardo Rebolledo</w:t>
      </w:r>
      <w:r w:rsidR="0038791E">
        <w:rPr>
          <w:rFonts w:ascii="Arial Nova" w:hAnsi="Arial Nova" w:cs="Times New Roman"/>
          <w:sz w:val="24"/>
          <w:szCs w:val="24"/>
        </w:rPr>
        <w:t xml:space="preserve"> (Presidente)</w:t>
      </w:r>
      <w:r w:rsidR="00630C4B" w:rsidRPr="00E32435">
        <w:rPr>
          <w:rFonts w:ascii="Arial Nova" w:hAnsi="Arial Nova" w:cs="Times New Roman"/>
          <w:sz w:val="24"/>
          <w:szCs w:val="24"/>
        </w:rPr>
        <w:t>.</w:t>
      </w:r>
    </w:p>
    <w:p w14:paraId="7FD6E955" w14:textId="3FD6281B" w:rsidR="005651E4" w:rsidRDefault="005651E4" w:rsidP="005651E4">
      <w:pPr>
        <w:spacing w:after="0" w:line="240" w:lineRule="auto"/>
        <w:jc w:val="both"/>
        <w:rPr>
          <w:rFonts w:ascii="Arial Nova" w:hAnsi="Arial Nova" w:cs="Times New Roman"/>
          <w:sz w:val="24"/>
          <w:szCs w:val="24"/>
        </w:rPr>
      </w:pP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5C776" w14:textId="77777777" w:rsidR="00635CF7" w:rsidRDefault="00635CF7" w:rsidP="000A7E7B">
      <w:pPr>
        <w:spacing w:after="0" w:line="240" w:lineRule="auto"/>
      </w:pPr>
      <w:r>
        <w:separator/>
      </w:r>
    </w:p>
    <w:p w14:paraId="0781D6B5" w14:textId="77777777" w:rsidR="00635CF7" w:rsidRDefault="00635CF7"/>
  </w:endnote>
  <w:endnote w:type="continuationSeparator" w:id="0">
    <w:p w14:paraId="4C1BF29D" w14:textId="77777777" w:rsidR="00635CF7" w:rsidRDefault="00635CF7" w:rsidP="000A7E7B">
      <w:pPr>
        <w:spacing w:after="0" w:line="240" w:lineRule="auto"/>
      </w:pPr>
      <w:r>
        <w:continuationSeparator/>
      </w:r>
    </w:p>
    <w:p w14:paraId="67374E3E" w14:textId="77777777" w:rsidR="00635CF7" w:rsidRDefault="00635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7E89" w14:textId="77777777" w:rsidR="00635CF7" w:rsidRDefault="00635CF7" w:rsidP="000A7E7B">
      <w:pPr>
        <w:spacing w:after="0" w:line="240" w:lineRule="auto"/>
      </w:pPr>
      <w:r>
        <w:separator/>
      </w:r>
    </w:p>
    <w:p w14:paraId="386F2AAE" w14:textId="77777777" w:rsidR="00635CF7" w:rsidRDefault="00635CF7"/>
  </w:footnote>
  <w:footnote w:type="continuationSeparator" w:id="0">
    <w:p w14:paraId="7803C7DF" w14:textId="77777777" w:rsidR="00635CF7" w:rsidRDefault="00635CF7" w:rsidP="000A7E7B">
      <w:pPr>
        <w:spacing w:after="0" w:line="240" w:lineRule="auto"/>
      </w:pPr>
      <w:r>
        <w:continuationSeparator/>
      </w:r>
    </w:p>
    <w:p w14:paraId="4417B9F6" w14:textId="77777777" w:rsidR="00635CF7" w:rsidRDefault="00635C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5C4D2A">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03C0A9F2" w:rsidR="0048582B" w:rsidRPr="00046D48" w:rsidRDefault="0048582B" w:rsidP="005C4D2A">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w:t>
    </w:r>
    <w:r w:rsidR="00884936">
      <w:rPr>
        <w:rFonts w:ascii="Arial Nova" w:hAnsi="Arial Nova" w:cs="Times New Roman"/>
        <w:b/>
        <w:bCs/>
        <w:color w:val="002060"/>
        <w:sz w:val="20"/>
        <w:szCs w:val="20"/>
      </w:rPr>
      <w:t xml:space="preserve">DIRECTO </w:t>
    </w:r>
    <w:r w:rsidRPr="00046D48">
      <w:rPr>
        <w:rFonts w:ascii="Arial Nova" w:hAnsi="Arial Nova" w:cs="Times New Roman"/>
        <w:b/>
        <w:bCs/>
        <w:color w:val="002060"/>
        <w:sz w:val="20"/>
        <w:szCs w:val="20"/>
      </w:rPr>
      <w:t xml:space="preserve">EN REVISIÓN </w:t>
    </w:r>
    <w:r w:rsidR="00884936">
      <w:rPr>
        <w:rFonts w:ascii="Arial Nova" w:hAnsi="Arial Nova" w:cs="Times New Roman"/>
        <w:b/>
        <w:bCs/>
        <w:color w:val="002060"/>
        <w:sz w:val="20"/>
        <w:szCs w:val="20"/>
      </w:rPr>
      <w:t>6123/2023</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0F572C"/>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66752"/>
    <w:rsid w:val="00376697"/>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9A5"/>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4D2A"/>
    <w:rsid w:val="005C6396"/>
    <w:rsid w:val="005C7783"/>
    <w:rsid w:val="005D02B6"/>
    <w:rsid w:val="005D4956"/>
    <w:rsid w:val="005D668C"/>
    <w:rsid w:val="005D7615"/>
    <w:rsid w:val="005D7AF6"/>
    <w:rsid w:val="005E054A"/>
    <w:rsid w:val="005F33A7"/>
    <w:rsid w:val="005F6321"/>
    <w:rsid w:val="005F6734"/>
    <w:rsid w:val="00601D71"/>
    <w:rsid w:val="006126BA"/>
    <w:rsid w:val="006146C9"/>
    <w:rsid w:val="006206CA"/>
    <w:rsid w:val="00622CF0"/>
    <w:rsid w:val="00624A06"/>
    <w:rsid w:val="00624A59"/>
    <w:rsid w:val="00630C4B"/>
    <w:rsid w:val="00630FC2"/>
    <w:rsid w:val="006317C8"/>
    <w:rsid w:val="00634DD2"/>
    <w:rsid w:val="00635CF7"/>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84936"/>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5FA0"/>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1DC"/>
    <w:rsid w:val="00A02821"/>
    <w:rsid w:val="00A030F8"/>
    <w:rsid w:val="00A06BD8"/>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1008"/>
    <w:rsid w:val="00B237A1"/>
    <w:rsid w:val="00B323DA"/>
    <w:rsid w:val="00B405C3"/>
    <w:rsid w:val="00B411F4"/>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46892"/>
    <w:rsid w:val="00C5383F"/>
    <w:rsid w:val="00C6021D"/>
    <w:rsid w:val="00C61315"/>
    <w:rsid w:val="00C62218"/>
    <w:rsid w:val="00C6376D"/>
    <w:rsid w:val="00C64F82"/>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3B10"/>
    <w:rsid w:val="00D54F58"/>
    <w:rsid w:val="00D57F00"/>
    <w:rsid w:val="00D60DBB"/>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67E"/>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16E3"/>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qFormat/>
    <w:rsid w:val="00EA667E"/>
    <w:rPr>
      <w:rFonts w:ascii="Arial" w:eastAsia="Times New Roman" w:hAnsi="Arial" w:cs="Times New Roman"/>
      <w:sz w:val="3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37751332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919556041">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827</Words>
  <Characters>4552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ABIGAIL TRUJILLO FABRE</cp:lastModifiedBy>
  <cp:revision>20</cp:revision>
  <cp:lastPrinted>2021-06-08T20:16:00Z</cp:lastPrinted>
  <dcterms:created xsi:type="dcterms:W3CDTF">2023-04-28T00:15:00Z</dcterms:created>
  <dcterms:modified xsi:type="dcterms:W3CDTF">2024-07-02T21:51:00Z</dcterms:modified>
</cp:coreProperties>
</file>