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0E83D702" w:rsidR="00EE029D" w:rsidRPr="00046D48" w:rsidRDefault="00BA3FDF" w:rsidP="00B323DA">
      <w:pPr>
        <w:shd w:val="clear" w:color="auto" w:fill="E7E6E6" w:themeFill="background2"/>
        <w:spacing w:after="0" w:line="276" w:lineRule="auto"/>
        <w:ind w:right="49"/>
        <w:jc w:val="center"/>
        <w:rPr>
          <w:rFonts w:ascii="Arial Nova" w:hAnsi="Arial Nova" w:cs="Times New Roman"/>
          <w:b/>
          <w:bCs/>
          <w:smallCaps/>
          <w:color w:val="002060"/>
        </w:rPr>
      </w:pPr>
      <w:r w:rsidRPr="00BA3FDF">
        <w:rPr>
          <w:rFonts w:ascii="Arial Nova" w:hAnsi="Arial Nova" w:cs="Times New Roman"/>
          <w:b/>
          <w:bCs/>
          <w:smallCaps/>
          <w:color w:val="002060"/>
        </w:rPr>
        <w:t>PERSPECTIVA DE GÉNERO E INTERSECCIONALIDAD. LAS PERSONAS JUZGADORAS DEBEN ANALIZAR CON DICHA PERSPECTIVA LOS ASUNTOS RELACIONADOS CON SECUESTRO POR PARTE DE MUJERES PARA DESCARTAR LA EXISTENCIA DE VIOLENCIA, DISCRIMINACIÓN O CONDICIONES DE SUBORDINACIÓN</w:t>
      </w:r>
      <w:r>
        <w:rPr>
          <w:rFonts w:ascii="Arial Nova" w:hAnsi="Arial Nova" w:cs="Times New Roman"/>
          <w:b/>
          <w:bCs/>
          <w:smallCaps/>
          <w:color w:val="002060"/>
        </w:rPr>
        <w:t xml:space="preserve"> QUE LAS LLEVARON A COMETER ESTE DELITO </w:t>
      </w:r>
    </w:p>
    <w:p w14:paraId="41C44226" w14:textId="0CF1D0EF" w:rsidR="00046D48" w:rsidRPr="004C2D17" w:rsidRDefault="00046D48" w:rsidP="00D22676">
      <w:pPr>
        <w:spacing w:after="0" w:line="240" w:lineRule="auto"/>
        <w:jc w:val="both"/>
        <w:rPr>
          <w:rFonts w:ascii="Arial Nova" w:hAnsi="Arial Nova" w:cs="Times New Roman"/>
          <w:sz w:val="18"/>
          <w:szCs w:val="18"/>
        </w:rPr>
      </w:pPr>
    </w:p>
    <w:p w14:paraId="3D6CDE51" w14:textId="6B53125B" w:rsidR="00832148" w:rsidRPr="001624A8" w:rsidRDefault="000018A2" w:rsidP="00860478">
      <w:pPr>
        <w:shd w:val="clear" w:color="auto" w:fill="EDEDED" w:themeFill="accent3" w:themeFillTint="33"/>
        <w:spacing w:after="0" w:line="240" w:lineRule="auto"/>
        <w:ind w:left="3119"/>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Pone</w:t>
      </w:r>
      <w:r w:rsidR="00B01B3B">
        <w:rPr>
          <w:rFonts w:ascii="Arial Nova" w:hAnsi="Arial Nova" w:cs="Times New Roman"/>
          <w:b/>
          <w:bCs/>
          <w:smallCaps/>
          <w:color w:val="002060"/>
        </w:rPr>
        <w:t>nte:</w:t>
      </w:r>
      <w:r w:rsidR="00C062AB">
        <w:rPr>
          <w:rFonts w:ascii="Arial Nova" w:hAnsi="Arial Nova" w:cs="Times New Roman"/>
          <w:b/>
          <w:bCs/>
          <w:smallCaps/>
          <w:color w:val="002060"/>
        </w:rPr>
        <w:t xml:space="preserve"> Ministr</w:t>
      </w:r>
      <w:r w:rsidR="00860478">
        <w:rPr>
          <w:rFonts w:ascii="Arial Nova" w:hAnsi="Arial Nova" w:cs="Times New Roman"/>
          <w:b/>
          <w:bCs/>
          <w:smallCaps/>
          <w:color w:val="002060"/>
        </w:rPr>
        <w:t xml:space="preserve">a </w:t>
      </w:r>
      <w:r w:rsidR="00D60A30">
        <w:rPr>
          <w:rFonts w:ascii="Arial Nova" w:hAnsi="Arial Nova" w:cs="Times New Roman"/>
          <w:b/>
          <w:bCs/>
          <w:smallCaps/>
          <w:color w:val="002060"/>
        </w:rPr>
        <w:t>Loretta Ortiz Ahlf</w:t>
      </w:r>
      <w:r w:rsidR="00B92B45" w:rsidRPr="001624A8">
        <w:rPr>
          <w:rFonts w:ascii="Arial Nova" w:hAnsi="Arial Nova" w:cs="Times New Roman"/>
          <w:smallCaps/>
          <w:color w:val="002060"/>
        </w:rPr>
        <w:t>.</w:t>
      </w:r>
    </w:p>
    <w:p w14:paraId="12206212" w14:textId="78764608" w:rsidR="006F17DD" w:rsidRDefault="000018A2" w:rsidP="006F17DD">
      <w:pPr>
        <w:shd w:val="clear" w:color="auto" w:fill="EDEDED" w:themeFill="accent3" w:themeFillTint="33"/>
        <w:spacing w:after="0" w:line="240" w:lineRule="auto"/>
        <w:ind w:left="3119"/>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9C6C48">
        <w:rPr>
          <w:rFonts w:ascii="Arial Nova" w:hAnsi="Arial Nova" w:cs="Times New Roman"/>
          <w:smallCaps/>
          <w:color w:val="002060"/>
        </w:rPr>
        <w:t>o</w:t>
      </w:r>
      <w:r w:rsidR="00FF6E0D">
        <w:rPr>
          <w:rFonts w:ascii="Arial Nova" w:hAnsi="Arial Nova" w:cs="Times New Roman"/>
          <w:smallCaps/>
          <w:color w:val="002060"/>
        </w:rPr>
        <w:t>:</w:t>
      </w:r>
      <w:r w:rsidR="006F17DD">
        <w:rPr>
          <w:rFonts w:ascii="Arial Nova" w:hAnsi="Arial Nova" w:cs="Times New Roman"/>
          <w:smallCaps/>
          <w:color w:val="002060"/>
        </w:rPr>
        <w:t xml:space="preserve"> </w:t>
      </w:r>
      <w:r w:rsidR="00D60A30">
        <w:rPr>
          <w:rFonts w:ascii="Arial Nova" w:hAnsi="Arial Nova" w:cs="Times New Roman"/>
          <w:smallCaps/>
          <w:color w:val="002060"/>
        </w:rPr>
        <w:t xml:space="preserve">Rodolfo Antonio Becerra </w:t>
      </w:r>
      <w:proofErr w:type="spellStart"/>
      <w:r w:rsidR="00D60A30">
        <w:rPr>
          <w:rFonts w:ascii="Arial Nova" w:hAnsi="Arial Nova" w:cs="Times New Roman"/>
          <w:smallCaps/>
          <w:color w:val="002060"/>
        </w:rPr>
        <w:t>Jáurez</w:t>
      </w:r>
      <w:proofErr w:type="spellEnd"/>
      <w:r w:rsidR="00D60A30">
        <w:rPr>
          <w:rFonts w:ascii="Arial Nova" w:hAnsi="Arial Nova" w:cs="Times New Roman"/>
          <w:smallCaps/>
          <w:color w:val="002060"/>
        </w:rPr>
        <w:t>.</w:t>
      </w:r>
    </w:p>
    <w:p w14:paraId="63E065DC" w14:textId="35D53497" w:rsidR="00832148" w:rsidRDefault="00D60A30" w:rsidP="00860478">
      <w:pPr>
        <w:shd w:val="clear" w:color="auto" w:fill="EDEDED" w:themeFill="accent3" w:themeFillTint="33"/>
        <w:spacing w:after="0" w:line="240" w:lineRule="auto"/>
        <w:ind w:left="3119"/>
        <w:jc w:val="right"/>
        <w:rPr>
          <w:rFonts w:ascii="Arial Nova" w:hAnsi="Arial Nova" w:cs="Times New Roman"/>
          <w:smallCaps/>
          <w:color w:val="002060"/>
        </w:rPr>
      </w:pPr>
      <w:r>
        <w:rPr>
          <w:rFonts w:ascii="Arial Nova" w:hAnsi="Arial Nova" w:cs="Times New Roman"/>
          <w:smallCaps/>
          <w:color w:val="002060"/>
        </w:rPr>
        <w:t>Secretario Auxiliar: Eder Gerardo Millán Gama</w:t>
      </w:r>
      <w:r w:rsidR="00B92B45" w:rsidRPr="001624A8">
        <w:rPr>
          <w:rFonts w:ascii="Arial Nova" w:hAnsi="Arial Nova" w:cs="Times New Roman"/>
          <w:smallCaps/>
          <w:color w:val="002060"/>
        </w:rPr>
        <w:t>.</w:t>
      </w:r>
      <w:bookmarkEnd w:id="2"/>
    </w:p>
    <w:p w14:paraId="1C0B4F90" w14:textId="6F3E35B7" w:rsidR="001C01EC" w:rsidRPr="004C2D17" w:rsidRDefault="00D60A30" w:rsidP="00860478">
      <w:pPr>
        <w:shd w:val="clear" w:color="auto" w:fill="EDEDED" w:themeFill="accent3" w:themeFillTint="33"/>
        <w:spacing w:after="0" w:line="240" w:lineRule="auto"/>
        <w:ind w:left="3119"/>
        <w:jc w:val="right"/>
        <w:rPr>
          <w:rFonts w:ascii="Arial Nova" w:hAnsi="Arial Nova" w:cs="Times New Roman"/>
          <w:smallCaps/>
        </w:rPr>
      </w:pPr>
      <w:bookmarkStart w:id="3" w:name="_Hlk133506816"/>
      <w:r>
        <w:rPr>
          <w:rFonts w:ascii="Arial Nova" w:hAnsi="Arial Nova" w:cs="Times New Roman"/>
          <w:smallCaps/>
          <w:color w:val="002060"/>
        </w:rPr>
        <w:t>Ex</w:t>
      </w:r>
      <w:r w:rsidR="001C01EC" w:rsidRPr="001624A8">
        <w:rPr>
          <w:rFonts w:ascii="Arial Nova" w:hAnsi="Arial Nova" w:cs="Times New Roman"/>
          <w:smallCaps/>
          <w:color w:val="002060"/>
        </w:rPr>
        <w:t>pediente: Amparo</w:t>
      </w:r>
      <w:r w:rsidR="00FF6E0D">
        <w:rPr>
          <w:rFonts w:ascii="Arial Nova" w:hAnsi="Arial Nova" w:cs="Times New Roman"/>
          <w:smallCaps/>
          <w:color w:val="002060"/>
        </w:rPr>
        <w:t xml:space="preserve"> </w:t>
      </w:r>
      <w:r w:rsidR="006F17DD">
        <w:rPr>
          <w:rFonts w:ascii="Arial Nova" w:hAnsi="Arial Nova" w:cs="Times New Roman"/>
          <w:smallCaps/>
          <w:color w:val="002060"/>
        </w:rPr>
        <w:t xml:space="preserve">Directo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001C01EC"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6F17DD">
        <w:rPr>
          <w:rFonts w:ascii="Arial Nova" w:hAnsi="Arial Nova" w:cs="Times New Roman"/>
          <w:smallCaps/>
          <w:color w:val="002060"/>
        </w:rPr>
        <w:t>7</w:t>
      </w:r>
      <w:r>
        <w:rPr>
          <w:rFonts w:ascii="Arial Nova" w:hAnsi="Arial Nova" w:cs="Times New Roman"/>
          <w:smallCaps/>
          <w:color w:val="002060"/>
        </w:rPr>
        <w:t>466</w:t>
      </w:r>
      <w:r w:rsidR="008A1CE1">
        <w:rPr>
          <w:rFonts w:ascii="Arial Nova" w:hAnsi="Arial Nova" w:cs="Times New Roman"/>
          <w:smallCaps/>
          <w:color w:val="002060"/>
        </w:rPr>
        <w:t>/</w:t>
      </w:r>
      <w:r w:rsidR="001C01EC" w:rsidRPr="001624A8">
        <w:rPr>
          <w:rFonts w:ascii="Arial Nova" w:hAnsi="Arial Nova" w:cs="Times New Roman"/>
          <w:smallCaps/>
          <w:color w:val="002060"/>
        </w:rPr>
        <w:t>202</w:t>
      </w:r>
      <w:bookmarkEnd w:id="1"/>
      <w:bookmarkEnd w:id="3"/>
      <w:r>
        <w:rPr>
          <w:rFonts w:ascii="Arial Nova" w:hAnsi="Arial Nova" w:cs="Times New Roman"/>
          <w:smallCaps/>
          <w:color w:val="002060"/>
        </w:rPr>
        <w:t>3</w:t>
      </w:r>
      <w:r w:rsidR="005A7962">
        <w:rPr>
          <w:rFonts w:ascii="Arial Nova" w:hAnsi="Arial Nova" w:cs="Times New Roman"/>
          <w:smallCaps/>
          <w:color w:val="002060"/>
        </w:rPr>
        <w:t>.</w:t>
      </w:r>
    </w:p>
    <w:p w14:paraId="23CDDC7C" w14:textId="6D8ECB52"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5A477B07" w14:textId="77777777" w:rsidR="0041308F" w:rsidRDefault="0041308F" w:rsidP="0041308F">
            <w:pPr>
              <w:jc w:val="both"/>
              <w:rPr>
                <w:rFonts w:ascii="Arial Nova" w:hAnsi="Arial Nova" w:cs="Times New Roman"/>
              </w:rPr>
            </w:pPr>
          </w:p>
          <w:p w14:paraId="2C73E655" w14:textId="2B40E3D6" w:rsidR="00430553" w:rsidRDefault="0004431F" w:rsidP="0024073B">
            <w:pPr>
              <w:tabs>
                <w:tab w:val="left" w:pos="0"/>
              </w:tabs>
              <w:contextualSpacing/>
              <w:jc w:val="both"/>
              <w:rPr>
                <w:rFonts w:ascii="Arial Nova" w:hAnsi="Arial Nova" w:cs="Times New Roman"/>
              </w:rPr>
            </w:pPr>
            <w:r>
              <w:rPr>
                <w:rFonts w:ascii="Arial Nova" w:hAnsi="Arial Nova" w:cs="Times New Roman"/>
              </w:rPr>
              <w:t xml:space="preserve">Una mujer fue </w:t>
            </w:r>
            <w:r w:rsidR="0024073B" w:rsidRPr="0024073B">
              <w:rPr>
                <w:rFonts w:ascii="Arial Nova" w:hAnsi="Arial Nova" w:cs="Times New Roman"/>
              </w:rPr>
              <w:t>condenada en sentencia definitiva por los delitos de delincuencia organizada y privación ilegal de la libertad en su modalidad de secuestro (agravado). Inconforme, promovió juicio de amparo.</w:t>
            </w:r>
            <w:r w:rsidR="0024073B">
              <w:rPr>
                <w:rFonts w:ascii="Arial Nova" w:hAnsi="Arial Nova" w:cs="Times New Roman"/>
              </w:rPr>
              <w:t xml:space="preserve"> </w:t>
            </w:r>
            <w:r w:rsidR="0024073B" w:rsidRPr="0024073B">
              <w:rPr>
                <w:rFonts w:ascii="Arial Nova" w:hAnsi="Arial Nova" w:cs="Times New Roman"/>
              </w:rPr>
              <w:t>El Tribunal Colegiado de Circuito negó la protección constitucional</w:t>
            </w:r>
            <w:r>
              <w:rPr>
                <w:rFonts w:ascii="Arial Nova" w:hAnsi="Arial Nova" w:cs="Times New Roman"/>
              </w:rPr>
              <w:t>, decisión contra la que la mujer interpuso un recurso de revisión</w:t>
            </w:r>
            <w:r w:rsidR="0024073B" w:rsidRPr="0024073B">
              <w:rPr>
                <w:rFonts w:ascii="Arial Nova" w:hAnsi="Arial Nova" w:cs="Times New Roman"/>
              </w:rPr>
              <w:t>.</w:t>
            </w:r>
          </w:p>
          <w:p w14:paraId="29164FAF" w14:textId="77777777" w:rsidR="0024073B" w:rsidRDefault="0024073B" w:rsidP="0024073B">
            <w:pPr>
              <w:tabs>
                <w:tab w:val="left" w:pos="0"/>
              </w:tabs>
              <w:contextualSpacing/>
              <w:jc w:val="both"/>
              <w:rPr>
                <w:rFonts w:ascii="Arial Nova" w:hAnsi="Arial Nova" w:cs="Times New Roman"/>
              </w:rPr>
            </w:pPr>
          </w:p>
          <w:p w14:paraId="5A0395DE" w14:textId="77777777" w:rsidR="0024073B" w:rsidRPr="0024073B" w:rsidRDefault="0024073B" w:rsidP="0024073B">
            <w:pPr>
              <w:jc w:val="both"/>
              <w:rPr>
                <w:rFonts w:ascii="Arial Nova" w:hAnsi="Arial Nova" w:cs="Times New Roman"/>
              </w:rPr>
            </w:pPr>
            <w:r w:rsidRPr="0024073B">
              <w:rPr>
                <w:rFonts w:ascii="Arial Nova" w:hAnsi="Arial Nova" w:cs="Times New Roman"/>
              </w:rPr>
              <w:t>En su fallo, el Alto Tribunal reflexionó que la persecución de delitos y su sanción se caracteriza por los sesgos y los prejuicios sobre las mujeres, por lo que las autoridades incorrectamente no consideran los diversos factores que las pueden coaccionar a relacionarse o involucrarse en la comisión del delito, haciendo necesaria la aplicación de la perspectiva de género para verificar si las razones que llevaron a la mujer a la privación de su libertad están condicionadas al orden social de género en el que cabe la subordinación, la discriminación y la violencia.</w:t>
            </w:r>
          </w:p>
          <w:p w14:paraId="56993E4A" w14:textId="77777777" w:rsidR="0024073B" w:rsidRPr="0024073B" w:rsidRDefault="0024073B" w:rsidP="0024073B">
            <w:pPr>
              <w:jc w:val="both"/>
              <w:rPr>
                <w:rFonts w:ascii="Arial Nova" w:hAnsi="Arial Nova" w:cs="Times New Roman"/>
              </w:rPr>
            </w:pPr>
          </w:p>
          <w:p w14:paraId="4FF77227" w14:textId="77777777" w:rsidR="0024073B" w:rsidRPr="0024073B" w:rsidRDefault="0024073B" w:rsidP="0024073B">
            <w:pPr>
              <w:jc w:val="both"/>
              <w:rPr>
                <w:rFonts w:ascii="Arial Nova" w:hAnsi="Arial Nova" w:cs="Times New Roman"/>
              </w:rPr>
            </w:pPr>
            <w:r w:rsidRPr="0024073B">
              <w:rPr>
                <w:rFonts w:ascii="Arial Nova" w:hAnsi="Arial Nova" w:cs="Times New Roman"/>
              </w:rPr>
              <w:t>En este sentido, al analizar el caso concreto, en suplencia de la queja y a la luz de la doctrina y precedentes judiciales en materia de perspectiva de género e interseccionalidad, la Primera Sala resolvió que el Tribunal Colegiado omitió juzgar con la perspectiva mencionada el asunto sometido a su consideración.</w:t>
            </w:r>
          </w:p>
          <w:p w14:paraId="6CAD9394" w14:textId="77777777" w:rsidR="0024073B" w:rsidRDefault="0024073B" w:rsidP="0024073B">
            <w:pPr>
              <w:tabs>
                <w:tab w:val="left" w:pos="0"/>
              </w:tabs>
              <w:contextualSpacing/>
              <w:jc w:val="both"/>
              <w:rPr>
                <w:rFonts w:ascii="Arial Nova" w:hAnsi="Arial Nova" w:cs="Times New Roman"/>
              </w:rPr>
            </w:pPr>
          </w:p>
          <w:p w14:paraId="7BDE60CA" w14:textId="4C196F71" w:rsidR="0004431F" w:rsidRPr="00BA3FDF" w:rsidRDefault="0004431F" w:rsidP="0004431F">
            <w:pPr>
              <w:jc w:val="both"/>
              <w:rPr>
                <w:rFonts w:ascii="Arial Nova" w:hAnsi="Arial Nova" w:cs="Times New Roman"/>
              </w:rPr>
            </w:pPr>
            <w:r w:rsidRPr="0004431F">
              <w:rPr>
                <w:rFonts w:ascii="Arial Nova" w:hAnsi="Arial Nova" w:cs="Times New Roman"/>
              </w:rPr>
              <w:t xml:space="preserve">Al respecto, la Sala enfatizó la importancia de identificar, en los delitos de secuestro, los factores de vulnerabilidad, las causas, su contexto social, individual y familiar y su grado de participación, con objeto de no atribuirle a las mujeres delitos injustificadamente, </w:t>
            </w:r>
            <w:r w:rsidRPr="00BA3FDF">
              <w:rPr>
                <w:rFonts w:ascii="Arial Nova" w:hAnsi="Arial Nova" w:cs="Times New Roman"/>
              </w:rPr>
              <w:t xml:space="preserve">cuando </w:t>
            </w:r>
            <w:r w:rsidR="00F63AD8" w:rsidRPr="00BA3FDF">
              <w:rPr>
                <w:rFonts w:ascii="Arial Nova" w:hAnsi="Arial Nova" w:cs="Times New Roman"/>
              </w:rPr>
              <w:t>é</w:t>
            </w:r>
            <w:r w:rsidRPr="00BA3FDF">
              <w:rPr>
                <w:rFonts w:ascii="Arial Nova" w:hAnsi="Arial Nova" w:cs="Times New Roman"/>
              </w:rPr>
              <w:t>stos son cometidos por personas cercanas a su entorno y también para no imponer sanciones desproporcionales, que las afecten de manera irreparable.</w:t>
            </w:r>
          </w:p>
          <w:p w14:paraId="42F7F270" w14:textId="77777777" w:rsidR="0004431F" w:rsidRPr="00BA3FDF" w:rsidRDefault="0004431F" w:rsidP="0004431F">
            <w:pPr>
              <w:jc w:val="both"/>
              <w:rPr>
                <w:rFonts w:ascii="Arial Nova" w:hAnsi="Arial Nova" w:cs="Times New Roman"/>
              </w:rPr>
            </w:pPr>
          </w:p>
          <w:p w14:paraId="068A96B6" w14:textId="558AC958" w:rsidR="00DF2818" w:rsidRPr="00650F1C" w:rsidRDefault="0004431F" w:rsidP="0004431F">
            <w:pPr>
              <w:jc w:val="both"/>
              <w:rPr>
                <w:rFonts w:ascii="Times New Roman" w:hAnsi="Times New Roman" w:cs="Times New Roman"/>
                <w:sz w:val="20"/>
                <w:szCs w:val="20"/>
              </w:rPr>
            </w:pPr>
            <w:r w:rsidRPr="00BA3FDF">
              <w:rPr>
                <w:rFonts w:ascii="Arial Nova" w:hAnsi="Arial Nova" w:cs="Times New Roman"/>
              </w:rPr>
              <w:t>Por tales razones, la Primera Sa</w:t>
            </w:r>
            <w:r w:rsidR="00F63AD8" w:rsidRPr="00BA3FDF">
              <w:rPr>
                <w:rFonts w:ascii="Arial Nova" w:hAnsi="Arial Nova" w:cs="Times New Roman"/>
              </w:rPr>
              <w:t>l</w:t>
            </w:r>
            <w:r w:rsidRPr="00BA3FDF">
              <w:rPr>
                <w:rFonts w:ascii="Arial Nova" w:hAnsi="Arial Nova" w:cs="Times New Roman"/>
              </w:rPr>
              <w:t>a revocó la sentencia impugnada y devolvió el asunto al Tribunal Colegiado para que emita otra</w:t>
            </w:r>
            <w:r>
              <w:rPr>
                <w:rFonts w:ascii="Arial Nova" w:hAnsi="Arial Nova" w:cs="Times New Roman"/>
              </w:rPr>
              <w:t xml:space="preserve"> en la que</w:t>
            </w:r>
            <w:r w:rsidRPr="0004431F">
              <w:rPr>
                <w:rFonts w:ascii="Arial Nova" w:hAnsi="Arial Nova" w:cs="Times New Roman"/>
              </w:rPr>
              <w:t xml:space="preserve"> analice </w:t>
            </w:r>
            <w:r>
              <w:rPr>
                <w:rFonts w:ascii="Arial Nova" w:hAnsi="Arial Nova" w:cs="Times New Roman"/>
              </w:rPr>
              <w:t xml:space="preserve">el caso </w:t>
            </w:r>
            <w:r w:rsidRPr="0004431F">
              <w:rPr>
                <w:rFonts w:ascii="Arial Nova" w:hAnsi="Arial Nova" w:cs="Times New Roman"/>
              </w:rPr>
              <w:t>con perspectiva de género e interseccionalidad</w:t>
            </w:r>
            <w:r>
              <w:rPr>
                <w:rFonts w:ascii="Arial Nova" w:hAnsi="Arial Nova" w:cs="Times New Roman"/>
              </w:rPr>
              <w:t>.</w:t>
            </w:r>
          </w:p>
        </w:tc>
      </w:tr>
    </w:tbl>
    <w:p w14:paraId="1533AF45" w14:textId="77777777" w:rsidR="0024073B" w:rsidRDefault="0024073B" w:rsidP="003F3A4A">
      <w:pPr>
        <w:spacing w:after="0" w:line="240" w:lineRule="auto"/>
        <w:jc w:val="both"/>
        <w:rPr>
          <w:rFonts w:ascii="Arial Nova" w:hAnsi="Arial Nova" w:cs="Times New Roman"/>
          <w:sz w:val="24"/>
          <w:szCs w:val="24"/>
        </w:rPr>
      </w:pPr>
    </w:p>
    <w:p w14:paraId="03DEA38B" w14:textId="5139B2B0" w:rsidR="0041308F" w:rsidRPr="00642B2A" w:rsidRDefault="007B3BE9" w:rsidP="00BA3FDF">
      <w:pPr>
        <w:shd w:val="clear" w:color="auto" w:fill="B4C6E7" w:themeFill="accent1" w:themeFillTint="66"/>
        <w:tabs>
          <w:tab w:val="left" w:pos="7170"/>
          <w:tab w:val="right" w:pos="8838"/>
        </w:tabs>
        <w:spacing w:after="0" w:line="276" w:lineRule="auto"/>
        <w:jc w:val="right"/>
        <w:rPr>
          <w:rFonts w:ascii="Arial Nova" w:hAnsi="Arial Nova" w:cs="Times New Roman"/>
          <w:smallCaps/>
          <w:color w:val="000F2E"/>
          <w:sz w:val="24"/>
          <w:szCs w:val="24"/>
        </w:rPr>
      </w:pPr>
      <w:r w:rsidRPr="00BA3FDF">
        <w:rPr>
          <w:rFonts w:ascii="Arial Nova" w:hAnsi="Arial Nova" w:cs="Times New Roman"/>
          <w:b/>
          <w:bCs/>
          <w:smallCaps/>
          <w:color w:val="000F2E"/>
          <w:sz w:val="28"/>
          <w:szCs w:val="28"/>
        </w:rPr>
        <w:t>A</w:t>
      </w:r>
      <w:r w:rsidR="0041308F" w:rsidRPr="00B323DA">
        <w:rPr>
          <w:rFonts w:ascii="Arial Nova" w:hAnsi="Arial Nova" w:cs="Times New Roman"/>
          <w:b/>
          <w:bCs/>
          <w:smallCaps/>
          <w:color w:val="000F2E"/>
          <w:sz w:val="24"/>
          <w:szCs w:val="24"/>
        </w:rPr>
        <w:t>ntecedentes:</w:t>
      </w:r>
    </w:p>
    <w:p w14:paraId="5881BA8D" w14:textId="77777777" w:rsidR="0041308F" w:rsidRDefault="0041308F" w:rsidP="003F3A4A">
      <w:pPr>
        <w:spacing w:after="0" w:line="240" w:lineRule="auto"/>
        <w:jc w:val="both"/>
        <w:rPr>
          <w:rFonts w:ascii="Arial Nova" w:hAnsi="Arial Nova" w:cs="Times New Roman"/>
          <w:sz w:val="24"/>
          <w:szCs w:val="24"/>
        </w:rPr>
      </w:pPr>
    </w:p>
    <w:p w14:paraId="1FCB8E06" w14:textId="6B274945" w:rsidR="0024073B" w:rsidRPr="0024073B" w:rsidRDefault="0024073B" w:rsidP="0024073B">
      <w:pPr>
        <w:tabs>
          <w:tab w:val="left" w:pos="426"/>
        </w:tabs>
        <w:spacing w:after="0" w:line="240" w:lineRule="auto"/>
        <w:jc w:val="both"/>
        <w:rPr>
          <w:rFonts w:ascii="Arial Nova" w:hAnsi="Arial Nova" w:cs="Times New Roman"/>
          <w:sz w:val="24"/>
          <w:szCs w:val="24"/>
        </w:rPr>
      </w:pPr>
      <w:bookmarkStart w:id="4" w:name="_Hlk194571414"/>
      <w:r w:rsidRPr="0024073B">
        <w:rPr>
          <w:rFonts w:ascii="Arial Nova" w:hAnsi="Arial Nova" w:cs="Times New Roman"/>
          <w:sz w:val="24"/>
          <w:szCs w:val="24"/>
        </w:rPr>
        <w:t xml:space="preserve">La Primera Sala de la Suprema Corte de Justicia de la Nación analizó un asunto relacionado con un juicio penal seguido en contra de una mujer quien fue condenada </w:t>
      </w:r>
      <w:r w:rsidRPr="00BA3FDF">
        <w:rPr>
          <w:rFonts w:ascii="Arial Nova" w:hAnsi="Arial Nova" w:cs="Times New Roman"/>
          <w:sz w:val="24"/>
          <w:szCs w:val="24"/>
        </w:rPr>
        <w:t xml:space="preserve">en </w:t>
      </w:r>
      <w:r w:rsidR="00F63AD8" w:rsidRPr="00BA3FDF">
        <w:rPr>
          <w:rFonts w:ascii="Arial Nova" w:hAnsi="Arial Nova" w:cs="Times New Roman"/>
          <w:sz w:val="24"/>
          <w:szCs w:val="24"/>
        </w:rPr>
        <w:t xml:space="preserve">definitiva </w:t>
      </w:r>
      <w:r w:rsidRPr="00BA3FDF">
        <w:rPr>
          <w:rFonts w:ascii="Arial Nova" w:hAnsi="Arial Nova" w:cs="Times New Roman"/>
          <w:sz w:val="24"/>
          <w:szCs w:val="24"/>
        </w:rPr>
        <w:t>por los delitos de delincuencia organizada y secuestro agravado. Esto por haber</w:t>
      </w:r>
      <w:r w:rsidRPr="0024073B">
        <w:rPr>
          <w:rFonts w:ascii="Arial Nova" w:hAnsi="Arial Nova" w:cs="Times New Roman"/>
          <w:sz w:val="24"/>
          <w:szCs w:val="24"/>
        </w:rPr>
        <w:t xml:space="preserve"> participado junto con otra persona en la realización de esa conducta.</w:t>
      </w:r>
    </w:p>
    <w:p w14:paraId="5F143E7D" w14:textId="77777777" w:rsidR="0024073B" w:rsidRPr="0024073B" w:rsidRDefault="0024073B" w:rsidP="0024073B">
      <w:pPr>
        <w:tabs>
          <w:tab w:val="left" w:pos="426"/>
        </w:tabs>
        <w:spacing w:after="0" w:line="240" w:lineRule="auto"/>
        <w:jc w:val="both"/>
        <w:rPr>
          <w:rFonts w:ascii="Arial Nova" w:hAnsi="Arial Nova" w:cs="Times New Roman"/>
          <w:sz w:val="24"/>
          <w:szCs w:val="24"/>
        </w:rPr>
      </w:pPr>
    </w:p>
    <w:p w14:paraId="26AE3819" w14:textId="77777777" w:rsidR="0024073B" w:rsidRPr="0024073B" w:rsidRDefault="0024073B" w:rsidP="0024073B">
      <w:pPr>
        <w:tabs>
          <w:tab w:val="left" w:pos="426"/>
        </w:tabs>
        <w:spacing w:after="0" w:line="240" w:lineRule="auto"/>
        <w:jc w:val="both"/>
        <w:rPr>
          <w:rFonts w:ascii="Arial Nova" w:hAnsi="Arial Nova" w:cs="Times New Roman"/>
          <w:sz w:val="24"/>
          <w:szCs w:val="24"/>
        </w:rPr>
      </w:pPr>
      <w:r w:rsidRPr="0024073B">
        <w:rPr>
          <w:rFonts w:ascii="Arial Nova" w:hAnsi="Arial Nova" w:cs="Times New Roman"/>
          <w:sz w:val="24"/>
          <w:szCs w:val="24"/>
        </w:rPr>
        <w:t>En desacuerdo con la sentencia condenatoria, la mujer promovió un juicio de amparo directo. El Tribunal Colegiado del conocimiento negó la protección constitucional. Inconforme, la quejosa presentó un recurso de revisión.</w:t>
      </w:r>
    </w:p>
    <w:bookmarkEnd w:id="4"/>
    <w:p w14:paraId="2CCA6B77" w14:textId="77777777" w:rsidR="0024073B" w:rsidRDefault="0024073B" w:rsidP="003F3A4A">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580B2C49" w14:textId="77777777" w:rsidR="00D15CBD" w:rsidRDefault="00D15CBD" w:rsidP="008A1CE1">
      <w:pPr>
        <w:spacing w:after="0" w:line="240" w:lineRule="auto"/>
        <w:ind w:right="49"/>
        <w:jc w:val="both"/>
        <w:rPr>
          <w:rFonts w:ascii="Arial Nova" w:hAnsi="Arial Nova" w:cs="Times New Roman"/>
          <w:sz w:val="24"/>
          <w:szCs w:val="24"/>
        </w:rPr>
      </w:pPr>
    </w:p>
    <w:p w14:paraId="06849AF5" w14:textId="27D2F086" w:rsidR="0024073B" w:rsidRPr="00BA3FDF" w:rsidRDefault="0024073B" w:rsidP="0024073B">
      <w:pPr>
        <w:spacing w:after="0" w:line="240" w:lineRule="auto"/>
        <w:jc w:val="both"/>
        <w:rPr>
          <w:rFonts w:ascii="Arial Nova" w:hAnsi="Arial Nova" w:cs="Times New Roman"/>
          <w:sz w:val="24"/>
          <w:szCs w:val="24"/>
        </w:rPr>
      </w:pPr>
      <w:bookmarkStart w:id="5" w:name="_Hlk194571443"/>
      <w:r w:rsidRPr="00BA3FDF">
        <w:rPr>
          <w:rFonts w:ascii="Arial Nova" w:hAnsi="Arial Nova" w:cs="Times New Roman"/>
          <w:sz w:val="24"/>
          <w:szCs w:val="24"/>
        </w:rPr>
        <w:t xml:space="preserve">En su fallo, el Alto Tribunal reflexionó que la persecución de delitos y su sanción se caracteriza por los sesgos y los prejuicios sobre las mujeres, por lo que las autoridades incorrectamente no consideran los diversos factores que las pueden coaccionar a relacionarse o involucrarse en la comisión del delito, haciendo necesaria la aplicación de la perspectiva de género para verificar si las razones que llevaron a la mujer a </w:t>
      </w:r>
      <w:r w:rsidR="00F63AD8" w:rsidRPr="00BA3FDF">
        <w:rPr>
          <w:rFonts w:ascii="Arial Nova" w:hAnsi="Arial Nova" w:cs="Times New Roman"/>
          <w:sz w:val="24"/>
          <w:szCs w:val="24"/>
        </w:rPr>
        <w:t xml:space="preserve">cometer el delito por el que se le sentenció </w:t>
      </w:r>
      <w:r w:rsidRPr="00BA3FDF">
        <w:rPr>
          <w:rFonts w:ascii="Arial Nova" w:hAnsi="Arial Nova" w:cs="Times New Roman"/>
          <w:sz w:val="24"/>
          <w:szCs w:val="24"/>
        </w:rPr>
        <w:t>están condicionadas al orden social de género en el que cabe la subordinación, la discriminación y la violencia.</w:t>
      </w:r>
    </w:p>
    <w:p w14:paraId="283968EB" w14:textId="77777777" w:rsidR="0024073B" w:rsidRPr="00BA3FDF" w:rsidRDefault="0024073B" w:rsidP="0024073B">
      <w:pPr>
        <w:spacing w:after="0" w:line="240" w:lineRule="auto"/>
        <w:jc w:val="both"/>
        <w:rPr>
          <w:rFonts w:ascii="Arial Nova" w:hAnsi="Arial Nova" w:cs="Times New Roman"/>
          <w:sz w:val="24"/>
          <w:szCs w:val="24"/>
        </w:rPr>
      </w:pPr>
    </w:p>
    <w:p w14:paraId="3D7AD6E3" w14:textId="09BEE04B" w:rsidR="0024073B" w:rsidRPr="00BA3FDF" w:rsidRDefault="0024073B" w:rsidP="0024073B">
      <w:pPr>
        <w:spacing w:after="0" w:line="240" w:lineRule="auto"/>
        <w:jc w:val="both"/>
        <w:rPr>
          <w:rFonts w:ascii="Arial Nova" w:hAnsi="Arial Nova" w:cs="Times New Roman"/>
          <w:sz w:val="24"/>
          <w:szCs w:val="24"/>
        </w:rPr>
      </w:pPr>
      <w:r w:rsidRPr="00BA3FDF">
        <w:rPr>
          <w:rFonts w:ascii="Arial Nova" w:hAnsi="Arial Nova" w:cs="Times New Roman"/>
          <w:sz w:val="24"/>
          <w:szCs w:val="24"/>
        </w:rPr>
        <w:t>En este sentido, al analizar el caso, en suplencia de la queja y a la luz de la doctrina y precedentes judiciales en materia de perspectiva de género e interseccionalidad, la Primera Sala resolvió que el Tribunal Colegiado omitió juzgar con la perspectiva mencionada el asunto sometido a su consideración.</w:t>
      </w:r>
    </w:p>
    <w:p w14:paraId="2C92A24D" w14:textId="77777777" w:rsidR="0024073B" w:rsidRPr="00BA3FDF" w:rsidRDefault="0024073B" w:rsidP="0024073B">
      <w:pPr>
        <w:spacing w:after="0" w:line="240" w:lineRule="auto"/>
        <w:jc w:val="both"/>
        <w:rPr>
          <w:rFonts w:ascii="Arial Nova" w:hAnsi="Arial Nova" w:cs="Times New Roman"/>
          <w:sz w:val="24"/>
          <w:szCs w:val="24"/>
        </w:rPr>
      </w:pPr>
    </w:p>
    <w:p w14:paraId="106923AA" w14:textId="77777777" w:rsidR="0024073B" w:rsidRPr="00BA3FDF" w:rsidRDefault="0024073B" w:rsidP="0024073B">
      <w:pPr>
        <w:spacing w:after="0" w:line="240" w:lineRule="auto"/>
        <w:jc w:val="both"/>
        <w:rPr>
          <w:rFonts w:ascii="Arial Nova" w:hAnsi="Arial Nova" w:cs="Times New Roman"/>
          <w:sz w:val="24"/>
          <w:szCs w:val="24"/>
        </w:rPr>
      </w:pPr>
      <w:r w:rsidRPr="00BA3FDF">
        <w:rPr>
          <w:rFonts w:ascii="Arial Nova" w:hAnsi="Arial Nova" w:cs="Times New Roman"/>
          <w:sz w:val="24"/>
          <w:szCs w:val="24"/>
        </w:rPr>
        <w:t xml:space="preserve">Lo anterior, pues de la revisión de la resolución impugnada, no se advirtió que el Tribunal Colegiado hubiese analizado la situación de vulnerabilidad en la que —posiblemente— se encontraba la solicitante de amparo como mujer, tomando en cuenta los impactos de la posible violencia de género, discriminación o condiciones de desventaja estructural o subordinación, para determinar si era posible considerar que la responsabilidad penal de la solicitante de amparo estaba acreditada más allá de toda duda razonable. Incluso fue omiso en ordenar el ofrecimiento y desahogo de pruebas necesarias y suficientes para visibilizar esas situaciones. Asimismo, incumplió con su deber de apartarse de cualquier uso de frases, perjuicios personales y estereotipos. Esto, en aras de establecer si la quejosa realmente tuvo un </w:t>
      </w:r>
      <w:proofErr w:type="spellStart"/>
      <w:r w:rsidRPr="00BA3FDF">
        <w:rPr>
          <w:rFonts w:ascii="Arial Nova" w:hAnsi="Arial Nova" w:cs="Times New Roman"/>
          <w:sz w:val="24"/>
          <w:szCs w:val="24"/>
        </w:rPr>
        <w:t>codominio</w:t>
      </w:r>
      <w:proofErr w:type="spellEnd"/>
      <w:r w:rsidRPr="00BA3FDF">
        <w:rPr>
          <w:rFonts w:ascii="Arial Nova" w:hAnsi="Arial Nova" w:cs="Times New Roman"/>
          <w:sz w:val="24"/>
          <w:szCs w:val="24"/>
        </w:rPr>
        <w:t xml:space="preserve"> funcional del hecho (dominio compartido en la realización de la conducta), o bien que, dado el contexto factico si existió o no, un sometimiento, posicionado bajo su rol de mujer y su edad.</w:t>
      </w:r>
    </w:p>
    <w:p w14:paraId="2C89F35F" w14:textId="77777777" w:rsidR="0024073B" w:rsidRPr="00BA3FDF" w:rsidRDefault="0024073B" w:rsidP="0024073B">
      <w:pPr>
        <w:spacing w:after="0" w:line="240" w:lineRule="auto"/>
        <w:jc w:val="both"/>
        <w:rPr>
          <w:rFonts w:ascii="Arial Nova" w:hAnsi="Arial Nova" w:cs="Times New Roman"/>
          <w:sz w:val="24"/>
          <w:szCs w:val="24"/>
        </w:rPr>
      </w:pPr>
    </w:p>
    <w:p w14:paraId="434A4958" w14:textId="6A51C5B5" w:rsidR="0024073B" w:rsidRPr="00BA3FDF" w:rsidRDefault="0024073B" w:rsidP="0024073B">
      <w:pPr>
        <w:spacing w:after="0" w:line="240" w:lineRule="auto"/>
        <w:jc w:val="both"/>
        <w:rPr>
          <w:rFonts w:ascii="Arial Nova" w:hAnsi="Arial Nova" w:cs="Times New Roman"/>
          <w:sz w:val="24"/>
          <w:szCs w:val="24"/>
        </w:rPr>
      </w:pPr>
      <w:r w:rsidRPr="00BA3FDF">
        <w:rPr>
          <w:rFonts w:ascii="Arial Nova" w:hAnsi="Arial Nova" w:cs="Times New Roman"/>
          <w:sz w:val="24"/>
          <w:szCs w:val="24"/>
        </w:rPr>
        <w:lastRenderedPageBreak/>
        <w:t xml:space="preserve">Al respecto, la Sala enfatizó la importancia de identificar, en los delitos de secuestro, los factores de vulnerabilidad, las causas, su contexto social, individual y familiar y su grado de participación, con objeto de no atribuirle a las mujeres delitos injustificadamente, cuando </w:t>
      </w:r>
      <w:r w:rsidR="00F63AD8" w:rsidRPr="00BA3FDF">
        <w:rPr>
          <w:rFonts w:ascii="Arial Nova" w:hAnsi="Arial Nova" w:cs="Times New Roman"/>
          <w:sz w:val="24"/>
          <w:szCs w:val="24"/>
        </w:rPr>
        <w:t>é</w:t>
      </w:r>
      <w:r w:rsidRPr="00BA3FDF">
        <w:rPr>
          <w:rFonts w:ascii="Arial Nova" w:hAnsi="Arial Nova" w:cs="Times New Roman"/>
          <w:sz w:val="24"/>
          <w:szCs w:val="24"/>
        </w:rPr>
        <w:t>stos son cometidos por personas cercanas a su entorno y también para no imponer sanciones desproporcionales, que las afecten de manera irreparable.</w:t>
      </w:r>
    </w:p>
    <w:p w14:paraId="13EC99E6" w14:textId="77777777" w:rsidR="0024073B" w:rsidRPr="00BA3FDF" w:rsidRDefault="0024073B" w:rsidP="0024073B">
      <w:pPr>
        <w:spacing w:after="0" w:line="240" w:lineRule="auto"/>
        <w:jc w:val="both"/>
        <w:rPr>
          <w:rFonts w:ascii="Arial Nova" w:hAnsi="Arial Nova" w:cs="Times New Roman"/>
          <w:sz w:val="24"/>
          <w:szCs w:val="24"/>
        </w:rPr>
      </w:pPr>
    </w:p>
    <w:p w14:paraId="76D8D9BA" w14:textId="77777777" w:rsidR="0024073B" w:rsidRPr="00BA3FDF" w:rsidRDefault="0024073B" w:rsidP="0024073B">
      <w:pPr>
        <w:spacing w:after="0" w:line="240" w:lineRule="auto"/>
        <w:jc w:val="both"/>
        <w:rPr>
          <w:rFonts w:ascii="Arial Nova" w:hAnsi="Arial Nova" w:cs="Times New Roman"/>
          <w:sz w:val="24"/>
          <w:szCs w:val="24"/>
        </w:rPr>
      </w:pPr>
      <w:r w:rsidRPr="00BA3FDF">
        <w:rPr>
          <w:rFonts w:ascii="Arial Nova" w:hAnsi="Arial Nova" w:cs="Times New Roman"/>
          <w:sz w:val="24"/>
          <w:szCs w:val="24"/>
        </w:rPr>
        <w:t>Ello es así, pues si bien las mujeres pueden elegir conscientemente quebrantar la ley, es necesario analizar el contexto para descartar que, en el caso, existió o no alguna circunstancia de violencia, discriminación y condiciones de subordinación que implicara el que pudiera ser inducida o, incluso, coaccionada para delinquir.</w:t>
      </w:r>
    </w:p>
    <w:p w14:paraId="7825B837" w14:textId="77777777" w:rsidR="0024073B" w:rsidRPr="00BA3FDF" w:rsidRDefault="0024073B" w:rsidP="0024073B">
      <w:pPr>
        <w:spacing w:after="0" w:line="240" w:lineRule="auto"/>
        <w:jc w:val="both"/>
        <w:rPr>
          <w:rFonts w:ascii="Arial Nova" w:hAnsi="Arial Nova" w:cs="Times New Roman"/>
          <w:sz w:val="24"/>
          <w:szCs w:val="24"/>
        </w:rPr>
      </w:pPr>
    </w:p>
    <w:p w14:paraId="5A191BBA" w14:textId="77777777" w:rsidR="0024073B" w:rsidRPr="0024073B" w:rsidRDefault="0024073B" w:rsidP="0024073B">
      <w:pPr>
        <w:spacing w:after="0" w:line="240" w:lineRule="auto"/>
        <w:jc w:val="both"/>
        <w:rPr>
          <w:rFonts w:ascii="Arial Nova" w:hAnsi="Arial Nova" w:cs="Times New Roman"/>
          <w:sz w:val="24"/>
          <w:szCs w:val="24"/>
        </w:rPr>
      </w:pPr>
      <w:r w:rsidRPr="00BA3FDF">
        <w:rPr>
          <w:rFonts w:ascii="Arial Nova" w:hAnsi="Arial Nova" w:cs="Times New Roman"/>
          <w:sz w:val="24"/>
          <w:szCs w:val="24"/>
        </w:rPr>
        <w:t>Por tales motivos, el Máximo Tribunal revocó la sentencia impugnada y devolvió el asunto al Tribunal Colegiado para que lo analice con perspectiva de género e interseccionalidad en cuanto a la situación en que se encontraba la mujer solicitante de amparo al momento de cometer el delito atribuido, y emita una nueva resolución en la que considere su edad, así como los factores en los que se encontraba el día de los hechos y analice si, de conformidad con las pruebas existentes, es posible advertir cuál era la función que realizaba en comparación con sus coinculpados.</w:t>
      </w:r>
    </w:p>
    <w:p w14:paraId="10499141" w14:textId="77777777" w:rsidR="0024073B" w:rsidRPr="002664B1" w:rsidRDefault="0024073B" w:rsidP="0024073B">
      <w:pPr>
        <w:spacing w:after="0" w:line="240" w:lineRule="auto"/>
        <w:jc w:val="both"/>
        <w:rPr>
          <w:rFonts w:ascii="Arial" w:hAnsi="Arial" w:cs="Arial"/>
          <w:sz w:val="23"/>
          <w:szCs w:val="23"/>
        </w:rPr>
      </w:pPr>
    </w:p>
    <w:bookmarkEnd w:id="5"/>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2F48E580" w:rsidR="004A1EB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864424">
        <w:rPr>
          <w:rFonts w:ascii="Arial Nova" w:hAnsi="Arial Nova" w:cs="Times New Roman"/>
          <w:sz w:val="24"/>
          <w:szCs w:val="24"/>
        </w:rPr>
        <w:t xml:space="preserve">9 </w:t>
      </w:r>
      <w:r w:rsidR="00FF6E0D">
        <w:rPr>
          <w:rFonts w:ascii="Arial Nova" w:hAnsi="Arial Nova" w:cs="Times New Roman"/>
          <w:sz w:val="24"/>
          <w:szCs w:val="24"/>
        </w:rPr>
        <w:t xml:space="preserve">de abril </w:t>
      </w:r>
      <w:r w:rsidR="00AD147A">
        <w:rPr>
          <w:rFonts w:ascii="Arial Nova" w:hAnsi="Arial Nova" w:cs="Times New Roman"/>
          <w:sz w:val="24"/>
          <w:szCs w:val="24"/>
        </w:rPr>
        <w:t>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6F17DD">
        <w:rPr>
          <w:rFonts w:ascii="Arial Nova" w:hAnsi="Arial Nova" w:cs="Times New Roman"/>
          <w:sz w:val="24"/>
          <w:szCs w:val="24"/>
        </w:rPr>
        <w:t xml:space="preserve">mayoría de </w:t>
      </w:r>
      <w:r w:rsidR="00D60A30">
        <w:rPr>
          <w:rFonts w:ascii="Arial Nova" w:hAnsi="Arial Nova" w:cs="Times New Roman"/>
          <w:sz w:val="24"/>
          <w:szCs w:val="24"/>
        </w:rPr>
        <w:t xml:space="preserve">tres votos </w:t>
      </w:r>
      <w:r w:rsidR="00AD147A">
        <w:rPr>
          <w:rFonts w:ascii="Arial Nova" w:hAnsi="Arial Nova" w:cs="Times New Roman"/>
          <w:sz w:val="24"/>
          <w:szCs w:val="24"/>
        </w:rPr>
        <w:t xml:space="preserve">de </w:t>
      </w:r>
      <w:r w:rsidR="002F5E8B" w:rsidRPr="00E32435">
        <w:rPr>
          <w:rFonts w:ascii="Arial Nova" w:hAnsi="Arial Nova" w:cs="Times New Roman"/>
          <w:sz w:val="24"/>
          <w:szCs w:val="24"/>
        </w:rPr>
        <w:t>la</w:t>
      </w:r>
      <w:r w:rsidR="00860478">
        <w:rPr>
          <w:rFonts w:ascii="Arial Nova" w:hAnsi="Arial Nova" w:cs="Times New Roman"/>
          <w:sz w:val="24"/>
          <w:szCs w:val="24"/>
        </w:rPr>
        <w:t>s</w:t>
      </w:r>
      <w:r w:rsidR="002F5E8B" w:rsidRPr="00E32435">
        <w:rPr>
          <w:rFonts w:ascii="Arial Nova" w:hAnsi="Arial Nova" w:cs="Times New Roman"/>
          <w:sz w:val="24"/>
          <w:szCs w:val="24"/>
        </w:rPr>
        <w:t xml:space="preserve"> </w:t>
      </w:r>
      <w:r w:rsidR="004A1EB7">
        <w:rPr>
          <w:rFonts w:ascii="Arial Nova" w:hAnsi="Arial Nova" w:cs="Times New Roman"/>
          <w:sz w:val="24"/>
          <w:szCs w:val="24"/>
        </w:rPr>
        <w:t>Señora</w:t>
      </w:r>
      <w:r w:rsidR="00860478">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860478">
        <w:rPr>
          <w:rFonts w:ascii="Arial Nova" w:hAnsi="Arial Nova" w:cs="Times New Roman"/>
          <w:sz w:val="24"/>
          <w:szCs w:val="24"/>
        </w:rPr>
        <w:t>s</w:t>
      </w:r>
      <w:r w:rsidR="00D15CBD">
        <w:rPr>
          <w:rFonts w:ascii="Arial Nova" w:hAnsi="Arial Nova" w:cs="Times New Roman"/>
          <w:sz w:val="24"/>
          <w:szCs w:val="24"/>
        </w:rPr>
        <w:t xml:space="preserve"> </w:t>
      </w:r>
      <w:r w:rsidR="00A3790C">
        <w:rPr>
          <w:rFonts w:ascii="Arial Nova" w:hAnsi="Arial Nova" w:cs="Times New Roman"/>
          <w:sz w:val="24"/>
          <w:szCs w:val="24"/>
        </w:rPr>
        <w:t>Loretta Ortiz Ahlf</w:t>
      </w:r>
      <w:r w:rsidR="00AD147A">
        <w:rPr>
          <w:rFonts w:ascii="Arial Nova" w:hAnsi="Arial Nova" w:cs="Times New Roman"/>
          <w:sz w:val="24"/>
          <w:szCs w:val="24"/>
        </w:rPr>
        <w:t xml:space="preserve"> (Presidenta)</w:t>
      </w:r>
      <w:r w:rsidR="00860478">
        <w:rPr>
          <w:rFonts w:ascii="Arial Nova" w:hAnsi="Arial Nova" w:cs="Times New Roman"/>
          <w:sz w:val="24"/>
          <w:szCs w:val="24"/>
        </w:rPr>
        <w:t xml:space="preserve"> y Ana Margarita Ríos Farjat</w:t>
      </w:r>
      <w:r w:rsidR="00A3790C">
        <w:rPr>
          <w:rFonts w:ascii="Arial Nova" w:hAnsi="Arial Nova" w:cs="Times New Roman"/>
          <w:sz w:val="24"/>
          <w:szCs w:val="24"/>
        </w:rPr>
        <w:t>, así como</w:t>
      </w:r>
      <w:r w:rsidR="002C3D3E">
        <w:rPr>
          <w:rFonts w:ascii="Arial Nova" w:hAnsi="Arial Nova" w:cs="Times New Roman"/>
          <w:sz w:val="24"/>
          <w:szCs w:val="24"/>
        </w:rPr>
        <w:t xml:space="preserve"> de</w:t>
      </w:r>
      <w:r w:rsidR="00D60A30">
        <w:rPr>
          <w:rFonts w:ascii="Arial Nova" w:hAnsi="Arial Nova" w:cs="Times New Roman"/>
          <w:sz w:val="24"/>
          <w:szCs w:val="24"/>
        </w:rPr>
        <w:t xml:space="preserve">l </w:t>
      </w:r>
      <w:r w:rsidR="0004431F">
        <w:rPr>
          <w:rFonts w:ascii="Arial Nova" w:hAnsi="Arial Nova" w:cs="Times New Roman"/>
          <w:sz w:val="24"/>
          <w:szCs w:val="24"/>
        </w:rPr>
        <w:t xml:space="preserve">Señor </w:t>
      </w:r>
      <w:r w:rsidR="00D60A30">
        <w:rPr>
          <w:rFonts w:ascii="Arial Nova" w:hAnsi="Arial Nova" w:cs="Times New Roman"/>
          <w:sz w:val="24"/>
          <w:szCs w:val="24"/>
        </w:rPr>
        <w:t xml:space="preserve">Ministro </w:t>
      </w:r>
      <w:r w:rsidR="004A1EB7" w:rsidRPr="00E32435">
        <w:rPr>
          <w:rFonts w:ascii="Arial Nova" w:hAnsi="Arial Nova" w:cs="Times New Roman"/>
          <w:sz w:val="24"/>
          <w:szCs w:val="24"/>
        </w:rPr>
        <w:t>Alfredo Gutiérrez Ortiz Mena</w:t>
      </w:r>
      <w:r w:rsidR="00D60A30">
        <w:rPr>
          <w:rFonts w:ascii="Arial Nova" w:hAnsi="Arial Nova" w:cs="Times New Roman"/>
          <w:sz w:val="24"/>
          <w:szCs w:val="24"/>
        </w:rPr>
        <w:t xml:space="preserve">. </w:t>
      </w:r>
      <w:r w:rsidR="006F17DD">
        <w:rPr>
          <w:rFonts w:ascii="Arial Nova" w:hAnsi="Arial Nova" w:cs="Times New Roman"/>
          <w:sz w:val="24"/>
          <w:szCs w:val="24"/>
        </w:rPr>
        <w:t>En contra de</w:t>
      </w:r>
      <w:r w:rsidR="00D60A30">
        <w:rPr>
          <w:rFonts w:ascii="Arial Nova" w:hAnsi="Arial Nova" w:cs="Times New Roman"/>
          <w:sz w:val="24"/>
          <w:szCs w:val="24"/>
        </w:rPr>
        <w:t xml:space="preserve"> los</w:t>
      </w:r>
      <w:r w:rsidR="006F17DD">
        <w:rPr>
          <w:rFonts w:ascii="Arial Nova" w:hAnsi="Arial Nova" w:cs="Times New Roman"/>
          <w:sz w:val="24"/>
          <w:szCs w:val="24"/>
        </w:rPr>
        <w:t xml:space="preserve"> emitido</w:t>
      </w:r>
      <w:r w:rsidR="00D60A30">
        <w:rPr>
          <w:rFonts w:ascii="Arial Nova" w:hAnsi="Arial Nova" w:cs="Times New Roman"/>
          <w:sz w:val="24"/>
          <w:szCs w:val="24"/>
        </w:rPr>
        <w:t>s</w:t>
      </w:r>
      <w:r w:rsidR="006F17DD">
        <w:rPr>
          <w:rFonts w:ascii="Arial Nova" w:hAnsi="Arial Nova" w:cs="Times New Roman"/>
          <w:sz w:val="24"/>
          <w:szCs w:val="24"/>
        </w:rPr>
        <w:t xml:space="preserve"> por </w:t>
      </w:r>
      <w:r w:rsidR="00D60A30">
        <w:rPr>
          <w:rFonts w:ascii="Arial Nova" w:hAnsi="Arial Nova" w:cs="Times New Roman"/>
          <w:sz w:val="24"/>
          <w:szCs w:val="24"/>
        </w:rPr>
        <w:t>los Señores</w:t>
      </w:r>
      <w:r w:rsidR="006F17DD">
        <w:rPr>
          <w:rFonts w:ascii="Arial Nova" w:hAnsi="Arial Nova" w:cs="Times New Roman"/>
          <w:sz w:val="24"/>
          <w:szCs w:val="24"/>
        </w:rPr>
        <w:t xml:space="preserve"> Ministro</w:t>
      </w:r>
      <w:r w:rsidR="00D60A30">
        <w:rPr>
          <w:rFonts w:ascii="Arial Nova" w:hAnsi="Arial Nova" w:cs="Times New Roman"/>
          <w:sz w:val="24"/>
          <w:szCs w:val="24"/>
        </w:rPr>
        <w:t>s</w:t>
      </w:r>
      <w:r w:rsidR="006F17DD">
        <w:rPr>
          <w:rFonts w:ascii="Arial Nova" w:hAnsi="Arial Nova" w:cs="Times New Roman"/>
          <w:sz w:val="24"/>
          <w:szCs w:val="24"/>
        </w:rPr>
        <w:t xml:space="preserve"> </w:t>
      </w:r>
      <w:r w:rsidR="00860478" w:rsidRPr="00E32435">
        <w:rPr>
          <w:rFonts w:ascii="Arial Nova" w:hAnsi="Arial Nova" w:cs="Times New Roman"/>
          <w:sz w:val="24"/>
          <w:szCs w:val="24"/>
        </w:rPr>
        <w:t>Juan Luis</w:t>
      </w:r>
      <w:r w:rsidR="00860478">
        <w:rPr>
          <w:rFonts w:ascii="Arial Nova" w:hAnsi="Arial Nova" w:cs="Times New Roman"/>
          <w:sz w:val="24"/>
          <w:szCs w:val="24"/>
        </w:rPr>
        <w:t xml:space="preserve"> </w:t>
      </w:r>
      <w:r w:rsidR="00860478" w:rsidRPr="00E32435">
        <w:rPr>
          <w:rFonts w:ascii="Arial Nova" w:hAnsi="Arial Nova" w:cs="Times New Roman"/>
          <w:sz w:val="24"/>
          <w:szCs w:val="24"/>
        </w:rPr>
        <w:t xml:space="preserve">González Alcántara </w:t>
      </w:r>
      <w:r w:rsidR="00860478">
        <w:rPr>
          <w:rFonts w:ascii="Arial Nova" w:hAnsi="Arial Nova" w:cs="Times New Roman"/>
          <w:sz w:val="24"/>
          <w:szCs w:val="24"/>
        </w:rPr>
        <w:t>Car</w:t>
      </w:r>
      <w:r w:rsidR="00860478" w:rsidRPr="00E32435">
        <w:rPr>
          <w:rFonts w:ascii="Arial Nova" w:hAnsi="Arial Nova" w:cs="Times New Roman"/>
          <w:sz w:val="24"/>
          <w:szCs w:val="24"/>
        </w:rPr>
        <w:t>rancá</w:t>
      </w:r>
      <w:r w:rsidR="0004431F">
        <w:rPr>
          <w:rFonts w:ascii="Arial Nova" w:hAnsi="Arial Nova" w:cs="Times New Roman"/>
          <w:sz w:val="24"/>
          <w:szCs w:val="24"/>
        </w:rPr>
        <w:t xml:space="preserve">, </w:t>
      </w:r>
      <w:r w:rsidR="0004431F" w:rsidRPr="0004431F">
        <w:rPr>
          <w:rFonts w:ascii="Arial Nova" w:hAnsi="Arial Nova" w:cs="Times New Roman"/>
          <w:sz w:val="24"/>
          <w:szCs w:val="24"/>
        </w:rPr>
        <w:t>quien se reserva su derecho a formular voto particular</w:t>
      </w:r>
      <w:r w:rsidR="0004431F">
        <w:rPr>
          <w:rFonts w:ascii="Arial Nova" w:hAnsi="Arial Nova" w:cs="Times New Roman"/>
          <w:sz w:val="24"/>
          <w:szCs w:val="24"/>
        </w:rPr>
        <w:t>,</w:t>
      </w:r>
      <w:r w:rsidR="00D60A30">
        <w:rPr>
          <w:rFonts w:ascii="Arial Nova" w:hAnsi="Arial Nova" w:cs="Times New Roman"/>
          <w:sz w:val="24"/>
          <w:szCs w:val="24"/>
        </w:rPr>
        <w:t xml:space="preserve"> y Jorge Mario Pardo Rebolledo</w:t>
      </w:r>
      <w:r w:rsidR="00860478">
        <w:rPr>
          <w:rFonts w:ascii="Arial Nova" w:hAnsi="Arial Nova" w:cs="Times New Roman"/>
          <w:sz w:val="24"/>
          <w:szCs w:val="24"/>
        </w:rPr>
        <w:t>.</w:t>
      </w:r>
    </w:p>
    <w:p w14:paraId="0DE01B25" w14:textId="63376F5F" w:rsidR="00197921" w:rsidRPr="00E32435" w:rsidRDefault="00197921" w:rsidP="000018A2">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B86C7" w14:textId="77777777" w:rsidR="00031E4B" w:rsidRDefault="00031E4B" w:rsidP="000A7E7B">
      <w:pPr>
        <w:spacing w:after="0" w:line="240" w:lineRule="auto"/>
      </w:pPr>
      <w:r>
        <w:separator/>
      </w:r>
    </w:p>
    <w:p w14:paraId="7F5E722E" w14:textId="77777777" w:rsidR="00031E4B" w:rsidRDefault="00031E4B"/>
  </w:endnote>
  <w:endnote w:type="continuationSeparator" w:id="0">
    <w:p w14:paraId="2F1D328C" w14:textId="77777777" w:rsidR="00031E4B" w:rsidRDefault="00031E4B" w:rsidP="000A7E7B">
      <w:pPr>
        <w:spacing w:after="0" w:line="240" w:lineRule="auto"/>
      </w:pPr>
      <w:r>
        <w:continuationSeparator/>
      </w:r>
    </w:p>
    <w:p w14:paraId="0E28FF3A" w14:textId="77777777" w:rsidR="00031E4B" w:rsidRDefault="00031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79F17" w14:textId="77777777" w:rsidR="00031E4B" w:rsidRDefault="00031E4B" w:rsidP="000A7E7B">
      <w:pPr>
        <w:spacing w:after="0" w:line="240" w:lineRule="auto"/>
      </w:pPr>
      <w:r>
        <w:separator/>
      </w:r>
    </w:p>
    <w:p w14:paraId="676F1603" w14:textId="77777777" w:rsidR="00031E4B" w:rsidRDefault="00031E4B"/>
  </w:footnote>
  <w:footnote w:type="continuationSeparator" w:id="0">
    <w:p w14:paraId="0D95092F" w14:textId="77777777" w:rsidR="00031E4B" w:rsidRDefault="00031E4B" w:rsidP="000A7E7B">
      <w:pPr>
        <w:spacing w:after="0" w:line="240" w:lineRule="auto"/>
      </w:pPr>
      <w:r>
        <w:continuationSeparator/>
      </w:r>
    </w:p>
    <w:p w14:paraId="298E1A08" w14:textId="77777777" w:rsidR="00031E4B" w:rsidRDefault="00031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6EA18C75"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FF6E0D">
      <w:rPr>
        <w:rFonts w:ascii="Arial Nova" w:hAnsi="Arial Nova" w:cs="Times New Roman"/>
        <w:b/>
        <w:bCs/>
        <w:color w:val="002060"/>
        <w:sz w:val="20"/>
        <w:szCs w:val="20"/>
      </w:rPr>
      <w:t xml:space="preserve"> </w:t>
    </w:r>
    <w:r w:rsidR="006F17DD">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EN REVISIÓN</w:t>
    </w:r>
    <w:r w:rsidR="006F17DD">
      <w:rPr>
        <w:rFonts w:ascii="Arial Nova" w:hAnsi="Arial Nova" w:cs="Times New Roman"/>
        <w:b/>
        <w:bCs/>
        <w:color w:val="002060"/>
        <w:sz w:val="20"/>
        <w:szCs w:val="20"/>
      </w:rPr>
      <w:t xml:space="preserve"> 7</w:t>
    </w:r>
    <w:r w:rsidR="00D60A30">
      <w:rPr>
        <w:rFonts w:ascii="Arial Nova" w:hAnsi="Arial Nova" w:cs="Times New Roman"/>
        <w:b/>
        <w:bCs/>
        <w:color w:val="002060"/>
        <w:sz w:val="20"/>
        <w:szCs w:val="20"/>
      </w:rPr>
      <w:t>466</w:t>
    </w:r>
    <w:r w:rsidRPr="00046D48">
      <w:rPr>
        <w:rFonts w:ascii="Arial Nova" w:hAnsi="Arial Nova" w:cs="Times New Roman"/>
        <w:b/>
        <w:bCs/>
        <w:color w:val="002060"/>
        <w:sz w:val="20"/>
        <w:szCs w:val="20"/>
      </w:rPr>
      <w:t>/202</w:t>
    </w:r>
    <w:r w:rsidR="00D60A30">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6"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6"/>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717E45"/>
    <w:multiLevelType w:val="hybridMultilevel"/>
    <w:tmpl w:val="AB9C1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42002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12771"/>
    <w:rsid w:val="00023E29"/>
    <w:rsid w:val="00024AF3"/>
    <w:rsid w:val="00026C6C"/>
    <w:rsid w:val="00031E4B"/>
    <w:rsid w:val="00037474"/>
    <w:rsid w:val="0004431F"/>
    <w:rsid w:val="0004681E"/>
    <w:rsid w:val="00046D48"/>
    <w:rsid w:val="000474D9"/>
    <w:rsid w:val="000614E2"/>
    <w:rsid w:val="00061DB9"/>
    <w:rsid w:val="000643FD"/>
    <w:rsid w:val="00072FD1"/>
    <w:rsid w:val="00080AAC"/>
    <w:rsid w:val="00084403"/>
    <w:rsid w:val="000911E5"/>
    <w:rsid w:val="00093A38"/>
    <w:rsid w:val="000A0E87"/>
    <w:rsid w:val="000A5B78"/>
    <w:rsid w:val="000A67FF"/>
    <w:rsid w:val="000A7E7B"/>
    <w:rsid w:val="000B04DC"/>
    <w:rsid w:val="000B20BF"/>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29B2"/>
    <w:rsid w:val="002253EA"/>
    <w:rsid w:val="00225959"/>
    <w:rsid w:val="00226176"/>
    <w:rsid w:val="00226830"/>
    <w:rsid w:val="00227105"/>
    <w:rsid w:val="0023060C"/>
    <w:rsid w:val="0023754B"/>
    <w:rsid w:val="002376B7"/>
    <w:rsid w:val="0024073B"/>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54BF0"/>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D628F"/>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08F"/>
    <w:rsid w:val="00413926"/>
    <w:rsid w:val="00414B37"/>
    <w:rsid w:val="00416322"/>
    <w:rsid w:val="004239C9"/>
    <w:rsid w:val="00430553"/>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908"/>
    <w:rsid w:val="004B21C2"/>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5F799E"/>
    <w:rsid w:val="006113BD"/>
    <w:rsid w:val="006126BA"/>
    <w:rsid w:val="00614196"/>
    <w:rsid w:val="006146C9"/>
    <w:rsid w:val="006206CA"/>
    <w:rsid w:val="006216AF"/>
    <w:rsid w:val="00622CF0"/>
    <w:rsid w:val="00624A06"/>
    <w:rsid w:val="00624A59"/>
    <w:rsid w:val="00630C4B"/>
    <w:rsid w:val="00630FC2"/>
    <w:rsid w:val="006317C8"/>
    <w:rsid w:val="00634DD2"/>
    <w:rsid w:val="006408E4"/>
    <w:rsid w:val="00640C82"/>
    <w:rsid w:val="00640D37"/>
    <w:rsid w:val="0064214E"/>
    <w:rsid w:val="006421A3"/>
    <w:rsid w:val="00642B2A"/>
    <w:rsid w:val="00644F86"/>
    <w:rsid w:val="00646B50"/>
    <w:rsid w:val="00650211"/>
    <w:rsid w:val="006524F2"/>
    <w:rsid w:val="00653A76"/>
    <w:rsid w:val="0065440E"/>
    <w:rsid w:val="00663064"/>
    <w:rsid w:val="0066745F"/>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E58C9"/>
    <w:rsid w:val="006F08E2"/>
    <w:rsid w:val="006F17DD"/>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25A3"/>
    <w:rsid w:val="00796584"/>
    <w:rsid w:val="00797413"/>
    <w:rsid w:val="007A1AC0"/>
    <w:rsid w:val="007A286B"/>
    <w:rsid w:val="007A33F2"/>
    <w:rsid w:val="007A5A9F"/>
    <w:rsid w:val="007A7085"/>
    <w:rsid w:val="007B25BC"/>
    <w:rsid w:val="007B27CA"/>
    <w:rsid w:val="007B346F"/>
    <w:rsid w:val="007B3BE9"/>
    <w:rsid w:val="007C19BA"/>
    <w:rsid w:val="007D500D"/>
    <w:rsid w:val="007D5D5D"/>
    <w:rsid w:val="007E2277"/>
    <w:rsid w:val="007E67CA"/>
    <w:rsid w:val="007F270C"/>
    <w:rsid w:val="007F3616"/>
    <w:rsid w:val="008109A5"/>
    <w:rsid w:val="00813028"/>
    <w:rsid w:val="008134BE"/>
    <w:rsid w:val="00822BE2"/>
    <w:rsid w:val="00823513"/>
    <w:rsid w:val="0082358F"/>
    <w:rsid w:val="00825464"/>
    <w:rsid w:val="0083209E"/>
    <w:rsid w:val="00832148"/>
    <w:rsid w:val="00833EEB"/>
    <w:rsid w:val="00840553"/>
    <w:rsid w:val="00845044"/>
    <w:rsid w:val="00847F6F"/>
    <w:rsid w:val="00850179"/>
    <w:rsid w:val="00852527"/>
    <w:rsid w:val="00853441"/>
    <w:rsid w:val="00853CD4"/>
    <w:rsid w:val="008569CF"/>
    <w:rsid w:val="008571D1"/>
    <w:rsid w:val="00860478"/>
    <w:rsid w:val="008605FA"/>
    <w:rsid w:val="0086190B"/>
    <w:rsid w:val="008624B5"/>
    <w:rsid w:val="00862BA9"/>
    <w:rsid w:val="00864424"/>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8F7BA5"/>
    <w:rsid w:val="00900489"/>
    <w:rsid w:val="0090105E"/>
    <w:rsid w:val="009116D9"/>
    <w:rsid w:val="009143E0"/>
    <w:rsid w:val="009146CD"/>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5875"/>
    <w:rsid w:val="0096662E"/>
    <w:rsid w:val="00981254"/>
    <w:rsid w:val="00983C16"/>
    <w:rsid w:val="00985B95"/>
    <w:rsid w:val="00986832"/>
    <w:rsid w:val="00987B58"/>
    <w:rsid w:val="00994661"/>
    <w:rsid w:val="009A7F2E"/>
    <w:rsid w:val="009B0BCE"/>
    <w:rsid w:val="009B4895"/>
    <w:rsid w:val="009C12DD"/>
    <w:rsid w:val="009C33C3"/>
    <w:rsid w:val="009C6C48"/>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47A"/>
    <w:rsid w:val="00AD1806"/>
    <w:rsid w:val="00AD5345"/>
    <w:rsid w:val="00AD53B8"/>
    <w:rsid w:val="00AE75B8"/>
    <w:rsid w:val="00AF51B8"/>
    <w:rsid w:val="00AF5D98"/>
    <w:rsid w:val="00B00169"/>
    <w:rsid w:val="00B01B3B"/>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0B7E"/>
    <w:rsid w:val="00B84509"/>
    <w:rsid w:val="00B85BDF"/>
    <w:rsid w:val="00B878EA"/>
    <w:rsid w:val="00B92B45"/>
    <w:rsid w:val="00B92B8A"/>
    <w:rsid w:val="00B96C3A"/>
    <w:rsid w:val="00BA232A"/>
    <w:rsid w:val="00BA3FDF"/>
    <w:rsid w:val="00BA4D8A"/>
    <w:rsid w:val="00BB001B"/>
    <w:rsid w:val="00BB020E"/>
    <w:rsid w:val="00BB72CB"/>
    <w:rsid w:val="00BC3D1C"/>
    <w:rsid w:val="00BC6626"/>
    <w:rsid w:val="00BD416C"/>
    <w:rsid w:val="00BD45D2"/>
    <w:rsid w:val="00BE0015"/>
    <w:rsid w:val="00BF1DA1"/>
    <w:rsid w:val="00BF452E"/>
    <w:rsid w:val="00BF6B4B"/>
    <w:rsid w:val="00BF73A8"/>
    <w:rsid w:val="00C00D9C"/>
    <w:rsid w:val="00C00F77"/>
    <w:rsid w:val="00C011E2"/>
    <w:rsid w:val="00C062AB"/>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5555C"/>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07037"/>
    <w:rsid w:val="00D0720D"/>
    <w:rsid w:val="00D117AE"/>
    <w:rsid w:val="00D12F06"/>
    <w:rsid w:val="00D13DF3"/>
    <w:rsid w:val="00D15CBD"/>
    <w:rsid w:val="00D15E94"/>
    <w:rsid w:val="00D21321"/>
    <w:rsid w:val="00D22676"/>
    <w:rsid w:val="00D24FC6"/>
    <w:rsid w:val="00D26ADB"/>
    <w:rsid w:val="00D30C2E"/>
    <w:rsid w:val="00D3329A"/>
    <w:rsid w:val="00D4428F"/>
    <w:rsid w:val="00D54F58"/>
    <w:rsid w:val="00D57F00"/>
    <w:rsid w:val="00D60A30"/>
    <w:rsid w:val="00D64EAC"/>
    <w:rsid w:val="00D67FAD"/>
    <w:rsid w:val="00D71BDE"/>
    <w:rsid w:val="00D71E52"/>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2818"/>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0E96"/>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6486"/>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3AD8"/>
    <w:rsid w:val="00F6655B"/>
    <w:rsid w:val="00F66F10"/>
    <w:rsid w:val="00F6787C"/>
    <w:rsid w:val="00F67D19"/>
    <w:rsid w:val="00F751FF"/>
    <w:rsid w:val="00F81918"/>
    <w:rsid w:val="00F92D08"/>
    <w:rsid w:val="00F93292"/>
    <w:rsid w:val="00F9544C"/>
    <w:rsid w:val="00FA10DA"/>
    <w:rsid w:val="00FA60E5"/>
    <w:rsid w:val="00FA74B9"/>
    <w:rsid w:val="00FB3C76"/>
    <w:rsid w:val="00FB7B46"/>
    <w:rsid w:val="00FC260E"/>
    <w:rsid w:val="00FC5FE5"/>
    <w:rsid w:val="00FD1F2A"/>
    <w:rsid w:val="00FD1F6E"/>
    <w:rsid w:val="00FD4D76"/>
    <w:rsid w:val="00FD601F"/>
    <w:rsid w:val="00FD7E8E"/>
    <w:rsid w:val="00FE0FF1"/>
    <w:rsid w:val="00FE441F"/>
    <w:rsid w:val="00FE7FDA"/>
    <w:rsid w:val="00FF2C98"/>
    <w:rsid w:val="00FF327E"/>
    <w:rsid w:val="00FF653A"/>
    <w:rsid w:val="00FF6E0D"/>
    <w:rsid w:val="00FF7A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4fondo">
    <w:name w:val="corte4 fondo"/>
    <w:basedOn w:val="Normal"/>
    <w:link w:val="corte4fondoCar3"/>
    <w:qFormat/>
    <w:rsid w:val="00C062AB"/>
    <w:pPr>
      <w:spacing w:after="0" w:line="360" w:lineRule="auto"/>
      <w:ind w:firstLine="709"/>
      <w:jc w:val="both"/>
    </w:pPr>
    <w:rPr>
      <w:rFonts w:ascii="Arial" w:eastAsia="Times New Roman" w:hAnsi="Arial" w:cs="Times New Roman"/>
      <w:sz w:val="30"/>
      <w:szCs w:val="24"/>
      <w:lang w:eastAsia="es-MX"/>
    </w:rPr>
  </w:style>
  <w:style w:type="character" w:customStyle="1" w:styleId="corte4fondoCar3">
    <w:name w:val="corte4 fondo Car3"/>
    <w:link w:val="corte4fondo"/>
    <w:rsid w:val="00C062AB"/>
    <w:rPr>
      <w:rFonts w:ascii="Arial" w:eastAsia="Times New Roman" w:hAnsi="Arial" w:cs="Times New Roman"/>
      <w:sz w:val="30"/>
      <w:szCs w:val="24"/>
      <w:lang w:eastAsia="es-MX"/>
    </w:rPr>
  </w:style>
  <w:style w:type="character" w:customStyle="1" w:styleId="corte4fondoCar1">
    <w:name w:val="corte4 fondo Car1"/>
    <w:qFormat/>
    <w:locked/>
    <w:rsid w:val="00860478"/>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E70E96"/>
    <w:rPr>
      <w:sz w:val="16"/>
      <w:szCs w:val="16"/>
    </w:rPr>
  </w:style>
  <w:style w:type="paragraph" w:styleId="Textocomentario">
    <w:name w:val="annotation text"/>
    <w:basedOn w:val="Normal"/>
    <w:link w:val="TextocomentarioCar"/>
    <w:uiPriority w:val="99"/>
    <w:unhideWhenUsed/>
    <w:rsid w:val="00E70E96"/>
    <w:pPr>
      <w:spacing w:line="240" w:lineRule="auto"/>
    </w:pPr>
    <w:rPr>
      <w:sz w:val="20"/>
      <w:szCs w:val="20"/>
    </w:rPr>
  </w:style>
  <w:style w:type="character" w:customStyle="1" w:styleId="TextocomentarioCar">
    <w:name w:val="Texto comentario Car"/>
    <w:basedOn w:val="Fuentedeprrafopredeter"/>
    <w:link w:val="Textocomentario"/>
    <w:uiPriority w:val="99"/>
    <w:rsid w:val="00E70E96"/>
    <w:rPr>
      <w:sz w:val="20"/>
      <w:szCs w:val="20"/>
    </w:rPr>
  </w:style>
  <w:style w:type="paragraph" w:styleId="Asuntodelcomentario">
    <w:name w:val="annotation subject"/>
    <w:basedOn w:val="Textocomentario"/>
    <w:next w:val="Textocomentario"/>
    <w:link w:val="AsuntodelcomentarioCar"/>
    <w:uiPriority w:val="99"/>
    <w:semiHidden/>
    <w:unhideWhenUsed/>
    <w:rsid w:val="00E70E96"/>
    <w:rPr>
      <w:b/>
      <w:bCs/>
    </w:rPr>
  </w:style>
  <w:style w:type="character" w:customStyle="1" w:styleId="AsuntodelcomentarioCar">
    <w:name w:val="Asunto del comentario Car"/>
    <w:basedOn w:val="TextocomentarioCar"/>
    <w:link w:val="Asuntodelcomentario"/>
    <w:uiPriority w:val="99"/>
    <w:semiHidden/>
    <w:rsid w:val="00E70E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1074</Words>
  <Characters>5746</Characters>
  <Application>Microsoft Office Word</Application>
  <DocSecurity>0</DocSecurity>
  <Lines>108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5</cp:revision>
  <cp:lastPrinted>2021-06-08T20:16:00Z</cp:lastPrinted>
  <dcterms:created xsi:type="dcterms:W3CDTF">2025-07-10T16:51:00Z</dcterms:created>
  <dcterms:modified xsi:type="dcterms:W3CDTF">2025-07-11T19:59:00Z</dcterms:modified>
</cp:coreProperties>
</file>