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05674CB"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AE76FF">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104DD0A1"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La presente contratación realizada mediante Concurso Público Sumario, fue autorizada por l</w:t>
      </w:r>
      <w:r w:rsidR="005E432B">
        <w:rPr>
          <w:rFonts w:ascii="Arial" w:hAnsi="Arial" w:cs="Arial"/>
          <w:bCs/>
          <w:sz w:val="20"/>
          <w:szCs w:val="20"/>
        </w:rPr>
        <w:t>a</w:t>
      </w:r>
      <w:r w:rsidRPr="00D46A61">
        <w:rPr>
          <w:rFonts w:ascii="Arial" w:hAnsi="Arial" w:cs="Arial"/>
          <w:bCs/>
          <w:sz w:val="20"/>
          <w:szCs w:val="20"/>
        </w:rPr>
        <w:t xml:space="preserve"> Direc</w:t>
      </w:r>
      <w:r w:rsidR="009F6DB8">
        <w:rPr>
          <w:rFonts w:ascii="Arial" w:hAnsi="Arial" w:cs="Arial"/>
          <w:bCs/>
          <w:sz w:val="20"/>
          <w:szCs w:val="20"/>
        </w:rPr>
        <w:t>tor</w:t>
      </w:r>
      <w:r w:rsidR="005E432B">
        <w:rPr>
          <w:rFonts w:ascii="Arial" w:hAnsi="Arial" w:cs="Arial"/>
          <w:bCs/>
          <w:sz w:val="20"/>
          <w:szCs w:val="20"/>
        </w:rPr>
        <w:t>a</w:t>
      </w:r>
      <w:r w:rsidRPr="00D46A61">
        <w:rPr>
          <w:rFonts w:ascii="Arial" w:hAnsi="Arial" w:cs="Arial"/>
          <w:bCs/>
          <w:sz w:val="20"/>
          <w:szCs w:val="20"/>
        </w:rPr>
        <w:t xml:space="preserve"> General de Infraestructura Física, de conformidad con lo previsto en los artículos 43, fracción I</w:t>
      </w:r>
      <w:r w:rsidR="007C5201">
        <w:rPr>
          <w:rFonts w:ascii="Arial" w:hAnsi="Arial" w:cs="Arial"/>
          <w:bCs/>
          <w:sz w:val="20"/>
          <w:szCs w:val="20"/>
        </w:rPr>
        <w:t>II</w:t>
      </w:r>
      <w:r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Pr>
          <w:rFonts w:ascii="Arial" w:hAnsi="Arial" w:cs="Arial"/>
          <w:bCs/>
          <w:sz w:val="20"/>
          <w:szCs w:val="20"/>
        </w:rPr>
        <w:t>La</w:t>
      </w:r>
      <w:r w:rsidRPr="00D46A61">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459B76D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5E432B">
        <w:rPr>
          <w:rFonts w:ascii="Arial" w:hAnsi="Arial" w:cs="Arial"/>
          <w:bCs/>
          <w:sz w:val="20"/>
          <w:szCs w:val="20"/>
        </w:rPr>
        <w:t xml:space="preserve"> unidad responsable</w:t>
      </w:r>
      <w:r w:rsidRPr="00D46A61">
        <w:rPr>
          <w:rFonts w:ascii="Arial" w:hAnsi="Arial" w:cs="Arial"/>
          <w:bCs/>
          <w:sz w:val="20"/>
          <w:szCs w:val="20"/>
        </w:rPr>
        <w:t xml:space="preserve"> </w:t>
      </w:r>
      <w:r w:rsidR="00AC3AD8" w:rsidRPr="00AC3AD8">
        <w:rPr>
          <w:rFonts w:ascii="Arial" w:hAnsi="Arial" w:cs="Arial"/>
          <w:bCs/>
          <w:sz w:val="20"/>
          <w:szCs w:val="20"/>
        </w:rPr>
        <w:t>23510930P0020001</w:t>
      </w:r>
      <w:r w:rsidRPr="00D46A61">
        <w:rPr>
          <w:rFonts w:ascii="Arial" w:hAnsi="Arial" w:cs="Arial"/>
          <w:bCs/>
          <w:sz w:val="20"/>
          <w:szCs w:val="20"/>
        </w:rPr>
        <w:t xml:space="preserve">, Partida Presupuestal 62201, destino </w:t>
      </w:r>
      <w:r w:rsidR="00997894">
        <w:rPr>
          <w:rFonts w:ascii="Arial" w:hAnsi="Arial" w:cs="Arial"/>
          <w:bCs/>
          <w:sz w:val="20"/>
          <w:szCs w:val="20"/>
        </w:rPr>
        <w:t>Casa de la Cultura Jurídica d</w:t>
      </w:r>
      <w:r w:rsidR="00FF194C">
        <w:rPr>
          <w:rFonts w:ascii="Arial" w:hAnsi="Arial" w:cs="Arial"/>
          <w:bCs/>
          <w:sz w:val="20"/>
          <w:szCs w:val="20"/>
        </w:rPr>
        <w:t>e Puebla, Puebla</w:t>
      </w:r>
      <w:r w:rsidR="007C5201">
        <w:rPr>
          <w:rFonts w:ascii="Arial" w:hAnsi="Arial" w:cs="Arial"/>
          <w:bCs/>
          <w:sz w:val="20"/>
          <w:szCs w:val="20"/>
        </w:rPr>
        <w:t>.</w:t>
      </w:r>
      <w:r w:rsidR="00AC3AD8">
        <w:rPr>
          <w:rFonts w:ascii="Arial" w:hAnsi="Arial" w:cs="Arial"/>
          <w:bCs/>
          <w:sz w:val="20"/>
          <w:szCs w:val="20"/>
        </w:rPr>
        <w:t xml:space="preserve"> </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5B22C45C" w14:textId="77777777" w:rsidR="00225B6F" w:rsidRPr="00225B6F" w:rsidRDefault="00035C60"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00225B6F"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5FD3D9E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D5A927C"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6B281A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3924BF0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1C07363" w14:textId="516387C5"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F1777A0"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22552D1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4BBD19B0" w14:textId="77777777" w:rsid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60E6A344" w14:textId="04E6866C" w:rsidR="00035C60" w:rsidRDefault="00035C60" w:rsidP="00576D47">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w:t>
      </w:r>
      <w:r w:rsidR="00576D47">
        <w:rPr>
          <w:rFonts w:ascii="Arial" w:hAnsi="Arial" w:cs="Arial"/>
          <w:bCs/>
          <w:sz w:val="20"/>
          <w:szCs w:val="20"/>
        </w:rPr>
        <w:t xml:space="preserve">inmueble ubicado en </w:t>
      </w:r>
      <w:r w:rsidR="00576D47" w:rsidRPr="00576D47">
        <w:rPr>
          <w:rFonts w:ascii="Arial" w:hAnsi="Arial" w:cs="Arial"/>
          <w:bCs/>
          <w:sz w:val="20"/>
          <w:szCs w:val="20"/>
        </w:rPr>
        <w:t>calzada De los Fuertes número 24, colonia Rincón del Bosque, código postal 72290, Puebla, Puebla.</w:t>
      </w:r>
    </w:p>
    <w:p w14:paraId="58C4D653" w14:textId="68FFD020"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Pr>
          <w:rFonts w:ascii="Arial" w:hAnsi="Arial" w:cs="Arial"/>
          <w:bCs/>
          <w:sz w:val="20"/>
          <w:szCs w:val="20"/>
        </w:rPr>
        <w:t>noventa</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sidR="000854E1">
        <w:rPr>
          <w:rFonts w:ascii="Arial" w:hAnsi="Arial" w:cs="Arial"/>
          <w:bCs/>
          <w:sz w:val="20"/>
          <w:szCs w:val="20"/>
        </w:rPr>
        <w:t xml:space="preserve"> y puesta a disposición del inmueble.</w:t>
      </w:r>
    </w:p>
    <w:p w14:paraId="125F2045"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03855AA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DA626E" w:rsidRPr="00D46A61">
        <w:rPr>
          <w:rFonts w:ascii="Arial" w:hAnsi="Arial" w:cs="Arial"/>
          <w:bCs/>
          <w:sz w:val="20"/>
          <w:szCs w:val="20"/>
        </w:rPr>
        <w:t>treinta</w:t>
      </w:r>
      <w:r w:rsidRPr="00D46A61">
        <w:rPr>
          <w:rFonts w:ascii="Arial" w:hAnsi="Arial" w:cs="Arial"/>
          <w:bCs/>
          <w:sz w:val="20"/>
          <w:szCs w:val="20"/>
        </w:rPr>
        <w:t xml:space="preserve"> por ciento (</w:t>
      </w:r>
      <w:r w:rsidR="00DA626E" w:rsidRPr="00D46A61">
        <w:rPr>
          <w:rFonts w:ascii="Arial" w:hAnsi="Arial" w:cs="Arial"/>
          <w:bCs/>
          <w:sz w:val="20"/>
          <w:szCs w:val="20"/>
        </w:rPr>
        <w:t>30</w:t>
      </w:r>
      <w:r w:rsidRPr="00D46A61">
        <w:rPr>
          <w:rFonts w:ascii="Arial" w:hAnsi="Arial" w:cs="Arial"/>
          <w:bCs/>
          <w:sz w:val="20"/>
          <w:szCs w:val="20"/>
        </w:rPr>
        <w:t>%)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3932A5B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66A1AED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642C62F2" w14:textId="4DE51A4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Décima Segunda.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2B07418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Tercera.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Cuarta.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Quinta.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Sexta.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Séptima.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Octava.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Décima Novena.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Cuarta.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5188D4C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 Quinta.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D46A61"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5E145D4E" w:rsidR="00035C60" w:rsidRPr="00D46A61"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Sexta. </w:t>
      </w:r>
      <w:r w:rsidR="00035C60" w:rsidRPr="00D46A61">
        <w:rPr>
          <w:rFonts w:ascii="Arial" w:hAnsi="Arial" w:cs="Arial"/>
          <w:b/>
          <w:sz w:val="20"/>
          <w:szCs w:val="20"/>
        </w:rPr>
        <w:t xml:space="preserve">Resolución de controversias. </w:t>
      </w:r>
      <w:r w:rsidR="00035C60" w:rsidRPr="00D46A61">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w:t>
      </w:r>
      <w:r w:rsidR="00035C60" w:rsidRPr="00D46A61">
        <w:rPr>
          <w:rFonts w:ascii="Arial" w:hAnsi="Arial" w:cs="Arial"/>
          <w:bCs/>
          <w:sz w:val="20"/>
          <w:szCs w:val="20"/>
        </w:rPr>
        <w:lastRenderedPageBreak/>
        <w:t>renunciando en forma expresa a cualquier otro fuero que, en razón de su domicilio o vecindad, tenga o llegare a tener, de conformidad con lo indicado en el artículo 11, fracción XXII, de la Ley Orgánica del Poder Judicial de la Federación.</w:t>
      </w:r>
    </w:p>
    <w:p w14:paraId="08A075DB" w14:textId="362A93D7"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2769B4" w:rsidRPr="00D46A61">
        <w:rPr>
          <w:rFonts w:ascii="Arial" w:hAnsi="Arial" w:cs="Arial"/>
          <w:b/>
          <w:sz w:val="20"/>
          <w:szCs w:val="20"/>
        </w:rPr>
        <w:t xml:space="preserve"> </w:t>
      </w:r>
      <w:r w:rsidR="00D365FC">
        <w:rPr>
          <w:rFonts w:ascii="Arial" w:hAnsi="Arial" w:cs="Arial"/>
          <w:b/>
          <w:sz w:val="20"/>
          <w:szCs w:val="20"/>
        </w:rPr>
        <w:t>Séptima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3752AAC1" w14:textId="3FA0F061"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00BD3A09" w:rsidRPr="00BD3A09">
        <w:rPr>
          <w:rFonts w:ascii="Arial" w:hAnsi="Arial" w:cs="Arial"/>
          <w:bCs/>
          <w:sz w:val="20"/>
          <w:szCs w:val="20"/>
        </w:rPr>
        <w:t xml:space="preserve">La presente contratación realizada mediante Concurso Público Sumario, fue autorizada por </w:t>
      </w:r>
      <w:r w:rsidR="009C4AD6">
        <w:rPr>
          <w:rFonts w:ascii="Arial" w:hAnsi="Arial" w:cs="Arial"/>
          <w:bCs/>
          <w:sz w:val="20"/>
          <w:szCs w:val="20"/>
        </w:rPr>
        <w:t>la</w:t>
      </w:r>
      <w:r w:rsidR="00BD3A09" w:rsidRPr="00BD3A09">
        <w:rPr>
          <w:rFonts w:ascii="Arial" w:hAnsi="Arial" w:cs="Arial"/>
          <w:bCs/>
          <w:sz w:val="20"/>
          <w:szCs w:val="20"/>
        </w:rPr>
        <w:t xml:space="preserve"> Director</w:t>
      </w:r>
      <w:r w:rsidR="009C4AD6">
        <w:rPr>
          <w:rFonts w:ascii="Arial" w:hAnsi="Arial" w:cs="Arial"/>
          <w:bCs/>
          <w:sz w:val="20"/>
          <w:szCs w:val="20"/>
        </w:rPr>
        <w:t>a</w:t>
      </w:r>
      <w:r w:rsidR="00BD3A09" w:rsidRPr="00BD3A09">
        <w:rPr>
          <w:rFonts w:ascii="Arial" w:hAnsi="Arial" w:cs="Arial"/>
          <w:bCs/>
          <w:sz w:val="20"/>
          <w:szCs w:val="20"/>
        </w:rPr>
        <w:t xml:space="preserve"> General de Infraestructura Física, de conformidad con lo previsto en los artículos 43, fracción III,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0FB9197F"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sidRPr="009C4AD6">
        <w:rPr>
          <w:rFonts w:ascii="Arial" w:hAnsi="Arial" w:cs="Arial"/>
          <w:bCs/>
          <w:sz w:val="20"/>
          <w:szCs w:val="20"/>
        </w:rPr>
        <w:t>La</w:t>
      </w:r>
      <w:r w:rsidRPr="009C4AD6">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7743DACC" w14:textId="6AF906D5" w:rsidR="00FF194C"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00FF194C" w:rsidRPr="00D46A61">
        <w:rPr>
          <w:rFonts w:ascii="Arial" w:hAnsi="Arial" w:cs="Arial"/>
          <w:bCs/>
          <w:sz w:val="20"/>
          <w:szCs w:val="20"/>
        </w:rPr>
        <w:t xml:space="preserve">La erogación que implica la presente contratación se realizará con cargo a la </w:t>
      </w:r>
      <w:r w:rsidR="009C4AD6">
        <w:rPr>
          <w:rFonts w:ascii="Arial" w:hAnsi="Arial" w:cs="Arial"/>
          <w:bCs/>
          <w:sz w:val="20"/>
          <w:szCs w:val="20"/>
        </w:rPr>
        <w:t xml:space="preserve">unidad responsable </w:t>
      </w:r>
      <w:r w:rsidR="002B6C75" w:rsidRPr="002B6C75">
        <w:rPr>
          <w:rFonts w:ascii="Arial" w:hAnsi="Arial" w:cs="Arial"/>
          <w:bCs/>
          <w:sz w:val="20"/>
          <w:szCs w:val="20"/>
        </w:rPr>
        <w:t>23510930P0020001</w:t>
      </w:r>
      <w:r w:rsidR="00FF194C" w:rsidRPr="00D46A61">
        <w:rPr>
          <w:rFonts w:ascii="Arial" w:hAnsi="Arial" w:cs="Arial"/>
          <w:bCs/>
          <w:sz w:val="20"/>
          <w:szCs w:val="20"/>
        </w:rPr>
        <w:t xml:space="preserve">, Partida Presupuestal 62201, destino </w:t>
      </w:r>
      <w:r w:rsidR="00FF194C">
        <w:rPr>
          <w:rFonts w:ascii="Arial" w:hAnsi="Arial" w:cs="Arial"/>
          <w:bCs/>
          <w:sz w:val="20"/>
          <w:szCs w:val="20"/>
        </w:rPr>
        <w:t>Casa de la Cultura Jurídica de Puebla, Puebla.</w:t>
      </w:r>
    </w:p>
    <w:p w14:paraId="5657846A" w14:textId="2426958C"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Pr="00D46A61"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7F619F08"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5F1EFB5A"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429D98DE"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32FE4914"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6046423B"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ciento) </w:t>
      </w:r>
      <w:r w:rsidRPr="00D46A61">
        <w:rPr>
          <w:rFonts w:ascii="Arial" w:hAnsi="Arial" w:cs="Arial"/>
          <w:bCs/>
          <w:sz w:val="20"/>
          <w:szCs w:val="20"/>
        </w:rPr>
        <w:t>por ciento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0267B398"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5F617FBF"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3A6E9EB4"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r>
        <w:rPr>
          <w:rFonts w:ascii="Arial" w:hAnsi="Arial" w:cs="Arial"/>
          <w:bCs/>
          <w:sz w:val="20"/>
          <w:szCs w:val="20"/>
        </w:rPr>
        <w:t>.</w:t>
      </w:r>
    </w:p>
    <w:p w14:paraId="40CB217A" w14:textId="77777777" w:rsidR="0011649A" w:rsidRPr="00225B6F" w:rsidRDefault="0011649A" w:rsidP="0011649A">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4BD0271A" w14:textId="77777777" w:rsidR="0011649A" w:rsidRPr="00225B6F" w:rsidRDefault="0011649A" w:rsidP="0011649A">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0B78EBDD" w14:textId="77777777" w:rsidR="0011649A" w:rsidRPr="00225B6F" w:rsidRDefault="0011649A" w:rsidP="0011649A">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38FD217A" w14:textId="77777777" w:rsidR="0011649A" w:rsidRPr="00225B6F" w:rsidRDefault="0011649A" w:rsidP="0011649A">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61FA14E4" w14:textId="77777777" w:rsidR="0011649A" w:rsidRPr="00225B6F" w:rsidRDefault="0011649A" w:rsidP="0011649A">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2006B49" w14:textId="77777777" w:rsidR="0011649A" w:rsidRPr="00225B6F" w:rsidRDefault="0011649A" w:rsidP="0011649A">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75209E0B" w14:textId="77777777" w:rsidR="0011649A" w:rsidRPr="00225B6F" w:rsidRDefault="0011649A" w:rsidP="0011649A">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7F5BF39E" w14:textId="77777777" w:rsidR="0011649A" w:rsidRPr="00225B6F" w:rsidRDefault="0011649A" w:rsidP="0011649A">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w:t>
      </w:r>
      <w:r w:rsidRPr="00225B6F">
        <w:rPr>
          <w:rFonts w:ascii="Arial" w:eastAsia="Times New Roman" w:hAnsi="Arial" w:cs="Arial"/>
          <w:bCs/>
          <w:sz w:val="20"/>
          <w:szCs w:val="20"/>
          <w:lang w:val="es-ES" w:eastAsia="es-ES"/>
        </w:rPr>
        <w:lastRenderedPageBreak/>
        <w:t xml:space="preserve">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059DFCB2" w14:textId="77777777" w:rsidR="0011649A" w:rsidRDefault="0011649A" w:rsidP="0011649A">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18F3FBBA" w14:textId="21CF8C27" w:rsidR="0011649A" w:rsidRDefault="0011649A" w:rsidP="0011649A">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w:t>
      </w:r>
      <w:r>
        <w:rPr>
          <w:rFonts w:ascii="Arial" w:hAnsi="Arial" w:cs="Arial"/>
          <w:bCs/>
          <w:sz w:val="20"/>
          <w:szCs w:val="20"/>
        </w:rPr>
        <w:t xml:space="preserve">inmueble ubicado en </w:t>
      </w:r>
      <w:r w:rsidRPr="00576D47">
        <w:rPr>
          <w:rFonts w:ascii="Arial" w:hAnsi="Arial" w:cs="Arial"/>
          <w:bCs/>
          <w:sz w:val="20"/>
          <w:szCs w:val="20"/>
        </w:rPr>
        <w:t>calzada De los Fuertes número 24, colonia Rincón del Bosque, código postal 72290, Puebla, Puebla.</w:t>
      </w:r>
    </w:p>
    <w:p w14:paraId="630CD7D9" w14:textId="1483E6FB"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Pr>
          <w:rFonts w:ascii="Arial" w:hAnsi="Arial" w:cs="Arial"/>
          <w:bCs/>
          <w:sz w:val="20"/>
          <w:szCs w:val="20"/>
        </w:rPr>
        <w:t>noventa</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sidR="001C4488">
        <w:rPr>
          <w:rFonts w:ascii="Arial" w:hAnsi="Arial" w:cs="Arial"/>
          <w:bCs/>
          <w:sz w:val="20"/>
          <w:szCs w:val="20"/>
        </w:rPr>
        <w:t xml:space="preserve"> y puesta a disposición del inmueble.</w:t>
      </w:r>
    </w:p>
    <w:p w14:paraId="7EC19265"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31A227A"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7CA990D6"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10265EE0"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treinta por ciento (30%)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2B12780A"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E93E81A"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B3C30CC"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1F28C59F"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7A32317C"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72A1623F"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344302FF"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09D6D113"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111F709D"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7E2FFF0A"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Segunda.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125811D4"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Tercera.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57B0BAC5"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Cuarta.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31F9FFB8"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5ED3FBC0"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056DE0A7"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6350095C"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Quinta.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1083EC16"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3004BD6B"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40E378E7"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1A2173F"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262CA37"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Décima Sexta.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52F48369"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Séptima.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9622E7C"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Octava.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69E0EA3"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Novena.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8A4308C"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5DE74093"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0BA53FD1"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5D8DE46E"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7812FF2"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2219248B"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99BA2DE"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2C3E53C"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503DE651"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Vigésima Cuarta.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71B9A21D"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 Quinta.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798D39ED" w14:textId="215E3B84" w:rsidR="0011649A" w:rsidRPr="00D46A61" w:rsidRDefault="00E1351A" w:rsidP="0011649A">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11649A" w:rsidRPr="00D46A61">
        <w:rPr>
          <w:rFonts w:ascii="Arial" w:hAnsi="Arial" w:cs="Arial"/>
          <w:bCs/>
          <w:sz w:val="20"/>
          <w:szCs w:val="20"/>
        </w:rPr>
        <w:t xml:space="preserve"> Director</w:t>
      </w:r>
      <w:r>
        <w:rPr>
          <w:rFonts w:ascii="Arial" w:hAnsi="Arial" w:cs="Arial"/>
          <w:bCs/>
          <w:sz w:val="20"/>
          <w:szCs w:val="20"/>
        </w:rPr>
        <w:t xml:space="preserve">a </w:t>
      </w:r>
      <w:r w:rsidR="0011649A" w:rsidRPr="00D46A61">
        <w:rPr>
          <w:rFonts w:ascii="Arial" w:hAnsi="Arial" w:cs="Arial"/>
          <w:bCs/>
          <w:sz w:val="20"/>
          <w:szCs w:val="20"/>
        </w:rPr>
        <w:t>General de Infraestructura Física de la “Suprema Corte” podrá sustituir al “Administrador” del contrato, lo que informará por escrito al “Contratista”.</w:t>
      </w:r>
    </w:p>
    <w:p w14:paraId="39F441FE" w14:textId="77777777" w:rsidR="0011649A" w:rsidRPr="00D46A61" w:rsidRDefault="0011649A" w:rsidP="0011649A">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Sexta. </w:t>
      </w:r>
      <w:r w:rsidRPr="00D46A61">
        <w:rPr>
          <w:rFonts w:ascii="Arial" w:hAnsi="Arial" w:cs="Arial"/>
          <w:b/>
          <w:sz w:val="20"/>
          <w:szCs w:val="20"/>
        </w:rPr>
        <w:t xml:space="preserve">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A9481B7" w14:textId="77777777" w:rsidR="0011649A" w:rsidRPr="00D46A61" w:rsidRDefault="0011649A" w:rsidP="0011649A">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Pr>
          <w:rFonts w:ascii="Arial" w:hAnsi="Arial" w:cs="Arial"/>
          <w:b/>
          <w:sz w:val="20"/>
          <w:szCs w:val="20"/>
        </w:rPr>
        <w:t>Séptima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42EF4D6E" w14:textId="77777777" w:rsidR="008F5916" w:rsidRPr="00D46A61" w:rsidRDefault="008F5916" w:rsidP="008F5916">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F5916" w:rsidRPr="00D46A61" w14:paraId="329415AE" w14:textId="77777777" w:rsidTr="00636BE1">
        <w:trPr>
          <w:trHeight w:val="494"/>
          <w:jc w:val="center"/>
        </w:trPr>
        <w:tc>
          <w:tcPr>
            <w:tcW w:w="4395" w:type="dxa"/>
          </w:tcPr>
          <w:p w14:paraId="717A57B7"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D83F0C0"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9B7FDE5"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61085BB"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p>
    <w:sectPr w:rsidR="008F5916" w:rsidRPr="00D46A61" w:rsidSect="00F2576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1C528" w14:textId="77777777" w:rsidR="00D836E4" w:rsidRDefault="00D836E4" w:rsidP="00752047">
      <w:pPr>
        <w:spacing w:after="0" w:line="240" w:lineRule="auto"/>
      </w:pPr>
      <w:r>
        <w:separator/>
      </w:r>
    </w:p>
  </w:endnote>
  <w:endnote w:type="continuationSeparator" w:id="0">
    <w:p w14:paraId="1E475B8A" w14:textId="77777777" w:rsidR="00D836E4" w:rsidRDefault="00D836E4" w:rsidP="00752047">
      <w:pPr>
        <w:spacing w:after="0" w:line="240" w:lineRule="auto"/>
      </w:pPr>
      <w:r>
        <w:continuationSeparator/>
      </w:r>
    </w:p>
  </w:endnote>
  <w:endnote w:type="continuationNotice" w:id="1">
    <w:p w14:paraId="44783B7D" w14:textId="77777777" w:rsidR="00D836E4" w:rsidRDefault="00D836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8934F" w14:textId="77777777" w:rsidR="00AE76FF" w:rsidRDefault="00AE76F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2AE63046"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SCJN/CPS/DGIF-DACCI/00</w:t>
    </w:r>
    <w:r w:rsidR="00997894">
      <w:rPr>
        <w:rFonts w:ascii="Arial" w:hAnsi="Arial" w:cs="Arial"/>
        <w:sz w:val="10"/>
        <w:szCs w:val="10"/>
        <w:lang w:val="en-US"/>
      </w:rPr>
      <w:t>5</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EBBB2" w14:textId="77777777" w:rsidR="00AE76FF" w:rsidRDefault="00AE76F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B45E8" w14:textId="77777777" w:rsidR="00D836E4" w:rsidRDefault="00D836E4" w:rsidP="00752047">
      <w:pPr>
        <w:spacing w:after="0" w:line="240" w:lineRule="auto"/>
      </w:pPr>
      <w:r>
        <w:separator/>
      </w:r>
    </w:p>
  </w:footnote>
  <w:footnote w:type="continuationSeparator" w:id="0">
    <w:p w14:paraId="080E77E8" w14:textId="77777777" w:rsidR="00D836E4" w:rsidRDefault="00D836E4" w:rsidP="00752047">
      <w:pPr>
        <w:spacing w:after="0" w:line="240" w:lineRule="auto"/>
      </w:pPr>
      <w:r>
        <w:continuationSeparator/>
      </w:r>
    </w:p>
  </w:footnote>
  <w:footnote w:type="continuationNotice" w:id="1">
    <w:p w14:paraId="520930FC" w14:textId="77777777" w:rsidR="00D836E4" w:rsidRDefault="00D836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E8C1F" w14:textId="77777777" w:rsidR="00AE76FF" w:rsidRDefault="00AE76F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B12DD" w14:textId="77777777" w:rsidR="0011649A" w:rsidRDefault="0011649A" w:rsidP="00997894">
    <w:pPr>
      <w:spacing w:after="0" w:line="240" w:lineRule="auto"/>
      <w:ind w:left="567" w:right="441"/>
      <w:jc w:val="center"/>
      <w:rPr>
        <w:rFonts w:ascii="Arial Unicode MS" w:eastAsia="Arial Unicode MS" w:hAnsi="Arial Unicode MS" w:cs="Arial Unicode MS"/>
        <w:b/>
        <w:color w:val="7F7F7F" w:themeColor="text1" w:themeTint="80"/>
        <w:sz w:val="20"/>
        <w:szCs w:val="20"/>
      </w:rPr>
    </w:pPr>
    <w:bookmarkStart w:id="3" w:name="_Hlk58533502"/>
    <w:bookmarkStart w:id="4" w:name="_Hlk58533501"/>
    <w:bookmarkStart w:id="5" w:name="_Hlk58533498"/>
    <w:bookmarkStart w:id="6" w:name="_Hlk58533497"/>
  </w:p>
  <w:p w14:paraId="4662AEB8" w14:textId="7FC57374" w:rsidR="00997894" w:rsidRPr="00997894" w:rsidRDefault="00997894" w:rsidP="00997894">
    <w:pPr>
      <w:spacing w:after="0" w:line="240" w:lineRule="auto"/>
      <w:ind w:left="567" w:right="441"/>
      <w:jc w:val="center"/>
      <w:rPr>
        <w:rFonts w:ascii="Arial Unicode MS" w:eastAsia="Arial Unicode MS" w:hAnsi="Arial Unicode MS" w:cs="Arial Unicode MS"/>
        <w:b/>
        <w:color w:val="7F7F7F" w:themeColor="text1" w:themeTint="80"/>
        <w:sz w:val="20"/>
        <w:szCs w:val="20"/>
      </w:rPr>
    </w:pPr>
    <w:r w:rsidRPr="00997894">
      <w:rPr>
        <w:rFonts w:ascii="Arial Unicode MS" w:eastAsia="Arial Unicode MS" w:hAnsi="Arial Unicode MS" w:cs="Arial Unicode MS"/>
        <w:b/>
        <w:color w:val="7F7F7F" w:themeColor="text1" w:themeTint="80"/>
        <w:sz w:val="20"/>
        <w:szCs w:val="20"/>
      </w:rPr>
      <w:t>CONCURSO PÚBLICO SUMARIO SCJN/CPS/DGIF-DACCI/005/2023</w:t>
    </w:r>
  </w:p>
  <w:p w14:paraId="52D5B171" w14:textId="77777777" w:rsidR="00997894" w:rsidRPr="00997894" w:rsidRDefault="00997894" w:rsidP="00997894">
    <w:pPr>
      <w:spacing w:after="0" w:line="240" w:lineRule="auto"/>
      <w:ind w:left="567" w:right="441"/>
      <w:jc w:val="center"/>
      <w:rPr>
        <w:rFonts w:ascii="Arial Unicode MS" w:eastAsia="Arial Unicode MS" w:hAnsi="Arial Unicode MS" w:cs="Arial Unicode MS"/>
        <w:b/>
        <w:color w:val="7F7F7F" w:themeColor="text1" w:themeTint="80"/>
        <w:sz w:val="20"/>
        <w:szCs w:val="20"/>
      </w:rPr>
    </w:pPr>
    <w:r w:rsidRPr="00997894">
      <w:rPr>
        <w:rFonts w:ascii="Arial Unicode MS" w:eastAsia="Arial Unicode MS" w:hAnsi="Arial Unicode MS" w:cs="Arial Unicode MS"/>
        <w:b/>
        <w:color w:val="7F7F7F" w:themeColor="text1" w:themeTint="80"/>
        <w:sz w:val="20"/>
        <w:szCs w:val="20"/>
      </w:rPr>
      <w:t xml:space="preserve">“ADECUACIÓN DE ACCESO, SUSTITUCIÓN DE PAVIMENTOS Y TRABAJOS ADICIONALES </w:t>
    </w:r>
  </w:p>
  <w:p w14:paraId="3572AF0A" w14:textId="6B052BC4" w:rsidR="00997894" w:rsidRPr="00796CDE" w:rsidRDefault="00997894" w:rsidP="0011649A">
    <w:pPr>
      <w:spacing w:after="240" w:line="240" w:lineRule="auto"/>
      <w:ind w:left="567" w:right="442"/>
      <w:jc w:val="center"/>
      <w:rPr>
        <w:rFonts w:ascii="Arial Unicode MS" w:eastAsia="Arial Unicode MS" w:hAnsi="Arial Unicode MS" w:cs="Arial Unicode MS"/>
        <w:b/>
        <w:color w:val="7F7F7F" w:themeColor="text1" w:themeTint="80"/>
        <w:sz w:val="20"/>
        <w:szCs w:val="20"/>
        <w:lang w:val="es-ES"/>
      </w:rPr>
    </w:pPr>
    <w:r w:rsidRPr="00997894">
      <w:rPr>
        <w:rFonts w:ascii="Arial Unicode MS" w:eastAsia="Arial Unicode MS" w:hAnsi="Arial Unicode MS" w:cs="Arial Unicode MS"/>
        <w:b/>
        <w:color w:val="7F7F7F" w:themeColor="text1" w:themeTint="80"/>
        <w:sz w:val="20"/>
        <w:szCs w:val="20"/>
      </w:rPr>
      <w:t>EN LA CASA DE LA CULTURA JURÍDICA DE PUEBLA, PUEBLA”</w:t>
    </w:r>
    <w:bookmarkEnd w:id="3"/>
    <w:bookmarkEnd w:id="4"/>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B5E6C" w14:textId="77777777" w:rsidR="00AE76FF" w:rsidRDefault="00AE76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854E1"/>
    <w:rsid w:val="00090423"/>
    <w:rsid w:val="00094495"/>
    <w:rsid w:val="0009685B"/>
    <w:rsid w:val="000A0232"/>
    <w:rsid w:val="000A6300"/>
    <w:rsid w:val="000B6F59"/>
    <w:rsid w:val="000D2E94"/>
    <w:rsid w:val="000D575B"/>
    <w:rsid w:val="000E4618"/>
    <w:rsid w:val="000E53BB"/>
    <w:rsid w:val="000F1885"/>
    <w:rsid w:val="00102D2B"/>
    <w:rsid w:val="00106732"/>
    <w:rsid w:val="00107E2D"/>
    <w:rsid w:val="00114052"/>
    <w:rsid w:val="0011649A"/>
    <w:rsid w:val="0012214C"/>
    <w:rsid w:val="00127262"/>
    <w:rsid w:val="0013292A"/>
    <w:rsid w:val="00154621"/>
    <w:rsid w:val="0015529A"/>
    <w:rsid w:val="00161F32"/>
    <w:rsid w:val="001649AB"/>
    <w:rsid w:val="0016675F"/>
    <w:rsid w:val="00175CE7"/>
    <w:rsid w:val="001803DA"/>
    <w:rsid w:val="00193F07"/>
    <w:rsid w:val="001B0099"/>
    <w:rsid w:val="001B20C8"/>
    <w:rsid w:val="001B5939"/>
    <w:rsid w:val="001C13F0"/>
    <w:rsid w:val="001C210D"/>
    <w:rsid w:val="001C236B"/>
    <w:rsid w:val="001C4488"/>
    <w:rsid w:val="001D4493"/>
    <w:rsid w:val="001E5FB4"/>
    <w:rsid w:val="001F1C75"/>
    <w:rsid w:val="001F55F7"/>
    <w:rsid w:val="00207042"/>
    <w:rsid w:val="00214CDC"/>
    <w:rsid w:val="0021525E"/>
    <w:rsid w:val="00215A8D"/>
    <w:rsid w:val="00217DE5"/>
    <w:rsid w:val="00220E50"/>
    <w:rsid w:val="00225B6F"/>
    <w:rsid w:val="0023099E"/>
    <w:rsid w:val="00231FDA"/>
    <w:rsid w:val="00232FEB"/>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7ED0"/>
    <w:rsid w:val="002D30BF"/>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62EB"/>
    <w:rsid w:val="00367BF9"/>
    <w:rsid w:val="00372E45"/>
    <w:rsid w:val="00374276"/>
    <w:rsid w:val="00374AD7"/>
    <w:rsid w:val="003816EC"/>
    <w:rsid w:val="00387C58"/>
    <w:rsid w:val="0039268E"/>
    <w:rsid w:val="003B2CE4"/>
    <w:rsid w:val="003B4A6F"/>
    <w:rsid w:val="003C2FFA"/>
    <w:rsid w:val="003D2A4B"/>
    <w:rsid w:val="003D7D8E"/>
    <w:rsid w:val="003E2316"/>
    <w:rsid w:val="003E62A3"/>
    <w:rsid w:val="003F4773"/>
    <w:rsid w:val="003F78F7"/>
    <w:rsid w:val="004006C6"/>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47BAE"/>
    <w:rsid w:val="00573593"/>
    <w:rsid w:val="00574AAC"/>
    <w:rsid w:val="00575124"/>
    <w:rsid w:val="005764F5"/>
    <w:rsid w:val="00576D47"/>
    <w:rsid w:val="00580247"/>
    <w:rsid w:val="00587F19"/>
    <w:rsid w:val="005B0938"/>
    <w:rsid w:val="005B0BBB"/>
    <w:rsid w:val="005C0758"/>
    <w:rsid w:val="005C16B7"/>
    <w:rsid w:val="005D4A2B"/>
    <w:rsid w:val="005E0208"/>
    <w:rsid w:val="005E0FD7"/>
    <w:rsid w:val="005E432B"/>
    <w:rsid w:val="005E6619"/>
    <w:rsid w:val="005F4664"/>
    <w:rsid w:val="005F644E"/>
    <w:rsid w:val="006046A6"/>
    <w:rsid w:val="00605135"/>
    <w:rsid w:val="0060776B"/>
    <w:rsid w:val="00612846"/>
    <w:rsid w:val="00615A2A"/>
    <w:rsid w:val="00617F7F"/>
    <w:rsid w:val="00627D10"/>
    <w:rsid w:val="006313E5"/>
    <w:rsid w:val="00631932"/>
    <w:rsid w:val="0063294D"/>
    <w:rsid w:val="00634B38"/>
    <w:rsid w:val="0064546F"/>
    <w:rsid w:val="00661ADD"/>
    <w:rsid w:val="00664DDF"/>
    <w:rsid w:val="00666488"/>
    <w:rsid w:val="00671E86"/>
    <w:rsid w:val="00675D30"/>
    <w:rsid w:val="006777A0"/>
    <w:rsid w:val="00677A7F"/>
    <w:rsid w:val="00684018"/>
    <w:rsid w:val="006943FF"/>
    <w:rsid w:val="00695F79"/>
    <w:rsid w:val="00697AF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1017"/>
    <w:rsid w:val="00747B49"/>
    <w:rsid w:val="00752047"/>
    <w:rsid w:val="00761239"/>
    <w:rsid w:val="0076203A"/>
    <w:rsid w:val="00773589"/>
    <w:rsid w:val="00783005"/>
    <w:rsid w:val="00783419"/>
    <w:rsid w:val="00783439"/>
    <w:rsid w:val="00784005"/>
    <w:rsid w:val="00791C54"/>
    <w:rsid w:val="00792E0C"/>
    <w:rsid w:val="007A69BF"/>
    <w:rsid w:val="007C2B92"/>
    <w:rsid w:val="007C5201"/>
    <w:rsid w:val="007D2BC9"/>
    <w:rsid w:val="007D6483"/>
    <w:rsid w:val="007E5D2B"/>
    <w:rsid w:val="007F2A37"/>
    <w:rsid w:val="007F4CA9"/>
    <w:rsid w:val="00800F36"/>
    <w:rsid w:val="00804ACE"/>
    <w:rsid w:val="00817387"/>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C2AA3"/>
    <w:rsid w:val="008C5201"/>
    <w:rsid w:val="008D0BCA"/>
    <w:rsid w:val="008D60A8"/>
    <w:rsid w:val="008E3837"/>
    <w:rsid w:val="008E3D81"/>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765E"/>
    <w:rsid w:val="009F6DB8"/>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7073E"/>
    <w:rsid w:val="00A90D16"/>
    <w:rsid w:val="00A96535"/>
    <w:rsid w:val="00AC3AD8"/>
    <w:rsid w:val="00AE4BC5"/>
    <w:rsid w:val="00AE76FF"/>
    <w:rsid w:val="00AF1573"/>
    <w:rsid w:val="00AF5586"/>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532B"/>
    <w:rsid w:val="00BF6B01"/>
    <w:rsid w:val="00C05A4B"/>
    <w:rsid w:val="00C0649F"/>
    <w:rsid w:val="00C07E8A"/>
    <w:rsid w:val="00C11BEA"/>
    <w:rsid w:val="00C11DAA"/>
    <w:rsid w:val="00C2301A"/>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6ACF"/>
    <w:rsid w:val="00CF0D7E"/>
    <w:rsid w:val="00D01821"/>
    <w:rsid w:val="00D05107"/>
    <w:rsid w:val="00D071F8"/>
    <w:rsid w:val="00D141ED"/>
    <w:rsid w:val="00D20B20"/>
    <w:rsid w:val="00D23111"/>
    <w:rsid w:val="00D23311"/>
    <w:rsid w:val="00D314BB"/>
    <w:rsid w:val="00D325F5"/>
    <w:rsid w:val="00D3591A"/>
    <w:rsid w:val="00D365FC"/>
    <w:rsid w:val="00D40DD7"/>
    <w:rsid w:val="00D46A61"/>
    <w:rsid w:val="00D46EC0"/>
    <w:rsid w:val="00D538FD"/>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2DEC"/>
    <w:rsid w:val="00DF6867"/>
    <w:rsid w:val="00E0341D"/>
    <w:rsid w:val="00E10A7B"/>
    <w:rsid w:val="00E1351A"/>
    <w:rsid w:val="00E1404E"/>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44441"/>
    <w:rsid w:val="00F46EAD"/>
    <w:rsid w:val="00F50CC8"/>
    <w:rsid w:val="00F50F30"/>
    <w:rsid w:val="00F55648"/>
    <w:rsid w:val="00F56A66"/>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8637</Words>
  <Characters>47506</Characters>
  <Application>Microsoft Office Word</Application>
  <DocSecurity>0</DocSecurity>
  <Lines>395</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8</cp:revision>
  <cp:lastPrinted>2020-02-12T15:31:00Z</cp:lastPrinted>
  <dcterms:created xsi:type="dcterms:W3CDTF">2023-05-04T20:49:00Z</dcterms:created>
  <dcterms:modified xsi:type="dcterms:W3CDTF">2023-05-08T18:59:00Z</dcterms:modified>
</cp:coreProperties>
</file>