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1E4F11BD" w14:textId="77777777" w:rsidR="00D20237" w:rsidRDefault="00D20237" w:rsidP="00F9180D">
      <w:pPr>
        <w:tabs>
          <w:tab w:val="left" w:pos="426"/>
          <w:tab w:val="left" w:pos="1276"/>
        </w:tabs>
        <w:spacing w:line="240" w:lineRule="auto"/>
        <w:ind w:left="-284" w:right="-410"/>
        <w:jc w:val="center"/>
        <w:rPr>
          <w:rFonts w:ascii="Arial" w:hAnsi="Arial" w:cs="Arial"/>
          <w:b/>
          <w:bCs/>
          <w:sz w:val="20"/>
          <w:szCs w:val="20"/>
        </w:rPr>
      </w:pPr>
    </w:p>
    <w:p w14:paraId="3BF89845" w14:textId="2A9B2E61" w:rsidR="00F9180D" w:rsidRPr="00F9180D" w:rsidRDefault="00F9180D"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77777777" w:rsidR="00F9180D" w:rsidRPr="00F9180D" w:rsidRDefault="00F9180D" w:rsidP="00F9180D">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PERSONA MORAL</w:t>
      </w:r>
    </w:p>
    <w:p w14:paraId="2F34FEBA" w14:textId="77777777" w:rsidR="00F9180D" w:rsidRPr="00F9180D" w:rsidRDefault="00F9180D" w:rsidP="00F9180D">
      <w:pPr>
        <w:pStyle w:val="Prrafodelista"/>
        <w:tabs>
          <w:tab w:val="left" w:pos="243"/>
          <w:tab w:val="left" w:pos="426"/>
          <w:tab w:val="left" w:pos="1276"/>
        </w:tabs>
        <w:spacing w:line="240" w:lineRule="auto"/>
        <w:ind w:left="-284" w:right="-410"/>
        <w:rPr>
          <w:rFonts w:ascii="Arial" w:hAnsi="Arial" w:cs="Arial"/>
          <w:b/>
          <w:sz w:val="20"/>
          <w:szCs w:val="20"/>
        </w:rPr>
      </w:pPr>
    </w:p>
    <w:p w14:paraId="1F1CE87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326D1A80"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E9E6ECD" w14:textId="0CD1A75A"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sidR="00FB52D1">
        <w:rPr>
          <w:rFonts w:ascii="Arial" w:hAnsi="Arial" w:cs="Arial"/>
          <w:bCs/>
          <w:sz w:val="20"/>
          <w:szCs w:val="20"/>
        </w:rPr>
        <w:t xml:space="preserve">la </w:t>
      </w:r>
      <w:r w:rsidRPr="00F9180D">
        <w:rPr>
          <w:rFonts w:ascii="Arial" w:hAnsi="Arial" w:cs="Arial"/>
          <w:bCs/>
          <w:sz w:val="20"/>
          <w:szCs w:val="20"/>
        </w:rPr>
        <w:t>Direc</w:t>
      </w:r>
      <w:r w:rsidR="00FB52D1">
        <w:rPr>
          <w:rFonts w:ascii="Arial" w:hAnsi="Arial" w:cs="Arial"/>
          <w:bCs/>
          <w:sz w:val="20"/>
          <w:szCs w:val="20"/>
        </w:rPr>
        <w:t xml:space="preserve">tora </w:t>
      </w:r>
      <w:r w:rsidRPr="00F9180D">
        <w:rPr>
          <w:rFonts w:ascii="Arial" w:hAnsi="Arial" w:cs="Arial"/>
          <w:bCs/>
          <w:sz w:val="20"/>
          <w:szCs w:val="20"/>
        </w:rPr>
        <w:t>General de Infraestructura Física, de conformidad con lo previsto en los artículos</w:t>
      </w:r>
      <w:r w:rsidR="00CD11C2">
        <w:rPr>
          <w:rFonts w:ascii="Arial" w:hAnsi="Arial" w:cs="Arial"/>
          <w:bCs/>
          <w:sz w:val="20"/>
          <w:szCs w:val="20"/>
        </w:rPr>
        <w:t xml:space="preserve"> </w:t>
      </w:r>
      <w:r w:rsidR="00CD11C2" w:rsidRPr="00CD11C2">
        <w:rPr>
          <w:rFonts w:ascii="Arial" w:hAnsi="Arial" w:cs="Arial"/>
          <w:bCs/>
          <w:sz w:val="20"/>
          <w:szCs w:val="20"/>
        </w:rPr>
        <w:t>39, fracción III,</w:t>
      </w:r>
      <w:r w:rsidRPr="00F9180D">
        <w:rPr>
          <w:rFonts w:ascii="Arial" w:hAnsi="Arial" w:cs="Arial"/>
          <w:bCs/>
          <w:sz w:val="20"/>
          <w:szCs w:val="20"/>
        </w:rPr>
        <w:t xml:space="preserve"> 43, fracción I</w:t>
      </w:r>
      <w:r w:rsidR="00A02EDC">
        <w:rPr>
          <w:rFonts w:ascii="Arial" w:hAnsi="Arial" w:cs="Arial"/>
          <w:bCs/>
          <w:sz w:val="20"/>
          <w:szCs w:val="20"/>
        </w:rPr>
        <w:t>I</w:t>
      </w:r>
      <w:r w:rsidR="0071490E">
        <w:rPr>
          <w:rFonts w:ascii="Arial" w:hAnsi="Arial" w:cs="Arial"/>
          <w:bCs/>
          <w:sz w:val="20"/>
          <w:szCs w:val="20"/>
        </w:rPr>
        <w:t>I</w:t>
      </w:r>
      <w:r w:rsidRPr="00F9180D">
        <w:rPr>
          <w:rFonts w:ascii="Arial" w:hAnsi="Arial" w:cs="Arial"/>
          <w:bCs/>
          <w:sz w:val="20"/>
          <w:szCs w:val="20"/>
        </w:rPr>
        <w:t>, 46, 47</w:t>
      </w:r>
      <w:r w:rsidR="00A02EDC">
        <w:rPr>
          <w:rFonts w:ascii="Arial" w:hAnsi="Arial" w:cs="Arial"/>
          <w:bCs/>
          <w:sz w:val="20"/>
          <w:szCs w:val="20"/>
        </w:rPr>
        <w:t>,</w:t>
      </w:r>
      <w:r w:rsidR="008706C1">
        <w:rPr>
          <w:rFonts w:ascii="Arial" w:hAnsi="Arial" w:cs="Arial"/>
          <w:bCs/>
          <w:sz w:val="20"/>
          <w:szCs w:val="20"/>
        </w:rPr>
        <w:t xml:space="preserve"> fracción III</w:t>
      </w:r>
      <w:r w:rsidR="0071490E">
        <w:rPr>
          <w:rFonts w:ascii="Arial" w:hAnsi="Arial" w:cs="Arial"/>
          <w:bCs/>
          <w:sz w:val="20"/>
          <w:szCs w:val="20"/>
        </w:rPr>
        <w:t>,</w:t>
      </w:r>
      <w:r w:rsidR="001E283D">
        <w:rPr>
          <w:rFonts w:ascii="Arial" w:hAnsi="Arial" w:cs="Arial"/>
          <w:bCs/>
          <w:sz w:val="20"/>
          <w:szCs w:val="20"/>
        </w:rPr>
        <w:t xml:space="preserve"> y</w:t>
      </w:r>
      <w:r w:rsidR="0071490E">
        <w:rPr>
          <w:rFonts w:ascii="Arial" w:hAnsi="Arial" w:cs="Arial"/>
          <w:bCs/>
          <w:sz w:val="20"/>
          <w:szCs w:val="20"/>
        </w:rPr>
        <w:t xml:space="preserve"> </w:t>
      </w:r>
      <w:r w:rsidRPr="0071490E">
        <w:rPr>
          <w:rFonts w:ascii="Arial" w:hAnsi="Arial" w:cs="Arial"/>
          <w:bCs/>
          <w:sz w:val="20"/>
          <w:szCs w:val="20"/>
        </w:rPr>
        <w:t>86</w:t>
      </w:r>
      <w:r w:rsidR="00A02EDC">
        <w:rPr>
          <w:rFonts w:ascii="Arial" w:hAnsi="Arial" w:cs="Arial"/>
          <w:bCs/>
          <w:sz w:val="20"/>
          <w:szCs w:val="20"/>
        </w:rPr>
        <w:t>,</w:t>
      </w:r>
      <w:r w:rsidRPr="00F9180D">
        <w:rPr>
          <w:rFonts w:ascii="Arial" w:hAnsi="Arial" w:cs="Arial"/>
          <w:bCs/>
          <w:sz w:val="20"/>
          <w:szCs w:val="20"/>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F0D8132"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4222306"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DCBDC1E" w14:textId="683123E5" w:rsidR="00851D75" w:rsidRPr="00851D75" w:rsidRDefault="007C7D49" w:rsidP="00851D7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00851D75" w:rsidRPr="00851D75">
        <w:rPr>
          <w:rFonts w:ascii="Arial" w:hAnsi="Arial" w:cs="Arial"/>
          <w:bCs/>
          <w:sz w:val="20"/>
          <w:szCs w:val="20"/>
        </w:rPr>
        <w:t xml:space="preserve">La erogación que implica la presente contratación es de devengo futuro; por lo tanto, la erogación de recursos presupuestales en dicho año estará sujeto a la disponibilidad presupuestaria con cargo en la Unidad Responsable </w:t>
      </w:r>
      <w:r w:rsidR="00CF4D79" w:rsidRPr="00CF4D79">
        <w:rPr>
          <w:rFonts w:ascii="Arial" w:hAnsi="Arial" w:cs="Arial"/>
          <w:bCs/>
          <w:sz w:val="20"/>
          <w:szCs w:val="20"/>
        </w:rPr>
        <w:t>24510930S0010001</w:t>
      </w:r>
      <w:r w:rsidR="00851D75" w:rsidRPr="00851D75">
        <w:rPr>
          <w:rFonts w:ascii="Arial" w:hAnsi="Arial" w:cs="Arial"/>
          <w:bCs/>
          <w:sz w:val="20"/>
          <w:szCs w:val="20"/>
        </w:rPr>
        <w:t>, Partida Presupuestal 35101</w:t>
      </w:r>
      <w:r w:rsidR="00851D75">
        <w:rPr>
          <w:rFonts w:ascii="Arial" w:hAnsi="Arial" w:cs="Arial"/>
          <w:bCs/>
          <w:sz w:val="20"/>
          <w:szCs w:val="20"/>
        </w:rPr>
        <w:t xml:space="preserve"> </w:t>
      </w:r>
      <w:r w:rsidR="00851D75" w:rsidRPr="00DC6B55">
        <w:rPr>
          <w:rFonts w:ascii="Arial" w:hAnsi="Arial" w:cs="Arial"/>
          <w:bCs/>
          <w:sz w:val="20"/>
          <w:szCs w:val="20"/>
        </w:rPr>
        <w:t xml:space="preserve">denominada “Mantenimiento y conservación de </w:t>
      </w:r>
      <w:r w:rsidR="00587C82">
        <w:rPr>
          <w:rFonts w:ascii="Arial" w:hAnsi="Arial" w:cs="Arial"/>
          <w:bCs/>
          <w:sz w:val="20"/>
          <w:szCs w:val="20"/>
        </w:rPr>
        <w:t xml:space="preserve">inmuebles” </w:t>
      </w:r>
      <w:r w:rsidR="00851D75" w:rsidRPr="00851D75">
        <w:rPr>
          <w:rFonts w:ascii="Arial" w:hAnsi="Arial" w:cs="Arial"/>
          <w:bCs/>
          <w:sz w:val="20"/>
          <w:szCs w:val="20"/>
        </w:rPr>
        <w:t>y los efectos del contrato estarán condicionados a la existencia de los recursos presupuestarios respectivos, sin que la falta de éstos origine responsabilidad alguna para la Suprema Corte de Justicia de la Nación.</w:t>
      </w:r>
    </w:p>
    <w:p w14:paraId="60796E0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bajo protesta de decir verdad, por conducto de su representante legal que:</w:t>
      </w:r>
    </w:p>
    <w:p w14:paraId="2D7E75F5"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II.1.- </w:t>
      </w:r>
      <w:r w:rsidRPr="00F9180D">
        <w:rPr>
          <w:rFonts w:ascii="Arial" w:hAnsi="Arial" w:cs="Arial"/>
          <w:bCs/>
          <w:sz w:val="20"/>
          <w:szCs w:val="20"/>
        </w:rPr>
        <w:t>Es una persona moral debidamente constituida bajo las leyes mexicanas y cuenta con la inscripción en el Registro Público del Comercio correspondiente.</w:t>
      </w:r>
    </w:p>
    <w:p w14:paraId="677FFE0F"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 los servicios requeridos por la “Suprema Corte” y cuenta con los elementos técnicos y capacidad económica necesarios para realizarlos a satisfacción de ésta.</w:t>
      </w:r>
    </w:p>
    <w:p w14:paraId="34427F49"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w:t>
      </w:r>
      <w:r w:rsidRPr="00F9180D">
        <w:rPr>
          <w:rFonts w:ascii="Arial" w:hAnsi="Arial" w:cs="Arial"/>
          <w:b/>
          <w:sz w:val="20"/>
          <w:szCs w:val="20"/>
        </w:rPr>
        <w:t xml:space="preserve"> </w:t>
      </w:r>
      <w:r w:rsidRPr="00F9180D">
        <w:rPr>
          <w:rFonts w:ascii="Arial" w:hAnsi="Arial" w:cs="Arial"/>
          <w:bCs/>
          <w:sz w:val="20"/>
          <w:szCs w:val="20"/>
        </w:rPr>
        <w:t>y Judicial de la Federación para celebrar contratos; asimismo, no se encuentra en ninguno de los supuestos a que se refieren los artículos 62, fracciones XV y XVI, y 193 del Acuerdo General de Administración XIV/2019.</w:t>
      </w:r>
    </w:p>
    <w:p w14:paraId="7619D45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57F39F4A"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3832AEA1"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B621AAD"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DA61D90"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78C8F86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50EF42A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p>
    <w:p w14:paraId="05DC6DB7"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7469BAAD"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E1FEE0A" w14:textId="0747E8D8"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sidR="0071490E">
        <w:rPr>
          <w:rFonts w:ascii="Arial" w:hAnsi="Arial" w:cs="Arial"/>
          <w:bCs/>
          <w:sz w:val="20"/>
          <w:szCs w:val="20"/>
        </w:rPr>
        <w:t>,</w:t>
      </w:r>
      <w:r w:rsidRPr="00F9180D">
        <w:rPr>
          <w:rFonts w:ascii="Arial" w:hAnsi="Arial" w:cs="Arial"/>
          <w:bCs/>
          <w:sz w:val="20"/>
          <w:szCs w:val="20"/>
        </w:rPr>
        <w:t xml:space="preserve"> condiciones de pago </w:t>
      </w:r>
      <w:r w:rsidR="0071490E">
        <w:rPr>
          <w:rFonts w:ascii="Arial" w:hAnsi="Arial" w:cs="Arial"/>
          <w:bCs/>
          <w:sz w:val="20"/>
          <w:szCs w:val="20"/>
        </w:rPr>
        <w:t xml:space="preserve">y garantía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4A1A003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287E186" w14:textId="6DB9CD98" w:rsidR="00D20237" w:rsidRPr="007C7D49"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11E3C8D2" w14:textId="383F06AE" w:rsidR="00D20237"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sidR="0071490E">
        <w:rPr>
          <w:rFonts w:ascii="Arial" w:hAnsi="Arial" w:cs="Arial"/>
          <w:bCs/>
          <w:sz w:val="20"/>
          <w:szCs w:val="20"/>
        </w:rPr>
        <w:t>el</w:t>
      </w:r>
      <w:r w:rsidRPr="00F9180D">
        <w:rPr>
          <w:rFonts w:ascii="Arial" w:hAnsi="Arial" w:cs="Arial"/>
          <w:bCs/>
          <w:sz w:val="20"/>
          <w:szCs w:val="20"/>
        </w:rPr>
        <w:t xml:space="preserve"> monto señalado en la cláusula Segunda, </w:t>
      </w:r>
      <w:r w:rsidR="00E33BAE" w:rsidRPr="00E33BAE">
        <w:rPr>
          <w:rFonts w:ascii="Arial" w:hAnsi="Arial" w:cs="Arial"/>
          <w:bCs/>
          <w:sz w:val="20"/>
          <w:szCs w:val="20"/>
        </w:rPr>
        <w:t xml:space="preserve">por servicio mensual </w:t>
      </w:r>
      <w:r w:rsidR="007439CE" w:rsidRPr="007439CE">
        <w:rPr>
          <w:rFonts w:ascii="Arial" w:hAnsi="Arial" w:cs="Arial"/>
          <w:bCs/>
          <w:sz w:val="20"/>
          <w:szCs w:val="20"/>
        </w:rPr>
        <w:t xml:space="preserve">devengado debidamente ejecutado y </w:t>
      </w:r>
      <w:r w:rsidR="00E33BAE">
        <w:rPr>
          <w:rFonts w:ascii="Arial" w:hAnsi="Arial" w:cs="Arial"/>
          <w:bCs/>
          <w:sz w:val="20"/>
          <w:szCs w:val="20"/>
        </w:rPr>
        <w:t xml:space="preserve">recibido </w:t>
      </w:r>
      <w:r w:rsidR="007439CE" w:rsidRPr="007439CE">
        <w:rPr>
          <w:rFonts w:ascii="Arial" w:hAnsi="Arial" w:cs="Arial"/>
          <w:bCs/>
          <w:sz w:val="20"/>
          <w:szCs w:val="20"/>
        </w:rPr>
        <w:t xml:space="preserve">a entera satisfacción de la </w:t>
      </w:r>
      <w:r w:rsidR="007439CE">
        <w:rPr>
          <w:rFonts w:ascii="Arial" w:hAnsi="Arial" w:cs="Arial"/>
          <w:bCs/>
          <w:sz w:val="20"/>
          <w:szCs w:val="20"/>
        </w:rPr>
        <w:t>“</w:t>
      </w:r>
      <w:r w:rsidR="007439CE" w:rsidRPr="007439CE">
        <w:rPr>
          <w:rFonts w:ascii="Arial" w:hAnsi="Arial" w:cs="Arial"/>
          <w:bCs/>
          <w:sz w:val="20"/>
          <w:szCs w:val="20"/>
        </w:rPr>
        <w:t>Suprema Corte</w:t>
      </w:r>
      <w:r w:rsidR="007439CE">
        <w:rPr>
          <w:rFonts w:ascii="Arial" w:hAnsi="Arial" w:cs="Arial"/>
          <w:bCs/>
          <w:sz w:val="20"/>
          <w:szCs w:val="20"/>
        </w:rPr>
        <w:t>”</w:t>
      </w:r>
      <w:r w:rsidR="0071490E" w:rsidRPr="0071490E">
        <w:rPr>
          <w:rFonts w:ascii="Arial" w:hAnsi="Arial" w:cs="Arial"/>
          <w:bCs/>
          <w:sz w:val="20"/>
          <w:szCs w:val="20"/>
        </w:rPr>
        <w:t>.</w:t>
      </w:r>
      <w:r w:rsidR="0071490E">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A9BCC6B"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0F795EF0" w14:textId="63A0CDCC" w:rsidR="007D0F60" w:rsidRPr="00F9180D" w:rsidRDefault="007D0F6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Cs/>
          <w:sz w:val="20"/>
          <w:szCs w:val="20"/>
        </w:rPr>
        <w:t>L</w:t>
      </w:r>
      <w:r w:rsidRPr="007D0F60">
        <w:rPr>
          <w:rFonts w:ascii="Arial" w:hAnsi="Arial" w:cs="Arial"/>
          <w:bCs/>
          <w:sz w:val="20"/>
          <w:szCs w:val="20"/>
        </w:rPr>
        <w:t>os importes correspondientes al ejercicio fiscal 2024 estarán sujetos a que este Alto Tribunal cuente con los recursos presupuestales destinados para tales efectos, de conformidad con lo establecido en los artículos 39, fracción III, del Acuerdo General de Administración XIV/2019 y 35 de la Ley Federal de Presupuesto y Responsabilidad Hacendaria, sin que la falta de éstos origine responsabilidad para la Suprema Corte de Justicia de la Nación.</w:t>
      </w:r>
    </w:p>
    <w:p w14:paraId="4B22C0CB" w14:textId="77777777" w:rsidR="0071490E"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sidR="0071490E">
        <w:rPr>
          <w:rFonts w:ascii="Arial" w:hAnsi="Arial" w:cs="Arial"/>
          <w:bCs/>
          <w:sz w:val="20"/>
          <w:szCs w:val="20"/>
        </w:rPr>
        <w:t>los</w:t>
      </w:r>
      <w:r w:rsidRPr="00F9180D">
        <w:rPr>
          <w:rFonts w:ascii="Arial" w:hAnsi="Arial" w:cs="Arial"/>
          <w:bCs/>
          <w:sz w:val="20"/>
          <w:szCs w:val="20"/>
        </w:rPr>
        <w:t xml:space="preserve"> domicilio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ubicado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en</w:t>
      </w:r>
      <w:r w:rsidR="0071490E">
        <w:rPr>
          <w:rFonts w:ascii="Arial" w:hAnsi="Arial" w:cs="Arial"/>
          <w:bCs/>
          <w:sz w:val="20"/>
          <w:szCs w:val="20"/>
        </w:rPr>
        <w:t>:</w:t>
      </w:r>
    </w:p>
    <w:p w14:paraId="017489C4" w14:textId="6B1E148D" w:rsidR="00C53C3D" w:rsidRPr="00C53C3D"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C53C3D">
        <w:rPr>
          <w:rFonts w:ascii="Arial" w:hAnsi="Arial" w:cs="Arial"/>
          <w:bCs/>
          <w:sz w:val="20"/>
          <w:szCs w:val="20"/>
        </w:rPr>
        <w:t>Edificio Sede, ubicado en avenida José María Pino Suárez número 2, colonia Centro, alcaldía Cuauhtémoc, código postal 06060, Ciudad de México.</w:t>
      </w:r>
    </w:p>
    <w:p w14:paraId="6ED5DA39" w14:textId="17ADA36E" w:rsidR="00C53C3D" w:rsidRPr="00C53C3D"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sidRPr="00C53C3D">
        <w:rPr>
          <w:rFonts w:ascii="Arial" w:hAnsi="Arial" w:cs="Arial"/>
          <w:b/>
          <w:sz w:val="20"/>
          <w:szCs w:val="20"/>
        </w:rPr>
        <w:t>b)</w:t>
      </w:r>
      <w:r>
        <w:rPr>
          <w:rFonts w:ascii="Arial" w:hAnsi="Arial" w:cs="Arial"/>
          <w:bCs/>
          <w:sz w:val="20"/>
          <w:szCs w:val="20"/>
        </w:rPr>
        <w:t xml:space="preserve"> </w:t>
      </w:r>
      <w:r w:rsidRPr="00C53C3D">
        <w:rPr>
          <w:rFonts w:ascii="Arial" w:hAnsi="Arial" w:cs="Arial"/>
          <w:bCs/>
          <w:sz w:val="20"/>
          <w:szCs w:val="20"/>
        </w:rPr>
        <w:t>Edificio Bolívar, ubicado en calle Bolívar número 30, colonia Centro, alcaldía Cuauhtémoc, código postal 06000, Ciudad de México.</w:t>
      </w:r>
    </w:p>
    <w:p w14:paraId="1D21BB7D" w14:textId="172D0CA9" w:rsidR="00C53C3D" w:rsidRPr="00C53C3D"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c) </w:t>
      </w:r>
      <w:r w:rsidRPr="00C53C3D">
        <w:rPr>
          <w:rFonts w:ascii="Arial" w:hAnsi="Arial" w:cs="Arial"/>
          <w:bCs/>
          <w:sz w:val="20"/>
          <w:szCs w:val="20"/>
        </w:rPr>
        <w:t>Edificio del Centro de Desarrollo Infantil, ubicado en calle Chimalpopoca número 112, esquina San Salvador el Verde, colonia Centro, alcaldía Cuauhtémoc, código postal 06080, Ciudad de México.</w:t>
      </w:r>
    </w:p>
    <w:p w14:paraId="32227650" w14:textId="5FD1FC03" w:rsidR="00C53C3D" w:rsidRPr="00C53C3D"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d) </w:t>
      </w:r>
      <w:r w:rsidRPr="00C53C3D">
        <w:rPr>
          <w:rFonts w:ascii="Arial" w:hAnsi="Arial" w:cs="Arial"/>
          <w:bCs/>
          <w:sz w:val="20"/>
          <w:szCs w:val="20"/>
        </w:rPr>
        <w:t>Edificio Revolución, ubicado en avenida Revolución número 1508, colonia Guadalupe Inn, alcaldía Álvaro Obregón, código postal 01020, Ciudad de México.</w:t>
      </w:r>
    </w:p>
    <w:p w14:paraId="6F21B4F9" w14:textId="731D4FED" w:rsidR="00C53C3D" w:rsidRPr="00C53C3D"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e) </w:t>
      </w:r>
      <w:r w:rsidRPr="00C53C3D">
        <w:rPr>
          <w:rFonts w:ascii="Arial" w:hAnsi="Arial" w:cs="Arial"/>
          <w:bCs/>
          <w:sz w:val="20"/>
          <w:szCs w:val="20"/>
        </w:rPr>
        <w:t>Edificio Alterno, ubicado en calle 16 de septiembre número 38, colonia Centro, alcaldía Cuauhtémoc, código postal 06000, Ciudad de México.</w:t>
      </w:r>
    </w:p>
    <w:p w14:paraId="7B28B375" w14:textId="21335737" w:rsidR="00C53C3D" w:rsidRPr="00C53C3D"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f) </w:t>
      </w:r>
      <w:r w:rsidRPr="00C53C3D">
        <w:rPr>
          <w:rFonts w:ascii="Arial" w:hAnsi="Arial" w:cs="Arial"/>
          <w:bCs/>
          <w:sz w:val="20"/>
          <w:szCs w:val="20"/>
        </w:rPr>
        <w:t>Edificio Justicia TV, ubicado en la calle República de El Salvador número 56, colonia Centro, alcaldía Cuauhtémoc, código postal 06010, Ciudad de México.</w:t>
      </w:r>
    </w:p>
    <w:p w14:paraId="63798B35" w14:textId="10A28CCA" w:rsidR="00C53C3D" w:rsidRPr="00C53C3D"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g) </w:t>
      </w:r>
      <w:r w:rsidRPr="00C53C3D">
        <w:rPr>
          <w:rFonts w:ascii="Arial" w:hAnsi="Arial" w:cs="Arial"/>
          <w:bCs/>
          <w:sz w:val="20"/>
          <w:szCs w:val="20"/>
        </w:rPr>
        <w:t xml:space="preserve">Casa de la Cultura Jurídica en Hermosillo, ubicada en </w:t>
      </w:r>
      <w:r w:rsidR="00B112A3">
        <w:rPr>
          <w:rFonts w:ascii="Arial" w:hAnsi="Arial" w:cs="Arial"/>
          <w:bCs/>
          <w:sz w:val="20"/>
          <w:szCs w:val="20"/>
        </w:rPr>
        <w:t xml:space="preserve">calzada </w:t>
      </w:r>
      <w:r w:rsidRPr="00C53C3D">
        <w:rPr>
          <w:rFonts w:ascii="Arial" w:hAnsi="Arial" w:cs="Arial"/>
          <w:bCs/>
          <w:sz w:val="20"/>
          <w:szCs w:val="20"/>
        </w:rPr>
        <w:t>Presbítero Pedro Villegas Ramírez (antes Calzada Nowalk) número 26, colonia Casa Blanca, código postal 8307</w:t>
      </w:r>
      <w:r w:rsidR="00B112A3">
        <w:rPr>
          <w:rFonts w:ascii="Arial" w:hAnsi="Arial" w:cs="Arial"/>
          <w:bCs/>
          <w:sz w:val="20"/>
          <w:szCs w:val="20"/>
        </w:rPr>
        <w:t>9</w:t>
      </w:r>
      <w:r w:rsidRPr="00C53C3D">
        <w:rPr>
          <w:rFonts w:ascii="Arial" w:hAnsi="Arial" w:cs="Arial"/>
          <w:bCs/>
          <w:sz w:val="20"/>
          <w:szCs w:val="20"/>
        </w:rPr>
        <w:t>, Hermosillo, Sonora.</w:t>
      </w:r>
    </w:p>
    <w:p w14:paraId="48DE6C43" w14:textId="5E8799C0" w:rsidR="00C53C3D" w:rsidRPr="00C53C3D"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sidRPr="00C53C3D">
        <w:rPr>
          <w:rFonts w:ascii="Arial" w:hAnsi="Arial" w:cs="Arial"/>
          <w:b/>
          <w:sz w:val="20"/>
          <w:szCs w:val="20"/>
        </w:rPr>
        <w:t>h)</w:t>
      </w:r>
      <w:r>
        <w:rPr>
          <w:rFonts w:ascii="Arial" w:hAnsi="Arial" w:cs="Arial"/>
          <w:bCs/>
          <w:sz w:val="20"/>
          <w:szCs w:val="20"/>
        </w:rPr>
        <w:t xml:space="preserve"> </w:t>
      </w:r>
      <w:r w:rsidRPr="00C53C3D">
        <w:rPr>
          <w:rFonts w:ascii="Arial" w:hAnsi="Arial" w:cs="Arial"/>
          <w:bCs/>
          <w:sz w:val="20"/>
          <w:szCs w:val="20"/>
        </w:rPr>
        <w:t xml:space="preserve">Casa de la Cultura Jurídica en Guadalajara, ubicada en </w:t>
      </w:r>
      <w:r w:rsidR="00B112A3">
        <w:rPr>
          <w:rFonts w:ascii="Arial" w:hAnsi="Arial" w:cs="Arial"/>
          <w:bCs/>
          <w:sz w:val="20"/>
          <w:szCs w:val="20"/>
        </w:rPr>
        <w:t xml:space="preserve">calle </w:t>
      </w:r>
      <w:r w:rsidRPr="00C53C3D">
        <w:rPr>
          <w:rFonts w:ascii="Arial" w:hAnsi="Arial" w:cs="Arial"/>
          <w:bCs/>
          <w:sz w:val="20"/>
          <w:szCs w:val="20"/>
        </w:rPr>
        <w:t>Francisco Javier Gamboa número 98, esquina López Cotilla, colonia Americana, código postal 441</w:t>
      </w:r>
      <w:r w:rsidR="00B112A3">
        <w:rPr>
          <w:rFonts w:ascii="Arial" w:hAnsi="Arial" w:cs="Arial"/>
          <w:bCs/>
          <w:sz w:val="20"/>
          <w:szCs w:val="20"/>
        </w:rPr>
        <w:t>6</w:t>
      </w:r>
      <w:r w:rsidRPr="00C53C3D">
        <w:rPr>
          <w:rFonts w:ascii="Arial" w:hAnsi="Arial" w:cs="Arial"/>
          <w:bCs/>
          <w:sz w:val="20"/>
          <w:szCs w:val="20"/>
        </w:rPr>
        <w:t>0, Guadalajara, Jalisco.</w:t>
      </w:r>
    </w:p>
    <w:p w14:paraId="69D983BA" w14:textId="4C353B7B" w:rsidR="00C53C3D" w:rsidRDefault="00C53C3D" w:rsidP="00C53C3D">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i) </w:t>
      </w:r>
      <w:r w:rsidRPr="00C53C3D">
        <w:rPr>
          <w:rFonts w:ascii="Arial" w:hAnsi="Arial" w:cs="Arial"/>
          <w:bCs/>
          <w:sz w:val="20"/>
          <w:szCs w:val="20"/>
        </w:rPr>
        <w:t>Edificio 5 de Febrero, ubicado en calle Chimalpopoca número 112 esquina 5 de Febrero, colonia Centro, alcaldía Cuauhtémoc, código postal 06080, Ciudad de México.</w:t>
      </w:r>
    </w:p>
    <w:p w14:paraId="6EBA4273" w14:textId="56B7070A" w:rsidR="00135A74"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con un plazo</w:t>
      </w:r>
      <w:r w:rsidR="0071490E">
        <w:rPr>
          <w:rFonts w:ascii="Arial" w:hAnsi="Arial" w:cs="Arial"/>
          <w:bCs/>
          <w:sz w:val="20"/>
          <w:szCs w:val="20"/>
        </w:rPr>
        <w:t xml:space="preserve"> </w:t>
      </w:r>
      <w:r w:rsidR="00A21832">
        <w:rPr>
          <w:rFonts w:ascii="Arial" w:hAnsi="Arial" w:cs="Arial"/>
          <w:bCs/>
          <w:sz w:val="20"/>
          <w:szCs w:val="20"/>
        </w:rPr>
        <w:t xml:space="preserve">del </w:t>
      </w:r>
      <w:r w:rsidR="002D5FF0">
        <w:rPr>
          <w:rFonts w:ascii="Arial" w:hAnsi="Arial" w:cs="Arial"/>
          <w:bCs/>
          <w:sz w:val="20"/>
          <w:szCs w:val="20"/>
        </w:rPr>
        <w:t>dos</w:t>
      </w:r>
      <w:r w:rsidR="00A21832">
        <w:rPr>
          <w:rFonts w:ascii="Arial" w:hAnsi="Arial" w:cs="Arial"/>
          <w:bCs/>
          <w:sz w:val="20"/>
          <w:szCs w:val="20"/>
        </w:rPr>
        <w:t xml:space="preserve"> de enero</w:t>
      </w:r>
      <w:r w:rsidR="0071490E" w:rsidRPr="0071490E">
        <w:rPr>
          <w:rFonts w:ascii="Arial" w:hAnsi="Arial" w:cs="Arial"/>
          <w:bCs/>
          <w:sz w:val="20"/>
          <w:szCs w:val="20"/>
        </w:rPr>
        <w:t xml:space="preserve"> y hasta el treinta y uno de diciembre de dos mil veinti</w:t>
      </w:r>
      <w:r w:rsidR="00A21832">
        <w:rPr>
          <w:rFonts w:ascii="Arial" w:hAnsi="Arial" w:cs="Arial"/>
          <w:bCs/>
          <w:sz w:val="20"/>
          <w:szCs w:val="20"/>
        </w:rPr>
        <w:t>cuatro</w:t>
      </w:r>
      <w:r w:rsidR="0071490E" w:rsidRPr="0071490E">
        <w:rPr>
          <w:rFonts w:ascii="Arial" w:hAnsi="Arial" w:cs="Arial"/>
          <w:bCs/>
          <w:sz w:val="20"/>
          <w:szCs w:val="20"/>
        </w:rPr>
        <w:t>.</w:t>
      </w:r>
      <w:r w:rsidR="0071490E">
        <w:rPr>
          <w:rFonts w:ascii="Arial" w:hAnsi="Arial" w:cs="Arial"/>
          <w:bCs/>
          <w:sz w:val="20"/>
          <w:szCs w:val="20"/>
        </w:rPr>
        <w:t xml:space="preserve"> </w:t>
      </w:r>
      <w:r w:rsidR="00135A74"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1FFECAA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CB07B6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97BBE8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4B48B774" w14:textId="27F5D8B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71490E">
        <w:rPr>
          <w:rFonts w:ascii="Arial" w:hAnsi="Arial" w:cs="Arial"/>
          <w:bCs/>
          <w:sz w:val="20"/>
          <w:szCs w:val="20"/>
        </w:rPr>
        <w:t>1</w:t>
      </w:r>
      <w:r>
        <w:rPr>
          <w:rFonts w:ascii="Arial" w:hAnsi="Arial" w:cs="Arial"/>
          <w:bCs/>
          <w:sz w:val="20"/>
          <w:szCs w:val="20"/>
        </w:rPr>
        <w:t>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sidR="0071490E">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w:t>
      </w:r>
      <w:r w:rsidRPr="00F9180D">
        <w:rPr>
          <w:rFonts w:ascii="Arial" w:hAnsi="Arial" w:cs="Arial"/>
          <w:bCs/>
          <w:sz w:val="20"/>
          <w:szCs w:val="20"/>
        </w:rPr>
        <w:lastRenderedPageBreak/>
        <w:t xml:space="preserve">valor de los servicios, sin incluir el Impuesto al Valor Agregado, que no se hayan recibido, o bien, no se hayan recibido a entera satisfacción de la “Suprema Corte”. </w:t>
      </w:r>
    </w:p>
    <w:p w14:paraId="3FB2AD64"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5A2B93DC" w14:textId="16AC6C7C" w:rsidR="001A6150" w:rsidRPr="00F9180D" w:rsidRDefault="001A615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44B29D6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134D94F2"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053D939A" w14:textId="5910AC55" w:rsidR="00FB45BE" w:rsidRPr="00F9180D" w:rsidRDefault="00FB45BE"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t>Las penas convencionales también podrán hacerse efectivas mediante la garantía otorgada.</w:t>
      </w:r>
    </w:p>
    <w:p w14:paraId="1D4EFF63" w14:textId="746001A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Garantía de cumplimiento. </w:t>
      </w:r>
      <w:r w:rsidR="0058154D" w:rsidRPr="0058154D">
        <w:rPr>
          <w:rFonts w:ascii="Arial" w:hAnsi="Arial" w:cs="Arial"/>
          <w:bCs/>
          <w:sz w:val="20"/>
          <w:szCs w:val="20"/>
        </w:rPr>
        <w:t>De conformidad con lo establecido en el artículo 169, fracción II, del Acuerdo General de Administración XIV/2019, el “</w:t>
      </w:r>
      <w:r w:rsidR="0058154D">
        <w:rPr>
          <w:rFonts w:ascii="Arial" w:hAnsi="Arial" w:cs="Arial"/>
          <w:bCs/>
          <w:sz w:val="20"/>
          <w:szCs w:val="20"/>
        </w:rPr>
        <w:t>Prestador de Servicios</w:t>
      </w:r>
      <w:r w:rsidR="0058154D" w:rsidRPr="0058154D">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sidR="006F2A57">
        <w:rPr>
          <w:rFonts w:ascii="Arial" w:hAnsi="Arial" w:cs="Arial"/>
          <w:bCs/>
          <w:sz w:val="20"/>
          <w:szCs w:val="20"/>
        </w:rPr>
        <w:t xml:space="preserve">el servicio </w:t>
      </w:r>
      <w:r w:rsidR="0058154D" w:rsidRPr="0058154D">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p>
    <w:p w14:paraId="7AA83B59" w14:textId="2BD237CF" w:rsidR="00D20237" w:rsidRPr="00F9180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00D20237" w:rsidRPr="00F9180D">
        <w:rPr>
          <w:rFonts w:ascii="Arial" w:hAnsi="Arial" w:cs="Arial"/>
          <w:b/>
          <w:sz w:val="20"/>
          <w:szCs w:val="20"/>
        </w:rPr>
        <w:t xml:space="preserve">Pagos en exceso. </w:t>
      </w:r>
      <w:r w:rsidR="00D20237"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2F9C2FD" w14:textId="763BB0D4" w:rsidR="00D20237" w:rsidRPr="00F9180D" w:rsidRDefault="00A21832"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Novena</w:t>
      </w:r>
      <w:r w:rsidR="00D20237" w:rsidRPr="00F9180D">
        <w:rPr>
          <w:rFonts w:ascii="Arial" w:hAnsi="Arial" w:cs="Arial"/>
          <w:b/>
          <w:sz w:val="20"/>
          <w:szCs w:val="20"/>
        </w:rPr>
        <w:t xml:space="preserve">. Propiedad intelectual. </w:t>
      </w:r>
      <w:r w:rsidR="00D20237"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2BA2EE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1BA69A0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16FE24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1C486834" w14:textId="798DE32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Inexistencia de relación laboral. </w:t>
      </w:r>
      <w:r w:rsidRPr="00F9180D">
        <w:rPr>
          <w:rFonts w:ascii="Arial" w:hAnsi="Arial" w:cs="Arial"/>
          <w:bCs/>
          <w:sz w:val="20"/>
          <w:szCs w:val="20"/>
        </w:rPr>
        <w:t xml:space="preserve">Las personas que intervengan en la realización del objeto de este contrato serán </w:t>
      </w:r>
      <w:r w:rsidR="00C43149">
        <w:rPr>
          <w:rFonts w:ascii="Arial" w:hAnsi="Arial" w:cs="Arial"/>
          <w:bCs/>
          <w:sz w:val="20"/>
          <w:szCs w:val="20"/>
        </w:rPr>
        <w:t>personal</w:t>
      </w:r>
      <w:r w:rsidR="00C43149" w:rsidRPr="00F9180D">
        <w:rPr>
          <w:rFonts w:ascii="Arial" w:hAnsi="Arial" w:cs="Arial"/>
          <w:bCs/>
          <w:sz w:val="20"/>
          <w:szCs w:val="20"/>
        </w:rPr>
        <w:t xml:space="preserve"> </w:t>
      </w:r>
      <w:r w:rsidRPr="00F9180D">
        <w:rPr>
          <w:rFonts w:ascii="Arial" w:hAnsi="Arial" w:cs="Arial"/>
          <w:bCs/>
          <w:sz w:val="20"/>
          <w:szCs w:val="20"/>
        </w:rPr>
        <w:t>del “Prestador de Servicios”, por lo que de ninguna manera existirá relación laboral entre ellos y la “Suprema Corte”.</w:t>
      </w:r>
    </w:p>
    <w:p w14:paraId="20D26564" w14:textId="104BE34E"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43149">
        <w:rPr>
          <w:rFonts w:ascii="Arial" w:hAnsi="Arial" w:cs="Arial"/>
          <w:bCs/>
          <w:sz w:val="20"/>
          <w:szCs w:val="20"/>
        </w:rPr>
        <w:t>el personal</w:t>
      </w:r>
      <w:r w:rsidR="00C43149" w:rsidRPr="00F9180D">
        <w:rPr>
          <w:rFonts w:ascii="Arial" w:hAnsi="Arial" w:cs="Arial"/>
          <w:bCs/>
          <w:sz w:val="20"/>
          <w:szCs w:val="20"/>
        </w:rPr>
        <w:t xml:space="preserve"> </w:t>
      </w:r>
      <w:r w:rsidRPr="00F9180D">
        <w:rPr>
          <w:rFonts w:ascii="Arial" w:hAnsi="Arial" w:cs="Arial"/>
          <w:bCs/>
          <w:sz w:val="20"/>
          <w:szCs w:val="20"/>
        </w:rPr>
        <w:t xml:space="preserve">del “Prestador de Servicios” presenten en su contra o de la “Suprema Corte”. El gasto que implique el cumplimiento de estas obligaciones correrá a cargo del “Prestador de Servicios”, que será el único responsable de las obligaciones adquiridas con su </w:t>
      </w:r>
      <w:r w:rsidR="00C43149">
        <w:rPr>
          <w:rFonts w:ascii="Arial" w:hAnsi="Arial" w:cs="Arial"/>
          <w:bCs/>
          <w:sz w:val="20"/>
          <w:szCs w:val="20"/>
        </w:rPr>
        <w:t>personal</w:t>
      </w:r>
      <w:r w:rsidRPr="00F9180D">
        <w:rPr>
          <w:rFonts w:ascii="Arial" w:hAnsi="Arial" w:cs="Arial"/>
          <w:bCs/>
          <w:sz w:val="20"/>
          <w:szCs w:val="20"/>
        </w:rPr>
        <w:t>.</w:t>
      </w:r>
    </w:p>
    <w:p w14:paraId="42886048" w14:textId="41B525EC"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“Suprema Corte” estará facultada para requerir al “Prestador de Servicios” los comprobantes de afiliación de su </w:t>
      </w:r>
      <w:r w:rsidR="00C43149">
        <w:rPr>
          <w:rFonts w:ascii="Arial" w:hAnsi="Arial" w:cs="Arial"/>
          <w:bCs/>
          <w:sz w:val="20"/>
          <w:szCs w:val="20"/>
        </w:rPr>
        <w:t>personal</w:t>
      </w:r>
      <w:r w:rsidR="00C43149" w:rsidRPr="00F9180D">
        <w:rPr>
          <w:rFonts w:ascii="Arial" w:hAnsi="Arial" w:cs="Arial"/>
          <w:bCs/>
          <w:sz w:val="20"/>
          <w:szCs w:val="20"/>
        </w:rPr>
        <w:t xml:space="preserve"> </w:t>
      </w:r>
      <w:r w:rsidRPr="00F9180D">
        <w:rPr>
          <w:rFonts w:ascii="Arial" w:hAnsi="Arial" w:cs="Arial"/>
          <w:bCs/>
          <w:sz w:val="20"/>
          <w:szCs w:val="20"/>
        </w:rPr>
        <w:t>al IMSS, así como los comprobantes de pago de las cuotas al SAR, INFONAVIT e IMSS.</w:t>
      </w:r>
    </w:p>
    <w:p w14:paraId="04E271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E25BF61"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lastRenderedPageBreak/>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92BDE35" w14:textId="1D25F41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BA5CD8">
        <w:rPr>
          <w:rFonts w:ascii="Arial" w:hAnsi="Arial" w:cs="Arial"/>
          <w:b/>
          <w:sz w:val="20"/>
          <w:szCs w:val="20"/>
        </w:rPr>
        <w:t xml:space="preserve"> </w:t>
      </w:r>
      <w:r w:rsidR="00A21832" w:rsidRPr="00F9180D">
        <w:rPr>
          <w:rFonts w:ascii="Arial" w:hAnsi="Arial" w:cs="Arial"/>
          <w:b/>
          <w:sz w:val="20"/>
          <w:szCs w:val="20"/>
        </w:rPr>
        <w:t>Primera</w:t>
      </w:r>
      <w:r w:rsidRPr="00F9180D">
        <w:rPr>
          <w:rFonts w:ascii="Arial" w:hAnsi="Arial" w:cs="Arial"/>
          <w:b/>
          <w:sz w:val="20"/>
          <w:szCs w:val="20"/>
        </w:rPr>
        <w:t xml:space="preserve">.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2F8555E" w14:textId="656D893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Segunda</w:t>
      </w:r>
      <w:r w:rsidRPr="00F9180D">
        <w:rPr>
          <w:rFonts w:ascii="Arial" w:hAnsi="Arial" w:cs="Arial"/>
          <w:b/>
          <w:sz w:val="20"/>
          <w:szCs w:val="20"/>
        </w:rPr>
        <w:t xml:space="preserve">.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BEFE73E" w14:textId="13FBE3B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Tercera</w:t>
      </w:r>
      <w:r w:rsidRPr="00F9180D">
        <w:rPr>
          <w:rFonts w:ascii="Arial" w:hAnsi="Arial" w:cs="Arial"/>
          <w:b/>
          <w:sz w:val="20"/>
          <w:szCs w:val="20"/>
        </w:rPr>
        <w:t xml:space="preserve">.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D87052B" w14:textId="7D2BE83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Cuarta</w:t>
      </w:r>
      <w:r w:rsidRPr="00F9180D">
        <w:rPr>
          <w:rFonts w:ascii="Arial" w:hAnsi="Arial" w:cs="Arial"/>
          <w:b/>
          <w:sz w:val="20"/>
          <w:szCs w:val="20"/>
        </w:rPr>
        <w:t xml:space="preserve">.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FDE460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D3204E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2F35496" w14:textId="1DFB026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Quinta</w:t>
      </w:r>
      <w:r w:rsidRPr="00F9180D">
        <w:rPr>
          <w:rFonts w:ascii="Arial" w:hAnsi="Arial" w:cs="Arial"/>
          <w:b/>
          <w:sz w:val="20"/>
          <w:szCs w:val="20"/>
        </w:rPr>
        <w:t xml:space="preserve">.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C00AE3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1288F3B" w14:textId="50E7F10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FB45BE" w:rsidRPr="00FB45BE">
        <w:rPr>
          <w:rFonts w:ascii="Arial" w:hAnsi="Arial" w:cs="Arial"/>
          <w:bCs/>
          <w:sz w:val="20"/>
          <w:szCs w:val="20"/>
        </w:rPr>
        <w:t>4) Si el “Prestador de Servicios” no exhibe la garantía</w:t>
      </w:r>
      <w:r w:rsidR="002C4A6F">
        <w:rPr>
          <w:rFonts w:ascii="Arial" w:hAnsi="Arial" w:cs="Arial"/>
          <w:bCs/>
          <w:sz w:val="20"/>
          <w:szCs w:val="20"/>
        </w:rPr>
        <w:t xml:space="preserve"> requerida</w:t>
      </w:r>
      <w:r w:rsidR="00FB45BE" w:rsidRPr="00FB45BE">
        <w:rPr>
          <w:rFonts w:ascii="Arial" w:hAnsi="Arial" w:cs="Arial"/>
          <w:bCs/>
          <w:sz w:val="20"/>
          <w:szCs w:val="20"/>
        </w:rPr>
        <w:t xml:space="preserve"> en los términos y condiciones indicados en este contrato, de conformidad con el artículo 169 del Acuerdo General de Administración XIV/2019.</w:t>
      </w:r>
    </w:p>
    <w:p w14:paraId="6C0BB20F" w14:textId="7E413373" w:rsidR="00D20237" w:rsidRPr="00F649D4"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Sexta</w:t>
      </w:r>
      <w:r w:rsidRPr="00F9180D">
        <w:rPr>
          <w:rFonts w:ascii="Arial" w:hAnsi="Arial" w:cs="Arial"/>
          <w:b/>
          <w:sz w:val="20"/>
          <w:szCs w:val="20"/>
        </w:rPr>
        <w:t xml:space="preserve">.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7BACB4F" w14:textId="06CF513F"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Séptima</w:t>
      </w:r>
      <w:r w:rsidRPr="00F9180D">
        <w:rPr>
          <w:rFonts w:ascii="Arial" w:hAnsi="Arial" w:cs="Arial"/>
          <w:b/>
          <w:sz w:val="20"/>
          <w:szCs w:val="20"/>
        </w:rPr>
        <w:t xml:space="preserve">. Suspensión temporal del contrato. </w:t>
      </w:r>
      <w:r w:rsidRPr="00F9180D">
        <w:rPr>
          <w:rFonts w:ascii="Arial" w:hAnsi="Arial" w:cs="Arial"/>
          <w:bCs/>
          <w:sz w:val="20"/>
          <w:szCs w:val="20"/>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w:t>
      </w:r>
      <w:r w:rsidRPr="00F9180D">
        <w:rPr>
          <w:rFonts w:ascii="Arial" w:hAnsi="Arial" w:cs="Arial"/>
          <w:bCs/>
          <w:sz w:val="20"/>
          <w:szCs w:val="20"/>
        </w:rPr>
        <w:lastRenderedPageBreak/>
        <w:t>legales una vez desaparecidas las causas que motivaron dicha suspensión. El procedimiento de suspensión se regirá por lo dispuesto en el artículo 150, del Acuerdo General de Administración XIV/2019.</w:t>
      </w:r>
    </w:p>
    <w:p w14:paraId="741651DD" w14:textId="28D2874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Octava</w:t>
      </w:r>
      <w:r w:rsidRPr="00F9180D">
        <w:rPr>
          <w:rFonts w:ascii="Arial" w:hAnsi="Arial" w:cs="Arial"/>
          <w:b/>
          <w:sz w:val="20"/>
          <w:szCs w:val="20"/>
        </w:rPr>
        <w:t xml:space="preserve">.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74F8605" w14:textId="5D6D107F" w:rsidR="00D20237" w:rsidRPr="00F9180D" w:rsidRDefault="00BA5CD8"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 Novena</w:t>
      </w:r>
      <w:r w:rsidR="00D20237" w:rsidRPr="00F9180D">
        <w:rPr>
          <w:rFonts w:ascii="Arial" w:hAnsi="Arial" w:cs="Arial"/>
          <w:b/>
          <w:sz w:val="20"/>
          <w:szCs w:val="20"/>
        </w:rPr>
        <w:t xml:space="preserve">. Vicios Ocultos. </w:t>
      </w:r>
      <w:r w:rsidR="00D20237"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0D535AC" w14:textId="413A793E"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00786F1D" w:rsidRPr="00786F1D">
        <w:rPr>
          <w:rFonts w:ascii="Arial" w:hAnsi="Arial" w:cs="Arial"/>
          <w:bCs/>
          <w:sz w:val="20"/>
          <w:szCs w:val="20"/>
        </w:rPr>
        <w:t xml:space="preserve">Dirección de Servicios de Mantenimiento de la Subdirección General de Servicios </w:t>
      </w:r>
      <w:r w:rsidR="00702764">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E78E8BD" w14:textId="6E3D823E" w:rsidR="00D20237" w:rsidRPr="00D71191"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sidR="00786F1D">
        <w:rPr>
          <w:rFonts w:ascii="Arial" w:hAnsi="Arial" w:cs="Arial"/>
          <w:bCs/>
          <w:sz w:val="20"/>
          <w:szCs w:val="20"/>
        </w:rPr>
        <w:t>l</w:t>
      </w:r>
      <w:r>
        <w:rPr>
          <w:rFonts w:ascii="Arial" w:hAnsi="Arial" w:cs="Arial"/>
          <w:bCs/>
          <w:sz w:val="20"/>
          <w:szCs w:val="20"/>
        </w:rPr>
        <w:t xml:space="preserve"> </w:t>
      </w:r>
      <w:r w:rsidRPr="00D71191">
        <w:rPr>
          <w:rFonts w:ascii="Arial" w:hAnsi="Arial" w:cs="Arial"/>
          <w:bCs/>
          <w:sz w:val="20"/>
          <w:szCs w:val="20"/>
        </w:rPr>
        <w:t>Administrador del contrato, lo que informará por escrito al “Prestador de Servicios”.</w:t>
      </w:r>
    </w:p>
    <w:p w14:paraId="688290B0" w14:textId="4DE348D3" w:rsidR="00C53C3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A21832" w:rsidRPr="00F9180D">
        <w:rPr>
          <w:rFonts w:ascii="Arial" w:hAnsi="Arial" w:cs="Arial"/>
          <w:b/>
          <w:sz w:val="20"/>
          <w:szCs w:val="20"/>
        </w:rPr>
        <w:t>Primera</w:t>
      </w:r>
      <w:r w:rsidRPr="00F9180D">
        <w:rPr>
          <w:rFonts w:ascii="Arial" w:hAnsi="Arial" w:cs="Arial"/>
          <w:b/>
          <w:sz w:val="20"/>
          <w:szCs w:val="20"/>
        </w:rPr>
        <w:t xml:space="preserve">. </w:t>
      </w:r>
      <w:r w:rsidR="00786F1D">
        <w:rPr>
          <w:rFonts w:ascii="Arial" w:hAnsi="Arial" w:cs="Arial"/>
          <w:b/>
          <w:sz w:val="20"/>
          <w:szCs w:val="20"/>
        </w:rPr>
        <w:t xml:space="preserve">Garantía del servicio. </w:t>
      </w:r>
      <w:r w:rsidR="00786F1D" w:rsidRPr="00786F1D">
        <w:rPr>
          <w:rFonts w:ascii="Arial" w:hAnsi="Arial" w:cs="Arial"/>
          <w:bCs/>
          <w:sz w:val="20"/>
          <w:szCs w:val="20"/>
        </w:rPr>
        <w:t xml:space="preserve">El “Prestador de Servicios” deberá presentar garantía del servicio </w:t>
      </w:r>
      <w:r w:rsidR="00C53C3D" w:rsidRPr="00C53C3D">
        <w:rPr>
          <w:rFonts w:ascii="Arial" w:hAnsi="Arial" w:cs="Arial"/>
          <w:bCs/>
          <w:sz w:val="20"/>
          <w:szCs w:val="20"/>
        </w:rPr>
        <w:t>durante la vigencia del contrato para atención de llamadas de emergencia las veinticuatro horas, los 365 días del año, con una capacidad de respuesta no mayor a una hora.</w:t>
      </w:r>
    </w:p>
    <w:p w14:paraId="2F859206" w14:textId="5AA28E01" w:rsidR="00D20237" w:rsidRPr="00F9180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A21832" w:rsidRPr="00F9180D">
        <w:rPr>
          <w:rFonts w:ascii="Arial" w:hAnsi="Arial" w:cs="Arial"/>
          <w:b/>
          <w:sz w:val="20"/>
          <w:szCs w:val="20"/>
        </w:rPr>
        <w:t>Segunda</w:t>
      </w:r>
      <w:r w:rsidRPr="00F9180D">
        <w:rPr>
          <w:rFonts w:ascii="Arial" w:hAnsi="Arial" w:cs="Arial"/>
          <w:b/>
          <w:sz w:val="20"/>
          <w:szCs w:val="20"/>
        </w:rPr>
        <w:t xml:space="preserve">. </w:t>
      </w:r>
      <w:r w:rsidR="00D20237" w:rsidRPr="00F9180D">
        <w:rPr>
          <w:rFonts w:ascii="Arial" w:hAnsi="Arial" w:cs="Arial"/>
          <w:b/>
          <w:sz w:val="20"/>
          <w:szCs w:val="20"/>
        </w:rPr>
        <w:t xml:space="preserve">Resolución de controversias. </w:t>
      </w:r>
      <w:r w:rsidR="00D20237"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23FB14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50815E2A" w14:textId="7A6D844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A21832" w:rsidRPr="00F9180D">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E065BE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24FFB2C9" w14:textId="77777777" w:rsidR="00D20237" w:rsidRPr="00F9180D" w:rsidRDefault="00D20237" w:rsidP="0005689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007AA004"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575C3D" w14:textId="77777777" w:rsidTr="007D0D95">
        <w:trPr>
          <w:trHeight w:val="494"/>
          <w:jc w:val="center"/>
        </w:trPr>
        <w:tc>
          <w:tcPr>
            <w:tcW w:w="4531" w:type="dxa"/>
          </w:tcPr>
          <w:p w14:paraId="7B596881"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300B1FC4"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5CE6DCF"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717A79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72B7303C" w14:textId="77777777" w:rsidR="00D20237" w:rsidRDefault="00D20237"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PRESTACIÓN DE SERVICIOS </w:t>
      </w:r>
    </w:p>
    <w:p w14:paraId="2CD2D4FF" w14:textId="179964A8" w:rsidR="00D20237" w:rsidRPr="00F9180D" w:rsidRDefault="00D20237" w:rsidP="00D20237">
      <w:pPr>
        <w:tabs>
          <w:tab w:val="left" w:pos="426"/>
          <w:tab w:val="left" w:pos="1276"/>
        </w:tabs>
        <w:spacing w:line="240" w:lineRule="auto"/>
        <w:ind w:left="-284" w:right="-410"/>
        <w:jc w:val="center"/>
        <w:rPr>
          <w:rFonts w:ascii="Arial" w:hAnsi="Arial" w:cs="Arial"/>
          <w:b/>
          <w:bCs/>
          <w:sz w:val="20"/>
          <w:szCs w:val="20"/>
        </w:rPr>
      </w:pPr>
      <w:r w:rsidRPr="00F9180D">
        <w:rPr>
          <w:rFonts w:ascii="Arial" w:hAnsi="Arial" w:cs="Arial"/>
          <w:b/>
          <w:bCs/>
          <w:sz w:val="20"/>
          <w:szCs w:val="20"/>
        </w:rPr>
        <w:t>PERSONA FÍSICA</w:t>
      </w:r>
    </w:p>
    <w:p w14:paraId="2F41F29C" w14:textId="77777777" w:rsidR="00D20237" w:rsidRPr="00F9180D" w:rsidRDefault="00D20237" w:rsidP="00D20237">
      <w:pPr>
        <w:pStyle w:val="Ttulo1"/>
        <w:tabs>
          <w:tab w:val="left" w:pos="426"/>
          <w:tab w:val="left" w:pos="1276"/>
          <w:tab w:val="left" w:pos="3261"/>
        </w:tabs>
        <w:spacing w:before="120" w:after="120"/>
        <w:ind w:left="-284" w:right="-410"/>
        <w:rPr>
          <w:sz w:val="20"/>
          <w:szCs w:val="20"/>
        </w:rPr>
      </w:pPr>
      <w:r w:rsidRPr="00F9180D">
        <w:rPr>
          <w:sz w:val="20"/>
          <w:szCs w:val="20"/>
        </w:rPr>
        <w:t>D E C L A R A C I O N E S</w:t>
      </w:r>
    </w:p>
    <w:p w14:paraId="2F41EAA4"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0ED35DD0"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DC2ABEF" w14:textId="7945F8BE"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Pr>
          <w:rFonts w:ascii="Arial" w:hAnsi="Arial" w:cs="Arial"/>
          <w:bCs/>
          <w:sz w:val="20"/>
          <w:szCs w:val="20"/>
        </w:rPr>
        <w:t xml:space="preserve">la </w:t>
      </w:r>
      <w:r w:rsidRPr="00F9180D">
        <w:rPr>
          <w:rFonts w:ascii="Arial" w:hAnsi="Arial" w:cs="Arial"/>
          <w:bCs/>
          <w:sz w:val="20"/>
          <w:szCs w:val="20"/>
        </w:rPr>
        <w:t>Direc</w:t>
      </w:r>
      <w:r>
        <w:rPr>
          <w:rFonts w:ascii="Arial" w:hAnsi="Arial" w:cs="Arial"/>
          <w:bCs/>
          <w:sz w:val="20"/>
          <w:szCs w:val="20"/>
        </w:rPr>
        <w:t xml:space="preserve">tora </w:t>
      </w:r>
      <w:r w:rsidRPr="00F9180D">
        <w:rPr>
          <w:rFonts w:ascii="Arial" w:hAnsi="Arial" w:cs="Arial"/>
          <w:bCs/>
          <w:sz w:val="20"/>
          <w:szCs w:val="20"/>
        </w:rPr>
        <w:t xml:space="preserve">General de Infraestructura Física, de conformidad con lo previsto en los </w:t>
      </w:r>
      <w:r w:rsidR="00151DD8" w:rsidRPr="00F9180D">
        <w:rPr>
          <w:rFonts w:ascii="Arial" w:hAnsi="Arial" w:cs="Arial"/>
          <w:bCs/>
          <w:sz w:val="20"/>
          <w:szCs w:val="20"/>
        </w:rPr>
        <w:t xml:space="preserve">artículos </w:t>
      </w:r>
      <w:r w:rsidR="00C43149" w:rsidRPr="00CD11C2">
        <w:rPr>
          <w:rFonts w:ascii="Arial" w:hAnsi="Arial" w:cs="Arial"/>
          <w:bCs/>
          <w:sz w:val="20"/>
          <w:szCs w:val="20"/>
        </w:rPr>
        <w:t>39, fracción III,</w:t>
      </w:r>
      <w:r w:rsidR="00C43149" w:rsidRPr="00F9180D">
        <w:rPr>
          <w:rFonts w:ascii="Arial" w:hAnsi="Arial" w:cs="Arial"/>
          <w:bCs/>
          <w:sz w:val="20"/>
          <w:szCs w:val="20"/>
        </w:rPr>
        <w:t xml:space="preserve"> </w:t>
      </w:r>
      <w:r w:rsidR="00151DD8" w:rsidRPr="00F9180D">
        <w:rPr>
          <w:rFonts w:ascii="Arial" w:hAnsi="Arial" w:cs="Arial"/>
          <w:bCs/>
          <w:sz w:val="20"/>
          <w:szCs w:val="20"/>
        </w:rPr>
        <w:t>43, fracción I</w:t>
      </w:r>
      <w:r w:rsidR="00151DD8">
        <w:rPr>
          <w:rFonts w:ascii="Arial" w:hAnsi="Arial" w:cs="Arial"/>
          <w:bCs/>
          <w:sz w:val="20"/>
          <w:szCs w:val="20"/>
        </w:rPr>
        <w:t>II</w:t>
      </w:r>
      <w:r w:rsidR="00151DD8" w:rsidRPr="00F9180D">
        <w:rPr>
          <w:rFonts w:ascii="Arial" w:hAnsi="Arial" w:cs="Arial"/>
          <w:bCs/>
          <w:sz w:val="20"/>
          <w:szCs w:val="20"/>
        </w:rPr>
        <w:t>, 46, 47</w:t>
      </w:r>
      <w:r w:rsidR="00151DD8">
        <w:rPr>
          <w:rFonts w:ascii="Arial" w:hAnsi="Arial" w:cs="Arial"/>
          <w:bCs/>
          <w:sz w:val="20"/>
          <w:szCs w:val="20"/>
        </w:rPr>
        <w:t xml:space="preserve">, fracción III, y </w:t>
      </w:r>
      <w:r w:rsidR="00151DD8" w:rsidRPr="0071490E">
        <w:rPr>
          <w:rFonts w:ascii="Arial" w:hAnsi="Arial" w:cs="Arial"/>
          <w:bCs/>
          <w:sz w:val="20"/>
          <w:szCs w:val="20"/>
        </w:rPr>
        <w:t>86</w:t>
      </w:r>
      <w:r w:rsidR="00151DD8">
        <w:rPr>
          <w:rFonts w:ascii="Arial" w:hAnsi="Arial" w:cs="Arial"/>
          <w:bCs/>
          <w:sz w:val="20"/>
          <w:szCs w:val="20"/>
        </w:rPr>
        <w:t>,</w:t>
      </w:r>
      <w:r w:rsidR="00151DD8" w:rsidRPr="00F9180D">
        <w:rPr>
          <w:rFonts w:ascii="Arial" w:hAnsi="Arial" w:cs="Arial"/>
          <w:bCs/>
          <w:sz w:val="20"/>
          <w:szCs w:val="20"/>
        </w:rPr>
        <w:t xml:space="preserve"> del Acuerdo General de Administración XIV/2019</w:t>
      </w:r>
      <w:r w:rsidRPr="00F9180D">
        <w:rPr>
          <w:rFonts w:ascii="Arial" w:hAnsi="Arial" w:cs="Arial"/>
          <w:bCs/>
          <w:sz w:val="20"/>
          <w:szCs w:val="20"/>
        </w:rPr>
        <w:t xml:space="preserve">, del Comité de Gobierno y Administración de la Suprema Corte de Justicia de la Nación, de siete de noviembre de dos mil diecinueve, por el que se regulan los procedimientos para la </w:t>
      </w:r>
      <w:r w:rsidRPr="00F9180D">
        <w:rPr>
          <w:rFonts w:ascii="Arial" w:hAnsi="Arial" w:cs="Arial"/>
          <w:bCs/>
          <w:sz w:val="20"/>
          <w:szCs w:val="20"/>
        </w:rPr>
        <w:lastRenderedPageBreak/>
        <w:t>adquisición, arrendamiento, administración y desincorporación de bienes y la contratación de obras y prestación de servicios requeridos por la Suprema Corte de Justicia de la Nación (Acuerdo General de Administración XIV/2019).</w:t>
      </w:r>
    </w:p>
    <w:p w14:paraId="104AD295"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17D610B"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44DED7EE" w14:textId="5738E126" w:rsidR="00DC6B55" w:rsidRPr="00F9180D" w:rsidRDefault="00DC6B55" w:rsidP="00DC6B5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00806F4B" w:rsidRPr="00806F4B">
        <w:rPr>
          <w:rFonts w:ascii="Arial" w:hAnsi="Arial" w:cs="Arial"/>
          <w:bCs/>
          <w:sz w:val="20"/>
          <w:szCs w:val="20"/>
        </w:rPr>
        <w:t>La erogación que implica la presente contratación es de devengo futuro; por lo tanto, la erogación de recursos presupuestales en dicho año estará sujeto a la disponibilidad presupuestaria con cargo en la Unidad Responsable 24510925S0010001, Partida Presupuestal 35101 denominada “Mantenimiento y conservación de inmuebles” y los efectos del contrato estarán condicionados a la existencia de los recursos presupuestarios respectivos, sin que la falta de éstos origine responsabilidad alguna para la Suprema Corte de Justicia de la Nación.</w:t>
      </w:r>
    </w:p>
    <w:p w14:paraId="5E0030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por su propio derecho y bajo protesta de decir verdad que:</w:t>
      </w:r>
    </w:p>
    <w:p w14:paraId="4844D88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II.1.- </w:t>
      </w:r>
      <w:r w:rsidRPr="00F9180D">
        <w:rPr>
          <w:rFonts w:ascii="Arial" w:hAnsi="Arial" w:cs="Arial"/>
          <w:bCs/>
          <w:sz w:val="20"/>
          <w:szCs w:val="20"/>
        </w:rPr>
        <w:t>Es una persona física de nacionalidad mexicana y que cuenta con la capacidad de ejercicio para actuar en el presente contrato.</w:t>
      </w:r>
    </w:p>
    <w:p w14:paraId="1433BD5D" w14:textId="7A941F4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w:t>
      </w:r>
      <w:r w:rsidR="00B70828">
        <w:rPr>
          <w:rFonts w:ascii="Arial" w:hAnsi="Arial" w:cs="Arial"/>
          <w:bCs/>
          <w:sz w:val="20"/>
          <w:szCs w:val="20"/>
        </w:rPr>
        <w:t>l</w:t>
      </w:r>
      <w:r w:rsidRPr="00F9180D">
        <w:rPr>
          <w:rFonts w:ascii="Arial" w:hAnsi="Arial" w:cs="Arial"/>
          <w:bCs/>
          <w:sz w:val="20"/>
          <w:szCs w:val="20"/>
        </w:rPr>
        <w:t xml:space="preserve"> servicio requerido por la “Suprema Corte” y cuenta con los elementos técnicos y capacidad económica necesarios para realizarlos a satisfacción de ésta.</w:t>
      </w:r>
    </w:p>
    <w:p w14:paraId="1FF4581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BE4A3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0D643F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59D991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A9D52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075782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458ED36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1350AD20"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5F0350EE" w14:textId="77777777" w:rsidR="00485557" w:rsidRPr="00F9180D" w:rsidRDefault="00485557" w:rsidP="0048555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1D449E58" w14:textId="77777777" w:rsidR="00485557" w:rsidRPr="00F9180D" w:rsidRDefault="00485557" w:rsidP="00485557">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6C7B4E50" w14:textId="132237E4"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Pr>
          <w:rFonts w:ascii="Arial" w:hAnsi="Arial" w:cs="Arial"/>
          <w:bCs/>
          <w:sz w:val="20"/>
          <w:szCs w:val="20"/>
        </w:rPr>
        <w:t>,</w:t>
      </w:r>
      <w:r w:rsidRPr="00F9180D">
        <w:rPr>
          <w:rFonts w:ascii="Arial" w:hAnsi="Arial" w:cs="Arial"/>
          <w:bCs/>
          <w:sz w:val="20"/>
          <w:szCs w:val="20"/>
        </w:rPr>
        <w:t xml:space="preserve"> condiciones de pago </w:t>
      </w:r>
      <w:r>
        <w:rPr>
          <w:rFonts w:ascii="Arial" w:hAnsi="Arial" w:cs="Arial"/>
          <w:bCs/>
          <w:sz w:val="20"/>
          <w:szCs w:val="20"/>
        </w:rPr>
        <w:t xml:space="preserve">y garantía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517843AE"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0DC9445A" w14:textId="77777777" w:rsidR="00485557" w:rsidRPr="007C7D49"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7D4FF7E0" w14:textId="77777777" w:rsidR="00485557" w:rsidRPr="0071490E"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Pr>
          <w:rFonts w:ascii="Arial" w:hAnsi="Arial" w:cs="Arial"/>
          <w:bCs/>
          <w:sz w:val="20"/>
          <w:szCs w:val="20"/>
        </w:rPr>
        <w:t>el</w:t>
      </w:r>
      <w:r w:rsidRPr="00F9180D">
        <w:rPr>
          <w:rFonts w:ascii="Arial" w:hAnsi="Arial" w:cs="Arial"/>
          <w:bCs/>
          <w:sz w:val="20"/>
          <w:szCs w:val="20"/>
        </w:rPr>
        <w:t xml:space="preserve"> monto señalado en la cláusula Segunda, </w:t>
      </w:r>
      <w:r w:rsidRPr="00E33BAE">
        <w:rPr>
          <w:rFonts w:ascii="Arial" w:hAnsi="Arial" w:cs="Arial"/>
          <w:bCs/>
          <w:sz w:val="20"/>
          <w:szCs w:val="20"/>
        </w:rPr>
        <w:t xml:space="preserve">por servicio mensual </w:t>
      </w:r>
      <w:r w:rsidRPr="007439CE">
        <w:rPr>
          <w:rFonts w:ascii="Arial" w:hAnsi="Arial" w:cs="Arial"/>
          <w:bCs/>
          <w:sz w:val="20"/>
          <w:szCs w:val="20"/>
        </w:rPr>
        <w:t xml:space="preserve">devengado debidamente ejecutado y </w:t>
      </w:r>
      <w:r>
        <w:rPr>
          <w:rFonts w:ascii="Arial" w:hAnsi="Arial" w:cs="Arial"/>
          <w:bCs/>
          <w:sz w:val="20"/>
          <w:szCs w:val="20"/>
        </w:rPr>
        <w:t xml:space="preserve">recibido </w:t>
      </w:r>
      <w:r w:rsidRPr="007439CE">
        <w:rPr>
          <w:rFonts w:ascii="Arial" w:hAnsi="Arial" w:cs="Arial"/>
          <w:bCs/>
          <w:sz w:val="20"/>
          <w:szCs w:val="20"/>
        </w:rPr>
        <w:t xml:space="preserve">a entera satisfacción de la </w:t>
      </w:r>
      <w:r>
        <w:rPr>
          <w:rFonts w:ascii="Arial" w:hAnsi="Arial" w:cs="Arial"/>
          <w:bCs/>
          <w:sz w:val="20"/>
          <w:szCs w:val="20"/>
        </w:rPr>
        <w:t>“</w:t>
      </w:r>
      <w:r w:rsidRPr="007439CE">
        <w:rPr>
          <w:rFonts w:ascii="Arial" w:hAnsi="Arial" w:cs="Arial"/>
          <w:bCs/>
          <w:sz w:val="20"/>
          <w:szCs w:val="20"/>
        </w:rPr>
        <w:t>Suprema Corte</w:t>
      </w:r>
      <w:r>
        <w:rPr>
          <w:rFonts w:ascii="Arial" w:hAnsi="Arial" w:cs="Arial"/>
          <w:bCs/>
          <w:sz w:val="20"/>
          <w:szCs w:val="20"/>
        </w:rPr>
        <w:t>”</w:t>
      </w:r>
      <w:r w:rsidRPr="0071490E">
        <w:rPr>
          <w:rFonts w:ascii="Arial" w:hAnsi="Arial" w:cs="Arial"/>
          <w:bCs/>
          <w:sz w:val="20"/>
          <w:szCs w:val="20"/>
        </w:rPr>
        <w:t>.</w:t>
      </w:r>
      <w:r>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FE53BA4" w14:textId="77777777" w:rsidR="00485557"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182DF8BE"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Cs/>
          <w:sz w:val="20"/>
          <w:szCs w:val="20"/>
        </w:rPr>
        <w:t>L</w:t>
      </w:r>
      <w:r w:rsidRPr="007D0F60">
        <w:rPr>
          <w:rFonts w:ascii="Arial" w:hAnsi="Arial" w:cs="Arial"/>
          <w:bCs/>
          <w:sz w:val="20"/>
          <w:szCs w:val="20"/>
        </w:rPr>
        <w:t xml:space="preserve">os importes correspondientes al ejercicio fiscal 2024 estarán sujetos a que este Alto Tribunal cuente con los recursos presupuestales destinados para tales efectos, de conformidad con lo establecido en los artículos 39, fracción III, del </w:t>
      </w:r>
      <w:r w:rsidRPr="007D0F60">
        <w:rPr>
          <w:rFonts w:ascii="Arial" w:hAnsi="Arial" w:cs="Arial"/>
          <w:bCs/>
          <w:sz w:val="20"/>
          <w:szCs w:val="20"/>
        </w:rPr>
        <w:lastRenderedPageBreak/>
        <w:t>Acuerdo General de Administración XIV/2019 y 35 de la Ley Federal de Presupuesto y Responsabilidad Hacendaria, sin que la falta de éstos origine responsabilidad para la Suprema Corte de Justicia de la Nación.</w:t>
      </w:r>
    </w:p>
    <w:p w14:paraId="36AC55BC" w14:textId="77777777" w:rsidR="00485557"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Pr>
          <w:rFonts w:ascii="Arial" w:hAnsi="Arial" w:cs="Arial"/>
          <w:bCs/>
          <w:sz w:val="20"/>
          <w:szCs w:val="20"/>
        </w:rPr>
        <w:t>los</w:t>
      </w:r>
      <w:r w:rsidRPr="00F9180D">
        <w:rPr>
          <w:rFonts w:ascii="Arial" w:hAnsi="Arial" w:cs="Arial"/>
          <w:bCs/>
          <w:sz w:val="20"/>
          <w:szCs w:val="20"/>
        </w:rPr>
        <w:t xml:space="preserve"> domicilio</w:t>
      </w:r>
      <w:r>
        <w:rPr>
          <w:rFonts w:ascii="Arial" w:hAnsi="Arial" w:cs="Arial"/>
          <w:bCs/>
          <w:sz w:val="20"/>
          <w:szCs w:val="20"/>
        </w:rPr>
        <w:t xml:space="preserve">s </w:t>
      </w:r>
      <w:r w:rsidRPr="00F9180D">
        <w:rPr>
          <w:rFonts w:ascii="Arial" w:hAnsi="Arial" w:cs="Arial"/>
          <w:bCs/>
          <w:sz w:val="20"/>
          <w:szCs w:val="20"/>
        </w:rPr>
        <w:t>ubicado</w:t>
      </w:r>
      <w:r>
        <w:rPr>
          <w:rFonts w:ascii="Arial" w:hAnsi="Arial" w:cs="Arial"/>
          <w:bCs/>
          <w:sz w:val="20"/>
          <w:szCs w:val="20"/>
        </w:rPr>
        <w:t xml:space="preserve">s </w:t>
      </w:r>
      <w:r w:rsidRPr="00F9180D">
        <w:rPr>
          <w:rFonts w:ascii="Arial" w:hAnsi="Arial" w:cs="Arial"/>
          <w:bCs/>
          <w:sz w:val="20"/>
          <w:szCs w:val="20"/>
        </w:rPr>
        <w:t>en</w:t>
      </w:r>
      <w:r>
        <w:rPr>
          <w:rFonts w:ascii="Arial" w:hAnsi="Arial" w:cs="Arial"/>
          <w:bCs/>
          <w:sz w:val="20"/>
          <w:szCs w:val="20"/>
        </w:rPr>
        <w:t>:</w:t>
      </w:r>
    </w:p>
    <w:p w14:paraId="0C61D66E" w14:textId="77777777" w:rsidR="00485557" w:rsidRPr="00C53C3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C53C3D">
        <w:rPr>
          <w:rFonts w:ascii="Arial" w:hAnsi="Arial" w:cs="Arial"/>
          <w:bCs/>
          <w:sz w:val="20"/>
          <w:szCs w:val="20"/>
        </w:rPr>
        <w:t>Edificio Sede, ubicado en avenida José María Pino Suárez número 2, colonia Centro, alcaldía Cuauhtémoc, código postal 06060, Ciudad de México.</w:t>
      </w:r>
    </w:p>
    <w:p w14:paraId="206BF83B" w14:textId="77777777" w:rsidR="00485557" w:rsidRPr="00C53C3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C53C3D">
        <w:rPr>
          <w:rFonts w:ascii="Arial" w:hAnsi="Arial" w:cs="Arial"/>
          <w:b/>
          <w:sz w:val="20"/>
          <w:szCs w:val="20"/>
        </w:rPr>
        <w:t>b)</w:t>
      </w:r>
      <w:r>
        <w:rPr>
          <w:rFonts w:ascii="Arial" w:hAnsi="Arial" w:cs="Arial"/>
          <w:bCs/>
          <w:sz w:val="20"/>
          <w:szCs w:val="20"/>
        </w:rPr>
        <w:t xml:space="preserve"> </w:t>
      </w:r>
      <w:r w:rsidRPr="00C53C3D">
        <w:rPr>
          <w:rFonts w:ascii="Arial" w:hAnsi="Arial" w:cs="Arial"/>
          <w:bCs/>
          <w:sz w:val="20"/>
          <w:szCs w:val="20"/>
        </w:rPr>
        <w:t>Edificio Bolívar, ubicado en calle Bolívar número 30, colonia Centro, alcaldía Cuauhtémoc, código postal 06000, Ciudad de México.</w:t>
      </w:r>
    </w:p>
    <w:p w14:paraId="691EA0BC" w14:textId="77777777" w:rsidR="00485557" w:rsidRPr="00C53C3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c) </w:t>
      </w:r>
      <w:r w:rsidRPr="00C53C3D">
        <w:rPr>
          <w:rFonts w:ascii="Arial" w:hAnsi="Arial" w:cs="Arial"/>
          <w:bCs/>
          <w:sz w:val="20"/>
          <w:szCs w:val="20"/>
        </w:rPr>
        <w:t>Edificio del Centro de Desarrollo Infantil, ubicado en calle Chimalpopoca número 112, esquina San Salvador el Verde, colonia Centro, alcaldía Cuauhtémoc, código postal 06080, Ciudad de México.</w:t>
      </w:r>
    </w:p>
    <w:p w14:paraId="57093A11" w14:textId="77777777" w:rsidR="00485557" w:rsidRPr="00C53C3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d) </w:t>
      </w:r>
      <w:r w:rsidRPr="00C53C3D">
        <w:rPr>
          <w:rFonts w:ascii="Arial" w:hAnsi="Arial" w:cs="Arial"/>
          <w:bCs/>
          <w:sz w:val="20"/>
          <w:szCs w:val="20"/>
        </w:rPr>
        <w:t>Edificio Revolución, ubicado en avenida Revolución número 1508, colonia Guadalupe Inn, alcaldía Álvaro Obregón, código postal 01020, Ciudad de México.</w:t>
      </w:r>
    </w:p>
    <w:p w14:paraId="18057BFD" w14:textId="77777777" w:rsidR="00485557" w:rsidRPr="00C53C3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e) </w:t>
      </w:r>
      <w:r w:rsidRPr="00C53C3D">
        <w:rPr>
          <w:rFonts w:ascii="Arial" w:hAnsi="Arial" w:cs="Arial"/>
          <w:bCs/>
          <w:sz w:val="20"/>
          <w:szCs w:val="20"/>
        </w:rPr>
        <w:t>Edificio Alterno, ubicado en calle 16 de septiembre número 38, colonia Centro, alcaldía Cuauhtémoc, código postal 06000, Ciudad de México.</w:t>
      </w:r>
    </w:p>
    <w:p w14:paraId="25725C46" w14:textId="77777777" w:rsidR="00485557" w:rsidRPr="00C53C3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f) </w:t>
      </w:r>
      <w:r w:rsidRPr="00C53C3D">
        <w:rPr>
          <w:rFonts w:ascii="Arial" w:hAnsi="Arial" w:cs="Arial"/>
          <w:bCs/>
          <w:sz w:val="20"/>
          <w:szCs w:val="20"/>
        </w:rPr>
        <w:t>Edificio Justicia TV, ubicado en la calle República de El Salvador número 56, colonia Centro, alcaldía Cuauhtémoc, código postal 06010, Ciudad de México.</w:t>
      </w:r>
    </w:p>
    <w:p w14:paraId="2F4AA839" w14:textId="4046859F" w:rsidR="00485557" w:rsidRPr="00C53C3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g) </w:t>
      </w:r>
      <w:r w:rsidRPr="00C53C3D">
        <w:rPr>
          <w:rFonts w:ascii="Arial" w:hAnsi="Arial" w:cs="Arial"/>
          <w:bCs/>
          <w:sz w:val="20"/>
          <w:szCs w:val="20"/>
        </w:rPr>
        <w:t xml:space="preserve">Casa de la Cultura Jurídica en Hermosillo, ubicada en </w:t>
      </w:r>
      <w:r w:rsidR="00EC0C51">
        <w:rPr>
          <w:rFonts w:ascii="Arial" w:hAnsi="Arial" w:cs="Arial"/>
          <w:bCs/>
          <w:sz w:val="20"/>
          <w:szCs w:val="20"/>
        </w:rPr>
        <w:t xml:space="preserve">calzada </w:t>
      </w:r>
      <w:r w:rsidRPr="00C53C3D">
        <w:rPr>
          <w:rFonts w:ascii="Arial" w:hAnsi="Arial" w:cs="Arial"/>
          <w:bCs/>
          <w:sz w:val="20"/>
          <w:szCs w:val="20"/>
        </w:rPr>
        <w:t>Presbítero Pedro Villegas Ramírez (antes Calzada Nowalk) número 26, colonia Casa Blanca, código postal 8307</w:t>
      </w:r>
      <w:r w:rsidR="00EC0C51">
        <w:rPr>
          <w:rFonts w:ascii="Arial" w:hAnsi="Arial" w:cs="Arial"/>
          <w:bCs/>
          <w:sz w:val="20"/>
          <w:szCs w:val="20"/>
        </w:rPr>
        <w:t>9</w:t>
      </w:r>
      <w:r w:rsidRPr="00C53C3D">
        <w:rPr>
          <w:rFonts w:ascii="Arial" w:hAnsi="Arial" w:cs="Arial"/>
          <w:bCs/>
          <w:sz w:val="20"/>
          <w:szCs w:val="20"/>
        </w:rPr>
        <w:t>, Hermosillo, Sonora.</w:t>
      </w:r>
    </w:p>
    <w:p w14:paraId="5E244E6C" w14:textId="2C6F0336" w:rsidR="00485557" w:rsidRPr="00C53C3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C53C3D">
        <w:rPr>
          <w:rFonts w:ascii="Arial" w:hAnsi="Arial" w:cs="Arial"/>
          <w:b/>
          <w:sz w:val="20"/>
          <w:szCs w:val="20"/>
        </w:rPr>
        <w:t>h)</w:t>
      </w:r>
      <w:r>
        <w:rPr>
          <w:rFonts w:ascii="Arial" w:hAnsi="Arial" w:cs="Arial"/>
          <w:bCs/>
          <w:sz w:val="20"/>
          <w:szCs w:val="20"/>
        </w:rPr>
        <w:t xml:space="preserve"> </w:t>
      </w:r>
      <w:r w:rsidRPr="00C53C3D">
        <w:rPr>
          <w:rFonts w:ascii="Arial" w:hAnsi="Arial" w:cs="Arial"/>
          <w:bCs/>
          <w:sz w:val="20"/>
          <w:szCs w:val="20"/>
        </w:rPr>
        <w:t xml:space="preserve">Casa de la Cultura Jurídica en Guadalajara, ubicada en </w:t>
      </w:r>
      <w:r w:rsidR="00EC0C51">
        <w:rPr>
          <w:rFonts w:ascii="Arial" w:hAnsi="Arial" w:cs="Arial"/>
          <w:bCs/>
          <w:sz w:val="20"/>
          <w:szCs w:val="20"/>
        </w:rPr>
        <w:t xml:space="preserve">calle </w:t>
      </w:r>
      <w:r w:rsidRPr="00C53C3D">
        <w:rPr>
          <w:rFonts w:ascii="Arial" w:hAnsi="Arial" w:cs="Arial"/>
          <w:bCs/>
          <w:sz w:val="20"/>
          <w:szCs w:val="20"/>
        </w:rPr>
        <w:t>Francisco Javier Gamboa número 98, esquina López Cotilla, colonia Americana, código postal 441</w:t>
      </w:r>
      <w:r w:rsidR="00EC0C51">
        <w:rPr>
          <w:rFonts w:ascii="Arial" w:hAnsi="Arial" w:cs="Arial"/>
          <w:bCs/>
          <w:sz w:val="20"/>
          <w:szCs w:val="20"/>
        </w:rPr>
        <w:t>6</w:t>
      </w:r>
      <w:r w:rsidRPr="00C53C3D">
        <w:rPr>
          <w:rFonts w:ascii="Arial" w:hAnsi="Arial" w:cs="Arial"/>
          <w:bCs/>
          <w:sz w:val="20"/>
          <w:szCs w:val="20"/>
        </w:rPr>
        <w:t>0, Guadalajara, Jalisco.</w:t>
      </w:r>
    </w:p>
    <w:p w14:paraId="31E17C85" w14:textId="77777777" w:rsidR="00485557"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i) </w:t>
      </w:r>
      <w:r w:rsidRPr="00C53C3D">
        <w:rPr>
          <w:rFonts w:ascii="Arial" w:hAnsi="Arial" w:cs="Arial"/>
          <w:bCs/>
          <w:sz w:val="20"/>
          <w:szCs w:val="20"/>
        </w:rPr>
        <w:t>Edificio 5 de Febrero, ubicado en calle Chimalpopoca número 112 esquina 5 de Febrero, colonia Centro, alcaldía Cuauhtémoc, código postal 06080, Ciudad de México.</w:t>
      </w:r>
    </w:p>
    <w:p w14:paraId="3272DAC0" w14:textId="46814D80" w:rsidR="00485557" w:rsidRPr="0071490E"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 xml:space="preserve">con un plazo del </w:t>
      </w:r>
      <w:r w:rsidR="002D5FF0">
        <w:rPr>
          <w:rFonts w:ascii="Arial" w:hAnsi="Arial" w:cs="Arial"/>
          <w:bCs/>
          <w:sz w:val="20"/>
          <w:szCs w:val="20"/>
        </w:rPr>
        <w:t>dos</w:t>
      </w:r>
      <w:r>
        <w:rPr>
          <w:rFonts w:ascii="Arial" w:hAnsi="Arial" w:cs="Arial"/>
          <w:bCs/>
          <w:sz w:val="20"/>
          <w:szCs w:val="20"/>
        </w:rPr>
        <w:t xml:space="preserve"> de enero</w:t>
      </w:r>
      <w:r w:rsidRPr="0071490E">
        <w:rPr>
          <w:rFonts w:ascii="Arial" w:hAnsi="Arial" w:cs="Arial"/>
          <w:bCs/>
          <w:sz w:val="20"/>
          <w:szCs w:val="20"/>
        </w:rPr>
        <w:t xml:space="preserve"> y hasta el treinta y uno de diciembre de dos mil veinti</w:t>
      </w:r>
      <w:r>
        <w:rPr>
          <w:rFonts w:ascii="Arial" w:hAnsi="Arial" w:cs="Arial"/>
          <w:bCs/>
          <w:sz w:val="20"/>
          <w:szCs w:val="20"/>
        </w:rPr>
        <w:t>cuatro</w:t>
      </w:r>
      <w:r w:rsidRPr="0071490E">
        <w:rPr>
          <w:rFonts w:ascii="Arial" w:hAnsi="Arial" w:cs="Arial"/>
          <w:bCs/>
          <w:sz w:val="20"/>
          <w:szCs w:val="20"/>
        </w:rPr>
        <w:t>.</w:t>
      </w:r>
      <w:r>
        <w:rPr>
          <w:rFonts w:ascii="Arial" w:hAnsi="Arial" w:cs="Arial"/>
          <w:bCs/>
          <w:sz w:val="20"/>
          <w:szCs w:val="20"/>
        </w:rPr>
        <w:t xml:space="preserve"> </w:t>
      </w:r>
      <w:r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7B3EC8D2"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32AB0EA9"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75E324C"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23BC83B3"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Pr>
          <w:rFonts w:ascii="Arial" w:hAnsi="Arial" w:cs="Arial"/>
          <w:bCs/>
          <w:sz w:val="20"/>
          <w:szCs w:val="20"/>
        </w:rPr>
        <w:t>10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121527B2" w14:textId="77777777" w:rsidR="00485557"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50A09DF2"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3CD8354A"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4D8132B2" w14:textId="77777777" w:rsidR="00485557"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7082B632"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t>Las penas convencionales también podrán hacerse efectivas mediante la garantía otorgada.</w:t>
      </w:r>
    </w:p>
    <w:p w14:paraId="61948CB4"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Garantía de cumplimiento. </w:t>
      </w:r>
      <w:r w:rsidRPr="0058154D">
        <w:rPr>
          <w:rFonts w:ascii="Arial" w:hAnsi="Arial" w:cs="Arial"/>
          <w:bCs/>
          <w:sz w:val="20"/>
          <w:szCs w:val="20"/>
        </w:rPr>
        <w:t>De conformidad con lo establecido en el artículo 169, fracción II, del Acuerdo General de Administración XIV/2019, el “</w:t>
      </w:r>
      <w:r>
        <w:rPr>
          <w:rFonts w:ascii="Arial" w:hAnsi="Arial" w:cs="Arial"/>
          <w:bCs/>
          <w:sz w:val="20"/>
          <w:szCs w:val="20"/>
        </w:rPr>
        <w:t>Prestador de Servicios</w:t>
      </w:r>
      <w:r w:rsidRPr="0058154D">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w:t>
      </w:r>
      <w:r w:rsidRPr="0058154D">
        <w:rPr>
          <w:rFonts w:ascii="Arial" w:hAnsi="Arial" w:cs="Arial"/>
          <w:bCs/>
          <w:sz w:val="20"/>
          <w:szCs w:val="20"/>
        </w:rPr>
        <w:lastRenderedPageBreak/>
        <w:t xml:space="preserve">requisitos que la “Suprema Corte” indique. La presente garantía deberá contratarse de modo que esté vigente hasta que </w:t>
      </w:r>
      <w:r>
        <w:rPr>
          <w:rFonts w:ascii="Arial" w:hAnsi="Arial" w:cs="Arial"/>
          <w:bCs/>
          <w:sz w:val="20"/>
          <w:szCs w:val="20"/>
        </w:rPr>
        <w:t xml:space="preserve">el servicio </w:t>
      </w:r>
      <w:r w:rsidRPr="0058154D">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p>
    <w:p w14:paraId="1AE6CF00"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Pr="00F9180D">
        <w:rPr>
          <w:rFonts w:ascii="Arial" w:hAnsi="Arial" w:cs="Arial"/>
          <w:b/>
          <w:sz w:val="20"/>
          <w:szCs w:val="20"/>
        </w:rPr>
        <w:t xml:space="preserve">Pagos en exceso. </w:t>
      </w:r>
      <w:r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3A00546"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Novena</w:t>
      </w:r>
      <w:r w:rsidRPr="00F9180D">
        <w:rPr>
          <w:rFonts w:ascii="Arial" w:hAnsi="Arial" w:cs="Arial"/>
          <w:b/>
          <w:sz w:val="20"/>
          <w:szCs w:val="20"/>
        </w:rPr>
        <w:t xml:space="preserve">.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CF712D7"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3D9A95BA"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E6ECF51"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2C1452F5"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Inexistencia de relación laboral. </w:t>
      </w:r>
      <w:r w:rsidRPr="00F9180D">
        <w:rPr>
          <w:rFonts w:ascii="Arial" w:hAnsi="Arial" w:cs="Arial"/>
          <w:bCs/>
          <w:sz w:val="20"/>
          <w:szCs w:val="20"/>
        </w:rPr>
        <w:t xml:space="preserve">Las personas que intervengan en la realización del objeto de este contrato serán </w:t>
      </w:r>
      <w:r>
        <w:rPr>
          <w:rFonts w:ascii="Arial" w:hAnsi="Arial" w:cs="Arial"/>
          <w:bCs/>
          <w:sz w:val="20"/>
          <w:szCs w:val="20"/>
        </w:rPr>
        <w:t>personal</w:t>
      </w:r>
      <w:r w:rsidRPr="00F9180D">
        <w:rPr>
          <w:rFonts w:ascii="Arial" w:hAnsi="Arial" w:cs="Arial"/>
          <w:bCs/>
          <w:sz w:val="20"/>
          <w:szCs w:val="20"/>
        </w:rPr>
        <w:t xml:space="preserve"> del “Prestador de Servicios”, por lo que de ninguna manera existirá relación laboral entre ellos y la “Suprema Corte”.</w:t>
      </w:r>
    </w:p>
    <w:p w14:paraId="22BF56A6"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Pr>
          <w:rFonts w:ascii="Arial" w:hAnsi="Arial" w:cs="Arial"/>
          <w:bCs/>
          <w:sz w:val="20"/>
          <w:szCs w:val="20"/>
        </w:rPr>
        <w:t>el personal</w:t>
      </w:r>
      <w:r w:rsidRPr="00F9180D">
        <w:rPr>
          <w:rFonts w:ascii="Arial" w:hAnsi="Arial" w:cs="Arial"/>
          <w:bCs/>
          <w:sz w:val="20"/>
          <w:szCs w:val="20"/>
        </w:rPr>
        <w:t xml:space="preserve"> del “Prestador de Servicios” presenten en su contra o de la “Suprema Corte”. El gasto que implique el cumplimiento de estas obligaciones correrá a cargo del “Prestador de Servicios”, que será el único responsable de las obligaciones adquiridas con su </w:t>
      </w:r>
      <w:r>
        <w:rPr>
          <w:rFonts w:ascii="Arial" w:hAnsi="Arial" w:cs="Arial"/>
          <w:bCs/>
          <w:sz w:val="20"/>
          <w:szCs w:val="20"/>
        </w:rPr>
        <w:t>personal</w:t>
      </w:r>
      <w:r w:rsidRPr="00F9180D">
        <w:rPr>
          <w:rFonts w:ascii="Arial" w:hAnsi="Arial" w:cs="Arial"/>
          <w:bCs/>
          <w:sz w:val="20"/>
          <w:szCs w:val="20"/>
        </w:rPr>
        <w:t>.</w:t>
      </w:r>
    </w:p>
    <w:p w14:paraId="216BE963"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“Suprema Corte” estará facultada para requerir al “Prestador de Servicios” los comprobantes de afiliación de su </w:t>
      </w:r>
      <w:r>
        <w:rPr>
          <w:rFonts w:ascii="Arial" w:hAnsi="Arial" w:cs="Arial"/>
          <w:bCs/>
          <w:sz w:val="20"/>
          <w:szCs w:val="20"/>
        </w:rPr>
        <w:t>personal</w:t>
      </w:r>
      <w:r w:rsidRPr="00F9180D">
        <w:rPr>
          <w:rFonts w:ascii="Arial" w:hAnsi="Arial" w:cs="Arial"/>
          <w:bCs/>
          <w:sz w:val="20"/>
          <w:szCs w:val="20"/>
        </w:rPr>
        <w:t xml:space="preserve"> al IMSS, así como los comprobantes de pago de las cuotas al SAR, INFONAVIT e IMSS.</w:t>
      </w:r>
    </w:p>
    <w:p w14:paraId="43E52E97"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A393677"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FEB4462"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Primera.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4FAB0C36"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Segunda.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0005EB0"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Tercera.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93D756E"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Cuarta. Del fomento a la transparencia y confidencialidad. </w:t>
      </w:r>
      <w:r w:rsidRPr="00F9180D">
        <w:rPr>
          <w:rFonts w:ascii="Arial" w:hAnsi="Arial" w:cs="Arial"/>
          <w:bCs/>
          <w:sz w:val="20"/>
          <w:szCs w:val="20"/>
        </w:rPr>
        <w:t xml:space="preserve">Las “Partes” reconocen que la información contenida en el presente contrato y, en su caso, los entregables que se generen podrán ser susceptibles de clasificarse </w:t>
      </w:r>
      <w:r w:rsidRPr="00F9180D">
        <w:rPr>
          <w:rFonts w:ascii="Arial" w:hAnsi="Arial" w:cs="Arial"/>
          <w:bCs/>
          <w:sz w:val="20"/>
          <w:szCs w:val="20"/>
        </w:rPr>
        <w:lastRenderedPageBreak/>
        <w:t>como reservados y/o confidenciales, en términos de los artículos 106, 113 y 116, de la Ley General de Transparencia y Acceso a la Información Pública, así como 98, 110 y 113, de la Ley Federal de Transparencia y Acceso a la Información Pública.</w:t>
      </w:r>
    </w:p>
    <w:p w14:paraId="25CEE197"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0CB13586"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055F1D17"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Quinta.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2CEBB2CE"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9374C32"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FB45BE">
        <w:rPr>
          <w:rFonts w:ascii="Arial" w:hAnsi="Arial" w:cs="Arial"/>
          <w:bCs/>
          <w:sz w:val="20"/>
          <w:szCs w:val="20"/>
        </w:rPr>
        <w:t>4) Si el “Prestador de Servicios” no exhibe la garantía</w:t>
      </w:r>
      <w:r>
        <w:rPr>
          <w:rFonts w:ascii="Arial" w:hAnsi="Arial" w:cs="Arial"/>
          <w:bCs/>
          <w:sz w:val="20"/>
          <w:szCs w:val="20"/>
        </w:rPr>
        <w:t xml:space="preserve"> requerida</w:t>
      </w:r>
      <w:r w:rsidRPr="00FB45BE">
        <w:rPr>
          <w:rFonts w:ascii="Arial" w:hAnsi="Arial" w:cs="Arial"/>
          <w:bCs/>
          <w:sz w:val="20"/>
          <w:szCs w:val="20"/>
        </w:rPr>
        <w:t xml:space="preserve"> en los términos y condiciones indicados en este contrato, de conformidad con el artículo 169 del Acuerdo General de Administración XIV/2019.</w:t>
      </w:r>
    </w:p>
    <w:p w14:paraId="0972FF52" w14:textId="77777777" w:rsidR="00485557" w:rsidRPr="00F649D4"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Sexta.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BB9A882"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Séptima.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C825426"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Octava.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6EE3163C"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 Novena</w:t>
      </w:r>
      <w:r w:rsidRPr="00F9180D">
        <w:rPr>
          <w:rFonts w:ascii="Arial" w:hAnsi="Arial" w:cs="Arial"/>
          <w:b/>
          <w:sz w:val="20"/>
          <w:szCs w:val="20"/>
        </w:rPr>
        <w:t xml:space="preserve">.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8D8F33C"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Pr="00786F1D">
        <w:rPr>
          <w:rFonts w:ascii="Arial" w:hAnsi="Arial" w:cs="Arial"/>
          <w:bCs/>
          <w:sz w:val="20"/>
          <w:szCs w:val="20"/>
        </w:rPr>
        <w:t xml:space="preserve">Dirección de Servicios de Mantenimiento de la Subdirección General de Servicios </w:t>
      </w:r>
      <w:r>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55F80CF4" w14:textId="77777777" w:rsidR="00485557" w:rsidRPr="00D71191"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Pr>
          <w:rFonts w:ascii="Arial" w:hAnsi="Arial" w:cs="Arial"/>
          <w:bCs/>
          <w:sz w:val="20"/>
          <w:szCs w:val="20"/>
        </w:rPr>
        <w:t xml:space="preserve">l </w:t>
      </w:r>
      <w:r w:rsidRPr="00D71191">
        <w:rPr>
          <w:rFonts w:ascii="Arial" w:hAnsi="Arial" w:cs="Arial"/>
          <w:bCs/>
          <w:sz w:val="20"/>
          <w:szCs w:val="20"/>
        </w:rPr>
        <w:t>Administrador del contrato, lo que informará por escrito al “Prestador de Servicios”.</w:t>
      </w:r>
    </w:p>
    <w:p w14:paraId="2815C369" w14:textId="77777777" w:rsidR="00485557"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Primera. </w:t>
      </w:r>
      <w:r>
        <w:rPr>
          <w:rFonts w:ascii="Arial" w:hAnsi="Arial" w:cs="Arial"/>
          <w:b/>
          <w:sz w:val="20"/>
          <w:szCs w:val="20"/>
        </w:rPr>
        <w:t xml:space="preserve">Garantía del servicio. </w:t>
      </w:r>
      <w:r w:rsidRPr="00786F1D">
        <w:rPr>
          <w:rFonts w:ascii="Arial" w:hAnsi="Arial" w:cs="Arial"/>
          <w:bCs/>
          <w:sz w:val="20"/>
          <w:szCs w:val="20"/>
        </w:rPr>
        <w:t xml:space="preserve">El “Prestador de Servicios” deberá presentar garantía del servicio </w:t>
      </w:r>
      <w:r w:rsidRPr="00C53C3D">
        <w:rPr>
          <w:rFonts w:ascii="Arial" w:hAnsi="Arial" w:cs="Arial"/>
          <w:bCs/>
          <w:sz w:val="20"/>
          <w:szCs w:val="20"/>
        </w:rPr>
        <w:t>durante la vigencia del contrato para atención de llamadas de emergencia las veinticuatro horas, los 365 días del año, con una capacidad de respuesta no mayor a una hora.</w:t>
      </w:r>
    </w:p>
    <w:p w14:paraId="65F653A8"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Vigésima Segunda. Resolución de controversias. </w:t>
      </w:r>
      <w:r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5F43CEF"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75D25BB0" w14:textId="77777777" w:rsidR="00485557" w:rsidRPr="00F9180D" w:rsidRDefault="00485557" w:rsidP="004855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Tercera.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0B586DB" w14:textId="77777777" w:rsidR="00485557" w:rsidRPr="00F9180D" w:rsidRDefault="00485557" w:rsidP="005551DE">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22289B88" w14:textId="77777777" w:rsidR="005551DE" w:rsidRDefault="005551DE"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46951F91" w14:textId="22CCB42B" w:rsidR="00D20237" w:rsidRPr="00F9180D" w:rsidRDefault="00D20237"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61E8E60D"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09C14C" w14:textId="77777777" w:rsidTr="007D0D95">
        <w:trPr>
          <w:trHeight w:val="494"/>
          <w:jc w:val="center"/>
        </w:trPr>
        <w:tc>
          <w:tcPr>
            <w:tcW w:w="4531" w:type="dxa"/>
          </w:tcPr>
          <w:p w14:paraId="3ECE728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110CEE9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82A54F3"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65EA87C5" w14:textId="77777777" w:rsidR="008368CC" w:rsidRPr="00F9180D" w:rsidRDefault="008368CC" w:rsidP="000A1F8A">
      <w:pPr>
        <w:tabs>
          <w:tab w:val="left" w:pos="426"/>
          <w:tab w:val="left" w:pos="1276"/>
        </w:tabs>
        <w:spacing w:after="0" w:line="240" w:lineRule="auto"/>
        <w:ind w:right="-410"/>
        <w:rPr>
          <w:rFonts w:ascii="Arial" w:eastAsia="Times New Roman" w:hAnsi="Arial" w:cs="Arial"/>
          <w:b/>
          <w:snapToGrid w:val="0"/>
          <w:sz w:val="20"/>
          <w:szCs w:val="20"/>
          <w:lang w:val="es-ES_tradnl" w:eastAsia="es-ES"/>
        </w:rPr>
      </w:pPr>
    </w:p>
    <w:sectPr w:rsidR="008368CC" w:rsidRPr="00F9180D"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868A8" w14:textId="77777777" w:rsidR="005502BC" w:rsidRDefault="005502BC" w:rsidP="00752047">
      <w:pPr>
        <w:spacing w:after="0" w:line="240" w:lineRule="auto"/>
      </w:pPr>
      <w:r>
        <w:separator/>
      </w:r>
    </w:p>
  </w:endnote>
  <w:endnote w:type="continuationSeparator" w:id="0">
    <w:p w14:paraId="5E338A13" w14:textId="77777777" w:rsidR="005502BC" w:rsidRDefault="005502BC" w:rsidP="00752047">
      <w:pPr>
        <w:spacing w:after="0" w:line="240" w:lineRule="auto"/>
      </w:pPr>
      <w:r>
        <w:continuationSeparator/>
      </w:r>
    </w:p>
  </w:endnote>
  <w:endnote w:type="continuationNotice" w:id="1">
    <w:p w14:paraId="4239F9CD" w14:textId="77777777" w:rsidR="005502BC" w:rsidRDefault="005502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6B0CD753"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10EF9">
      <w:rPr>
        <w:rFonts w:ascii="Arial" w:hAnsi="Arial" w:cs="Arial"/>
        <w:sz w:val="10"/>
        <w:szCs w:val="10"/>
        <w:lang w:val="en-US"/>
      </w:rPr>
      <w:t>2</w:t>
    </w:r>
    <w:r w:rsidR="00E33BAE">
      <w:rPr>
        <w:rFonts w:ascii="Arial" w:hAnsi="Arial" w:cs="Arial"/>
        <w:sz w:val="10"/>
        <w:szCs w:val="10"/>
        <w:lang w:val="en-US"/>
      </w:rPr>
      <w:t>8</w:t>
    </w:r>
    <w:r w:rsidRPr="00055E87">
      <w:rPr>
        <w:rFonts w:ascii="Arial" w:hAnsi="Arial" w:cs="Arial"/>
        <w:sz w:val="10"/>
        <w:szCs w:val="10"/>
        <w:lang w:val="en-US"/>
      </w:rPr>
      <w:t xml:space="preserve">/2023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DBD84" w14:textId="77777777" w:rsidR="005502BC" w:rsidRDefault="005502BC" w:rsidP="00752047">
      <w:pPr>
        <w:spacing w:after="0" w:line="240" w:lineRule="auto"/>
      </w:pPr>
      <w:r>
        <w:separator/>
      </w:r>
    </w:p>
  </w:footnote>
  <w:footnote w:type="continuationSeparator" w:id="0">
    <w:p w14:paraId="4428D3DA" w14:textId="77777777" w:rsidR="005502BC" w:rsidRDefault="005502BC" w:rsidP="00752047">
      <w:pPr>
        <w:spacing w:after="0" w:line="240" w:lineRule="auto"/>
      </w:pPr>
      <w:r>
        <w:continuationSeparator/>
      </w:r>
    </w:p>
  </w:footnote>
  <w:footnote w:type="continuationNotice" w:id="1">
    <w:p w14:paraId="4FE275AF" w14:textId="77777777" w:rsidR="005502BC" w:rsidRDefault="005502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C7CE" w14:textId="77777777" w:rsidR="00CF4D79" w:rsidRPr="00F041F5" w:rsidRDefault="00CF4D79" w:rsidP="00CF4D79">
    <w:pPr>
      <w:pStyle w:val="Encabezado"/>
      <w:jc w:val="center"/>
      <w:rPr>
        <w:rFonts w:ascii="Arial Unicode MS" w:eastAsia="Arial Unicode MS" w:hAnsi="Arial Unicode MS" w:cs="Arial Unicode MS"/>
        <w:b/>
        <w:color w:val="7F7F7F" w:themeColor="text1" w:themeTint="80"/>
        <w:sz w:val="20"/>
        <w:szCs w:val="20"/>
        <w:lang w:val="es-ES"/>
      </w:rPr>
    </w:pPr>
    <w:r w:rsidRPr="00F041F5">
      <w:rPr>
        <w:rFonts w:ascii="Arial Unicode MS" w:eastAsia="Arial Unicode MS" w:hAnsi="Arial Unicode MS" w:cs="Arial Unicode MS"/>
        <w:b/>
        <w:color w:val="7F7F7F" w:themeColor="text1" w:themeTint="80"/>
        <w:sz w:val="20"/>
        <w:szCs w:val="20"/>
        <w:lang w:val="es-ES"/>
      </w:rPr>
      <w:t>CONCURSO PÚBLICO SUMARIO NÚMERO SCJN/CPS/DGIF-DACCI/028/2023</w:t>
    </w:r>
  </w:p>
  <w:p w14:paraId="7FE8095E" w14:textId="77777777" w:rsidR="00CF4D79" w:rsidRPr="00F041F5" w:rsidRDefault="00CF4D79" w:rsidP="00CF4D79">
    <w:pPr>
      <w:pStyle w:val="Encabezado"/>
      <w:jc w:val="center"/>
      <w:rPr>
        <w:rFonts w:ascii="Arial Unicode MS" w:eastAsia="Arial Unicode MS" w:hAnsi="Arial Unicode MS" w:cs="Arial Unicode MS"/>
        <w:b/>
        <w:color w:val="7F7F7F" w:themeColor="text1" w:themeTint="80"/>
        <w:sz w:val="20"/>
        <w:szCs w:val="20"/>
        <w:lang w:val="es-ES"/>
      </w:rPr>
    </w:pPr>
    <w:r w:rsidRPr="00F041F5">
      <w:rPr>
        <w:rFonts w:ascii="Arial Unicode MS" w:eastAsia="Arial Unicode MS" w:hAnsi="Arial Unicode MS" w:cs="Arial Unicode MS"/>
        <w:b/>
        <w:color w:val="7F7F7F" w:themeColor="text1" w:themeTint="80"/>
        <w:sz w:val="20"/>
        <w:szCs w:val="20"/>
        <w:lang w:val="es-ES"/>
      </w:rPr>
      <w:t xml:space="preserve">“PÓLIZA DE MANTENIMIENTO ANUAL PREVENTIVO A PLANTAS DE </w:t>
    </w:r>
  </w:p>
  <w:p w14:paraId="03BC4BB2" w14:textId="77777777" w:rsidR="00CF4D79" w:rsidRPr="00F041F5" w:rsidRDefault="00CF4D79" w:rsidP="00CF4D79">
    <w:pPr>
      <w:pStyle w:val="Encabezado"/>
      <w:jc w:val="center"/>
      <w:rPr>
        <w:rFonts w:ascii="Arial Unicode MS" w:eastAsia="Arial Unicode MS" w:hAnsi="Arial Unicode MS" w:cs="Arial Unicode MS"/>
        <w:b/>
        <w:color w:val="7F7F7F" w:themeColor="text1" w:themeTint="80"/>
        <w:sz w:val="20"/>
        <w:szCs w:val="20"/>
        <w:lang w:val="es-ES"/>
      </w:rPr>
    </w:pPr>
    <w:r w:rsidRPr="00F041F5">
      <w:rPr>
        <w:rFonts w:ascii="Arial Unicode MS" w:eastAsia="Arial Unicode MS" w:hAnsi="Arial Unicode MS" w:cs="Arial Unicode MS"/>
        <w:b/>
        <w:color w:val="7F7F7F" w:themeColor="text1" w:themeTint="80"/>
        <w:sz w:val="20"/>
        <w:szCs w:val="20"/>
        <w:lang w:val="es-ES"/>
      </w:rPr>
      <w:t xml:space="preserve">EMERGENCIA UBICADAS EN LOS DIFERENTES EDIFICIOS DE LA </w:t>
    </w:r>
  </w:p>
  <w:p w14:paraId="69B0988B" w14:textId="628AF0E2" w:rsidR="00CF4D79" w:rsidRDefault="00CF4D79" w:rsidP="00CF4D79">
    <w:pPr>
      <w:pStyle w:val="Encabezado"/>
      <w:jc w:val="center"/>
      <w:rPr>
        <w:rFonts w:ascii="Arial Unicode MS" w:eastAsia="Arial Unicode MS" w:hAnsi="Arial Unicode MS" w:cs="Arial Unicode MS"/>
        <w:b/>
        <w:color w:val="7F7F7F" w:themeColor="text1" w:themeTint="80"/>
        <w:sz w:val="20"/>
        <w:szCs w:val="20"/>
        <w:lang w:val="es-ES"/>
      </w:rPr>
    </w:pPr>
    <w:r w:rsidRPr="00F041F5">
      <w:rPr>
        <w:rFonts w:ascii="Arial Unicode MS" w:eastAsia="Arial Unicode MS" w:hAnsi="Arial Unicode MS" w:cs="Arial Unicode MS"/>
        <w:b/>
        <w:color w:val="7F7F7F" w:themeColor="text1" w:themeTint="80"/>
        <w:sz w:val="20"/>
        <w:szCs w:val="20"/>
        <w:lang w:val="es-ES"/>
      </w:rPr>
      <w:t>SUPREMA CORTE DE JUSTICIA DE LA NACIÓN”</w:t>
    </w:r>
  </w:p>
  <w:p w14:paraId="40A54070" w14:textId="52CDBF51" w:rsidR="00FB52D1" w:rsidRPr="00CB67F8" w:rsidRDefault="00FB52D1" w:rsidP="00CB67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29"/>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72ADF"/>
    <w:rsid w:val="000740B4"/>
    <w:rsid w:val="00075B51"/>
    <w:rsid w:val="00076AE4"/>
    <w:rsid w:val="00077279"/>
    <w:rsid w:val="000808A4"/>
    <w:rsid w:val="00080D5D"/>
    <w:rsid w:val="00080EF5"/>
    <w:rsid w:val="000854E1"/>
    <w:rsid w:val="00090423"/>
    <w:rsid w:val="00094495"/>
    <w:rsid w:val="0009685B"/>
    <w:rsid w:val="000A0232"/>
    <w:rsid w:val="000A1F8A"/>
    <w:rsid w:val="000A6300"/>
    <w:rsid w:val="000B3000"/>
    <w:rsid w:val="000B6F59"/>
    <w:rsid w:val="000C345C"/>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374B6"/>
    <w:rsid w:val="00151DD8"/>
    <w:rsid w:val="00154621"/>
    <w:rsid w:val="0015529A"/>
    <w:rsid w:val="00161F32"/>
    <w:rsid w:val="001649AB"/>
    <w:rsid w:val="0016675F"/>
    <w:rsid w:val="00171C2A"/>
    <w:rsid w:val="00175CE7"/>
    <w:rsid w:val="001803DA"/>
    <w:rsid w:val="001864CF"/>
    <w:rsid w:val="00193F07"/>
    <w:rsid w:val="001A6150"/>
    <w:rsid w:val="001B0099"/>
    <w:rsid w:val="001B20C8"/>
    <w:rsid w:val="001B5939"/>
    <w:rsid w:val="001C13F0"/>
    <w:rsid w:val="001C210D"/>
    <w:rsid w:val="001C236B"/>
    <w:rsid w:val="001C3E81"/>
    <w:rsid w:val="001C4488"/>
    <w:rsid w:val="001D4493"/>
    <w:rsid w:val="001E283D"/>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867"/>
    <w:rsid w:val="00294C0D"/>
    <w:rsid w:val="00295CCC"/>
    <w:rsid w:val="00296AE9"/>
    <w:rsid w:val="002A159A"/>
    <w:rsid w:val="002A2345"/>
    <w:rsid w:val="002A5092"/>
    <w:rsid w:val="002B1B71"/>
    <w:rsid w:val="002B2083"/>
    <w:rsid w:val="002B3172"/>
    <w:rsid w:val="002B6735"/>
    <w:rsid w:val="002B6C75"/>
    <w:rsid w:val="002C219B"/>
    <w:rsid w:val="002C45AE"/>
    <w:rsid w:val="002C4A6F"/>
    <w:rsid w:val="002C7ED0"/>
    <w:rsid w:val="002D006F"/>
    <w:rsid w:val="002D30BF"/>
    <w:rsid w:val="002D3CC3"/>
    <w:rsid w:val="002D5FF0"/>
    <w:rsid w:val="002D65DA"/>
    <w:rsid w:val="002E0854"/>
    <w:rsid w:val="002E47D8"/>
    <w:rsid w:val="002E4BE2"/>
    <w:rsid w:val="002F121F"/>
    <w:rsid w:val="002F15F1"/>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A0902"/>
    <w:rsid w:val="003B2CE4"/>
    <w:rsid w:val="003B4A6F"/>
    <w:rsid w:val="003B6C6D"/>
    <w:rsid w:val="003C2FFA"/>
    <w:rsid w:val="003D2A4B"/>
    <w:rsid w:val="003D7D8E"/>
    <w:rsid w:val="003E2316"/>
    <w:rsid w:val="003E62A3"/>
    <w:rsid w:val="003F3BC5"/>
    <w:rsid w:val="003F4773"/>
    <w:rsid w:val="003F78F7"/>
    <w:rsid w:val="004006C6"/>
    <w:rsid w:val="0041014A"/>
    <w:rsid w:val="00425445"/>
    <w:rsid w:val="00427C63"/>
    <w:rsid w:val="0043515E"/>
    <w:rsid w:val="00440DE9"/>
    <w:rsid w:val="00441623"/>
    <w:rsid w:val="004423DD"/>
    <w:rsid w:val="00444E48"/>
    <w:rsid w:val="004466C1"/>
    <w:rsid w:val="004477FE"/>
    <w:rsid w:val="00455DE8"/>
    <w:rsid w:val="00464601"/>
    <w:rsid w:val="004729EB"/>
    <w:rsid w:val="00473CB2"/>
    <w:rsid w:val="00480277"/>
    <w:rsid w:val="00480BD0"/>
    <w:rsid w:val="00482838"/>
    <w:rsid w:val="00485557"/>
    <w:rsid w:val="00491F3B"/>
    <w:rsid w:val="00495C8D"/>
    <w:rsid w:val="004A185D"/>
    <w:rsid w:val="004A6000"/>
    <w:rsid w:val="004A660F"/>
    <w:rsid w:val="004B37EC"/>
    <w:rsid w:val="004B7A4D"/>
    <w:rsid w:val="004C350B"/>
    <w:rsid w:val="004C37A7"/>
    <w:rsid w:val="004D131C"/>
    <w:rsid w:val="004D18FC"/>
    <w:rsid w:val="004D3B3E"/>
    <w:rsid w:val="004D5C0B"/>
    <w:rsid w:val="004E4901"/>
    <w:rsid w:val="004F178B"/>
    <w:rsid w:val="004F29AA"/>
    <w:rsid w:val="00513909"/>
    <w:rsid w:val="00513951"/>
    <w:rsid w:val="00513A46"/>
    <w:rsid w:val="00516CDB"/>
    <w:rsid w:val="00523DEF"/>
    <w:rsid w:val="00525E78"/>
    <w:rsid w:val="00547BAE"/>
    <w:rsid w:val="005502BC"/>
    <w:rsid w:val="005551DE"/>
    <w:rsid w:val="00573593"/>
    <w:rsid w:val="00574AAC"/>
    <w:rsid w:val="00575124"/>
    <w:rsid w:val="005764F5"/>
    <w:rsid w:val="00576D47"/>
    <w:rsid w:val="00580247"/>
    <w:rsid w:val="0058154D"/>
    <w:rsid w:val="00587C82"/>
    <w:rsid w:val="00587F19"/>
    <w:rsid w:val="005B0938"/>
    <w:rsid w:val="005B0BBB"/>
    <w:rsid w:val="005B206D"/>
    <w:rsid w:val="005B2125"/>
    <w:rsid w:val="005C0758"/>
    <w:rsid w:val="005C16B7"/>
    <w:rsid w:val="005C391A"/>
    <w:rsid w:val="005D4A2B"/>
    <w:rsid w:val="005D7C78"/>
    <w:rsid w:val="005E0208"/>
    <w:rsid w:val="005E0FD7"/>
    <w:rsid w:val="005E432B"/>
    <w:rsid w:val="005E6619"/>
    <w:rsid w:val="005F4664"/>
    <w:rsid w:val="005F476B"/>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C6056"/>
    <w:rsid w:val="006E019B"/>
    <w:rsid w:val="006E263C"/>
    <w:rsid w:val="006F2A57"/>
    <w:rsid w:val="006F4DDC"/>
    <w:rsid w:val="00700689"/>
    <w:rsid w:val="00702764"/>
    <w:rsid w:val="0070369A"/>
    <w:rsid w:val="0071134E"/>
    <w:rsid w:val="0071490E"/>
    <w:rsid w:val="00723913"/>
    <w:rsid w:val="007335CF"/>
    <w:rsid w:val="0073470B"/>
    <w:rsid w:val="00735F7B"/>
    <w:rsid w:val="00740113"/>
    <w:rsid w:val="00740270"/>
    <w:rsid w:val="00740C4A"/>
    <w:rsid w:val="00741017"/>
    <w:rsid w:val="007439CE"/>
    <w:rsid w:val="00747B49"/>
    <w:rsid w:val="00752047"/>
    <w:rsid w:val="00761239"/>
    <w:rsid w:val="0076203A"/>
    <w:rsid w:val="007640D8"/>
    <w:rsid w:val="00773589"/>
    <w:rsid w:val="00781C3C"/>
    <w:rsid w:val="00783005"/>
    <w:rsid w:val="00783419"/>
    <w:rsid w:val="00783439"/>
    <w:rsid w:val="00784005"/>
    <w:rsid w:val="00786F1D"/>
    <w:rsid w:val="00790CDF"/>
    <w:rsid w:val="00791C54"/>
    <w:rsid w:val="00792E0C"/>
    <w:rsid w:val="00793BAC"/>
    <w:rsid w:val="007A42D8"/>
    <w:rsid w:val="007A69BF"/>
    <w:rsid w:val="007C2B92"/>
    <w:rsid w:val="007C5201"/>
    <w:rsid w:val="007C7D49"/>
    <w:rsid w:val="007D0F60"/>
    <w:rsid w:val="007D2BC9"/>
    <w:rsid w:val="007D6483"/>
    <w:rsid w:val="007E5979"/>
    <w:rsid w:val="007E5D2B"/>
    <w:rsid w:val="007F2A37"/>
    <w:rsid w:val="007F4CA9"/>
    <w:rsid w:val="00800F36"/>
    <w:rsid w:val="00801EFF"/>
    <w:rsid w:val="00804ACE"/>
    <w:rsid w:val="00806F4B"/>
    <w:rsid w:val="00817387"/>
    <w:rsid w:val="00822B65"/>
    <w:rsid w:val="0082378D"/>
    <w:rsid w:val="00823BCE"/>
    <w:rsid w:val="008314BF"/>
    <w:rsid w:val="00833C3C"/>
    <w:rsid w:val="00835FC9"/>
    <w:rsid w:val="008368CC"/>
    <w:rsid w:val="0084076E"/>
    <w:rsid w:val="00842584"/>
    <w:rsid w:val="0084323C"/>
    <w:rsid w:val="00851D75"/>
    <w:rsid w:val="00857A49"/>
    <w:rsid w:val="008706C1"/>
    <w:rsid w:val="00872344"/>
    <w:rsid w:val="008779F0"/>
    <w:rsid w:val="008828E5"/>
    <w:rsid w:val="0088368C"/>
    <w:rsid w:val="00883C97"/>
    <w:rsid w:val="00885D04"/>
    <w:rsid w:val="008909C0"/>
    <w:rsid w:val="008911E2"/>
    <w:rsid w:val="008957CE"/>
    <w:rsid w:val="008968D0"/>
    <w:rsid w:val="008B140E"/>
    <w:rsid w:val="008B3E81"/>
    <w:rsid w:val="008C2AA3"/>
    <w:rsid w:val="008C5201"/>
    <w:rsid w:val="008D0BCA"/>
    <w:rsid w:val="008D60A8"/>
    <w:rsid w:val="008E3837"/>
    <w:rsid w:val="008E3D81"/>
    <w:rsid w:val="008E50F8"/>
    <w:rsid w:val="008E69D0"/>
    <w:rsid w:val="008F5916"/>
    <w:rsid w:val="00900D10"/>
    <w:rsid w:val="009021BF"/>
    <w:rsid w:val="0090303E"/>
    <w:rsid w:val="009063CC"/>
    <w:rsid w:val="0090763D"/>
    <w:rsid w:val="00920D68"/>
    <w:rsid w:val="0092218E"/>
    <w:rsid w:val="00922CE0"/>
    <w:rsid w:val="00923BDF"/>
    <w:rsid w:val="00927FD0"/>
    <w:rsid w:val="00944009"/>
    <w:rsid w:val="009503B1"/>
    <w:rsid w:val="00952F0B"/>
    <w:rsid w:val="00956614"/>
    <w:rsid w:val="00957A3B"/>
    <w:rsid w:val="00965BB7"/>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30E4"/>
    <w:rsid w:val="009C4AD6"/>
    <w:rsid w:val="009D31D8"/>
    <w:rsid w:val="009D56C0"/>
    <w:rsid w:val="009D79F2"/>
    <w:rsid w:val="009D7C1C"/>
    <w:rsid w:val="009E040B"/>
    <w:rsid w:val="009E765E"/>
    <w:rsid w:val="009F6DB8"/>
    <w:rsid w:val="00A02EDC"/>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76807"/>
    <w:rsid w:val="00A80DE2"/>
    <w:rsid w:val="00A90D16"/>
    <w:rsid w:val="00A96535"/>
    <w:rsid w:val="00AA1567"/>
    <w:rsid w:val="00AA6C21"/>
    <w:rsid w:val="00AB695A"/>
    <w:rsid w:val="00AC3AD8"/>
    <w:rsid w:val="00AE1AC4"/>
    <w:rsid w:val="00AE4BC5"/>
    <w:rsid w:val="00AE61C1"/>
    <w:rsid w:val="00AE76FF"/>
    <w:rsid w:val="00AF1573"/>
    <w:rsid w:val="00AF5586"/>
    <w:rsid w:val="00B10EF9"/>
    <w:rsid w:val="00B112A3"/>
    <w:rsid w:val="00B177AC"/>
    <w:rsid w:val="00B20923"/>
    <w:rsid w:val="00B227FE"/>
    <w:rsid w:val="00B25219"/>
    <w:rsid w:val="00B31538"/>
    <w:rsid w:val="00B322A4"/>
    <w:rsid w:val="00B37E6A"/>
    <w:rsid w:val="00B40D70"/>
    <w:rsid w:val="00B45F2C"/>
    <w:rsid w:val="00B520FC"/>
    <w:rsid w:val="00B544AF"/>
    <w:rsid w:val="00B70828"/>
    <w:rsid w:val="00B73C9A"/>
    <w:rsid w:val="00B765A2"/>
    <w:rsid w:val="00B82B0A"/>
    <w:rsid w:val="00B86D37"/>
    <w:rsid w:val="00B870A6"/>
    <w:rsid w:val="00B9271A"/>
    <w:rsid w:val="00B9446F"/>
    <w:rsid w:val="00BA2833"/>
    <w:rsid w:val="00BA3CE1"/>
    <w:rsid w:val="00BA5CD8"/>
    <w:rsid w:val="00BB3D5C"/>
    <w:rsid w:val="00BB4F67"/>
    <w:rsid w:val="00BB7CED"/>
    <w:rsid w:val="00BC195B"/>
    <w:rsid w:val="00BD0B50"/>
    <w:rsid w:val="00BD3A09"/>
    <w:rsid w:val="00BD7455"/>
    <w:rsid w:val="00BE06DA"/>
    <w:rsid w:val="00BE765E"/>
    <w:rsid w:val="00BF532B"/>
    <w:rsid w:val="00BF6B01"/>
    <w:rsid w:val="00C0178C"/>
    <w:rsid w:val="00C05A4B"/>
    <w:rsid w:val="00C0649F"/>
    <w:rsid w:val="00C07E8A"/>
    <w:rsid w:val="00C11BEA"/>
    <w:rsid w:val="00C11DAA"/>
    <w:rsid w:val="00C1522D"/>
    <w:rsid w:val="00C2301A"/>
    <w:rsid w:val="00C31462"/>
    <w:rsid w:val="00C361A8"/>
    <w:rsid w:val="00C4104D"/>
    <w:rsid w:val="00C41E49"/>
    <w:rsid w:val="00C43071"/>
    <w:rsid w:val="00C43149"/>
    <w:rsid w:val="00C47798"/>
    <w:rsid w:val="00C5294B"/>
    <w:rsid w:val="00C53C3D"/>
    <w:rsid w:val="00C55113"/>
    <w:rsid w:val="00C55868"/>
    <w:rsid w:val="00C63562"/>
    <w:rsid w:val="00C64FE3"/>
    <w:rsid w:val="00C67808"/>
    <w:rsid w:val="00C70504"/>
    <w:rsid w:val="00C81346"/>
    <w:rsid w:val="00C817EC"/>
    <w:rsid w:val="00C84DE3"/>
    <w:rsid w:val="00C914E2"/>
    <w:rsid w:val="00C91573"/>
    <w:rsid w:val="00CA0B86"/>
    <w:rsid w:val="00CB593B"/>
    <w:rsid w:val="00CB67F8"/>
    <w:rsid w:val="00CB6AEE"/>
    <w:rsid w:val="00CC17EF"/>
    <w:rsid w:val="00CC2A7B"/>
    <w:rsid w:val="00CD11C2"/>
    <w:rsid w:val="00CD45AD"/>
    <w:rsid w:val="00CD553B"/>
    <w:rsid w:val="00CE2600"/>
    <w:rsid w:val="00CE31C6"/>
    <w:rsid w:val="00CE4C8B"/>
    <w:rsid w:val="00CE6ACF"/>
    <w:rsid w:val="00CF0D7E"/>
    <w:rsid w:val="00CF4D79"/>
    <w:rsid w:val="00D01821"/>
    <w:rsid w:val="00D02590"/>
    <w:rsid w:val="00D03D5A"/>
    <w:rsid w:val="00D05107"/>
    <w:rsid w:val="00D071F8"/>
    <w:rsid w:val="00D141ED"/>
    <w:rsid w:val="00D20237"/>
    <w:rsid w:val="00D20B20"/>
    <w:rsid w:val="00D23111"/>
    <w:rsid w:val="00D23311"/>
    <w:rsid w:val="00D314BB"/>
    <w:rsid w:val="00D325F5"/>
    <w:rsid w:val="00D33617"/>
    <w:rsid w:val="00D3591A"/>
    <w:rsid w:val="00D365FC"/>
    <w:rsid w:val="00D36E25"/>
    <w:rsid w:val="00D40DD7"/>
    <w:rsid w:val="00D46A61"/>
    <w:rsid w:val="00D46EC0"/>
    <w:rsid w:val="00D538FD"/>
    <w:rsid w:val="00D71191"/>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3BAE"/>
    <w:rsid w:val="00E37E57"/>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0C51"/>
    <w:rsid w:val="00EC71AF"/>
    <w:rsid w:val="00ED77BC"/>
    <w:rsid w:val="00EE3ACE"/>
    <w:rsid w:val="00EE78CE"/>
    <w:rsid w:val="00EF3C10"/>
    <w:rsid w:val="00F026C3"/>
    <w:rsid w:val="00F030F0"/>
    <w:rsid w:val="00F03D30"/>
    <w:rsid w:val="00F05FBD"/>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80A83"/>
    <w:rsid w:val="00F827BD"/>
    <w:rsid w:val="00F9180D"/>
    <w:rsid w:val="00F955B1"/>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styleId="Hipervnculo">
    <w:name w:val="Hyperlink"/>
    <w:basedOn w:val="Fuentedeprrafopredeter"/>
    <w:uiPriority w:val="99"/>
    <w:unhideWhenUsed/>
    <w:rsid w:val="00B112A3"/>
    <w:rPr>
      <w:color w:val="0000FF" w:themeColor="hyperlink"/>
      <w:u w:val="single"/>
    </w:rPr>
  </w:style>
  <w:style w:type="character" w:styleId="Mencinsinresolver">
    <w:name w:val="Unresolved Mention"/>
    <w:basedOn w:val="Fuentedeprrafopredeter"/>
    <w:uiPriority w:val="99"/>
    <w:semiHidden/>
    <w:unhideWhenUsed/>
    <w:rsid w:val="00B112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7472</Words>
  <Characters>41101</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2023-11-17T17:15:00Z</dcterms:created>
  <dcterms:modified xsi:type="dcterms:W3CDTF">2023-11-17T17:15:00Z</dcterms:modified>
</cp:coreProperties>
</file>