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387F92F7"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6A05CF">
        <w:rPr>
          <w:rFonts w:ascii="Arial" w:hAnsi="Arial" w:cs="Arial"/>
          <w:sz w:val="20"/>
          <w:szCs w:val="20"/>
        </w:rPr>
        <w:t>8</w:t>
      </w:r>
    </w:p>
    <w:p w14:paraId="0C07AB6B" w14:textId="76FF6E02"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34AF76E8"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sidR="00485E39">
        <w:rPr>
          <w:rFonts w:ascii="Arial" w:hAnsi="Arial" w:cs="Arial"/>
          <w:sz w:val="20"/>
          <w:szCs w:val="20"/>
        </w:rPr>
        <w:t>% (veinte</w:t>
      </w:r>
      <w:r>
        <w:rPr>
          <w:rFonts w:ascii="Arial" w:hAnsi="Arial" w:cs="Arial"/>
          <w:sz w:val="20"/>
          <w:szCs w:val="20"/>
        </w:rPr>
        <w:t xml:space="preserve"> por ciento</w:t>
      </w:r>
      <w:r w:rsidR="00485E39">
        <w:rPr>
          <w:rFonts w:ascii="Arial" w:hAnsi="Arial" w:cs="Arial"/>
          <w:sz w:val="20"/>
          <w:szCs w:val="20"/>
        </w:rPr>
        <w:t>)</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00EB3697">
        <w:rPr>
          <w:rFonts w:ascii="Arial" w:hAnsi="Arial" w:cs="Arial"/>
          <w:sz w:val="20"/>
          <w:szCs w:val="20"/>
        </w:rPr>
        <w:t>_________</w:t>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060911DA" w14:textId="0D6029F5" w:rsidR="005A537D" w:rsidRPr="005A537D" w:rsidRDefault="00713BF2" w:rsidP="005A537D">
      <w:pPr>
        <w:pStyle w:val="Prrafodelista"/>
        <w:numPr>
          <w:ilvl w:val="0"/>
          <w:numId w:val="2"/>
        </w:numPr>
        <w:tabs>
          <w:tab w:val="left" w:pos="407"/>
          <w:tab w:val="left" w:pos="2127"/>
          <w:tab w:val="left" w:pos="2651"/>
          <w:tab w:val="left" w:pos="5706"/>
          <w:tab w:val="left" w:pos="5831"/>
        </w:tabs>
        <w:spacing w:before="2"/>
        <w:ind w:right="118" w:firstLine="0"/>
        <w:rPr>
          <w:rFonts w:ascii="Arial" w:eastAsia="Times New Roman" w:hAnsi="Arial" w:cs="Times New Roman"/>
          <w:b/>
          <w:bCs/>
          <w:sz w:val="20"/>
          <w:szCs w:val="20"/>
          <w:lang w:val="pt-PT" w:eastAsia="es-ES"/>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w:t>
      </w:r>
      <w:r w:rsidR="00017743">
        <w:rPr>
          <w:rFonts w:ascii="Arial" w:hAnsi="Arial" w:cs="Arial"/>
          <w:sz w:val="20"/>
          <w:szCs w:val="20"/>
        </w:rPr>
        <w:t>e en l</w:t>
      </w:r>
      <w:r w:rsidR="005F605C">
        <w:rPr>
          <w:rFonts w:ascii="Arial" w:hAnsi="Arial" w:cs="Arial"/>
          <w:sz w:val="20"/>
          <w:szCs w:val="20"/>
        </w:rPr>
        <w:t>a</w:t>
      </w:r>
      <w:r w:rsidR="002A6C64" w:rsidRPr="009F17C3">
        <w:rPr>
          <w:rFonts w:ascii="Arial" w:eastAsia="Times New Roman" w:hAnsi="Arial" w:cs="Times New Roman"/>
          <w:sz w:val="20"/>
          <w:szCs w:val="20"/>
          <w:lang w:val="es-ES" w:eastAsia="es-ES"/>
        </w:rPr>
        <w:t xml:space="preserve"> </w:t>
      </w:r>
      <w:r w:rsidR="005A537D" w:rsidRPr="005A537D">
        <w:rPr>
          <w:rFonts w:ascii="Arial" w:eastAsia="Times New Roman" w:hAnsi="Arial" w:cs="Times New Roman"/>
          <w:b/>
          <w:bCs/>
          <w:sz w:val="20"/>
          <w:szCs w:val="20"/>
          <w:lang w:val="pt-PT" w:eastAsia="es-ES"/>
        </w:rPr>
        <w:t>“</w:t>
      </w:r>
      <w:r w:rsidR="005F605C" w:rsidRPr="005F605C">
        <w:rPr>
          <w:rFonts w:ascii="Arial" w:eastAsia="Times New Roman" w:hAnsi="Arial" w:cs="Times New Roman"/>
          <w:b/>
          <w:bCs/>
          <w:sz w:val="20"/>
          <w:szCs w:val="20"/>
          <w:lang w:eastAsia="es-ES"/>
        </w:rPr>
        <w:t>Adecuación y ampliación del área de guarda de insumos y mobiliario para el comedor de ministros</w:t>
      </w:r>
      <w:r w:rsidR="005A537D" w:rsidRPr="005A537D">
        <w:rPr>
          <w:rFonts w:ascii="Arial" w:eastAsia="Times New Roman" w:hAnsi="Arial" w:cs="Times New Roman"/>
          <w:b/>
          <w:bCs/>
          <w:sz w:val="20"/>
          <w:szCs w:val="20"/>
          <w:lang w:val="pt-PT" w:eastAsia="es-ES"/>
        </w:rPr>
        <w:t>”</w:t>
      </w:r>
    </w:p>
    <w:p w14:paraId="5D1A22CC" w14:textId="24FE89E0"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w:t>
      </w:r>
      <w:r w:rsidRPr="009D7760">
        <w:rPr>
          <w:rFonts w:ascii="Arial" w:hAnsi="Arial" w:cs="Arial"/>
          <w:sz w:val="20"/>
          <w:szCs w:val="20"/>
        </w:rPr>
        <w:lastRenderedPageBreak/>
        <w:t>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461D6DC6"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w:t>
      </w:r>
      <w:r w:rsidR="00485E39">
        <w:rPr>
          <w:rFonts w:ascii="Arial" w:hAnsi="Arial" w:cs="Arial"/>
          <w:sz w:val="20"/>
          <w:szCs w:val="20"/>
        </w:rPr>
        <w:t>% (veinte</w:t>
      </w:r>
      <w:r w:rsidRPr="009D7760">
        <w:rPr>
          <w:rFonts w:ascii="Arial" w:hAnsi="Arial" w:cs="Arial"/>
          <w:sz w:val="20"/>
          <w:szCs w:val="20"/>
        </w:rPr>
        <w:t xml:space="preserve"> por ciento</w:t>
      </w:r>
      <w:r w:rsidR="00485E39">
        <w:rPr>
          <w:rFonts w:ascii="Arial" w:hAnsi="Arial" w:cs="Arial"/>
          <w:sz w:val="20"/>
          <w:szCs w:val="20"/>
        </w:rPr>
        <w:t>)</w:t>
      </w:r>
      <w:r w:rsidRPr="009D7760">
        <w:rPr>
          <w:rFonts w:ascii="Arial" w:hAnsi="Arial" w:cs="Arial"/>
          <w:sz w:val="20"/>
          <w:szCs w:val="20"/>
        </w:rPr>
        <w:t xml:space="preserve">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37696A5B"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w:t>
      </w:r>
      <w:r w:rsidR="00017743">
        <w:rPr>
          <w:rFonts w:ascii="Arial" w:eastAsia="Times New Roman" w:hAnsi="Arial" w:cs="Times New Roman"/>
          <w:sz w:val="20"/>
          <w:szCs w:val="20"/>
          <w:lang w:val="es-ES" w:eastAsia="es-ES"/>
        </w:rPr>
        <w:t>en l</w:t>
      </w:r>
      <w:r w:rsidR="005F605C">
        <w:rPr>
          <w:rFonts w:ascii="Arial" w:eastAsia="Times New Roman" w:hAnsi="Arial" w:cs="Times New Roman"/>
          <w:sz w:val="20"/>
          <w:szCs w:val="20"/>
          <w:lang w:val="es-ES" w:eastAsia="es-ES"/>
        </w:rPr>
        <w:t>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5F605C" w:rsidRPr="005F605C">
        <w:rPr>
          <w:rFonts w:ascii="Arial" w:eastAsia="Times New Roman" w:hAnsi="Arial" w:cs="Times New Roman"/>
          <w:b/>
          <w:bCs/>
          <w:sz w:val="20"/>
          <w:szCs w:val="20"/>
          <w:lang w:eastAsia="es-ES"/>
        </w:rPr>
        <w:t>Adecuación y ampliación del área de guarda de insumos y mobiliario para el comedor de ministros</w:t>
      </w:r>
      <w:r w:rsidR="002A6C64" w:rsidRPr="00033110">
        <w:rPr>
          <w:rFonts w:ascii="Arial" w:eastAsia="Times New Roman" w:hAnsi="Arial" w:cs="Times New Roman"/>
          <w:b/>
          <w:bCs/>
          <w:sz w:val="20"/>
          <w:szCs w:val="20"/>
          <w:lang w:val="es-ES" w:eastAsia="es-ES"/>
        </w:rPr>
        <w:t>”</w:t>
      </w:r>
      <w:r w:rsidR="00423F29">
        <w:rPr>
          <w:rFonts w:ascii="Arial" w:hAnsi="Arial" w:cs="Arial"/>
          <w:b/>
          <w:bCs/>
          <w:sz w:val="20"/>
          <w:szCs w:val="20"/>
        </w:rPr>
        <w:t>.</w:t>
      </w:r>
    </w:p>
    <w:p w14:paraId="4C707106" w14:textId="18BE1CAB" w:rsidR="008A1EEE" w:rsidRPr="00F97A84" w:rsidRDefault="00017743"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00081211" w:rsidRPr="00F97A84">
        <w:rPr>
          <w:rFonts w:ascii="Arial" w:hAnsi="Arial" w:cs="Arial"/>
          <w:sz w:val="20"/>
          <w:szCs w:val="20"/>
        </w:rPr>
        <w:t>La afianzadora” expresamente declara:</w:t>
      </w:r>
    </w:p>
    <w:p w14:paraId="61A89A83" w14:textId="60274EC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xml:space="preserve">, con el objeto de garantizar la reparación de los defectos por vicios ocultos que se pudieran presentar en la obra pública  consistente </w:t>
      </w:r>
      <w:r w:rsidR="00017743">
        <w:rPr>
          <w:rFonts w:ascii="Arial" w:hAnsi="Arial" w:cs="Arial"/>
          <w:sz w:val="20"/>
          <w:szCs w:val="20"/>
        </w:rPr>
        <w:t xml:space="preserve">en </w:t>
      </w:r>
      <w:r w:rsidR="002A6C64">
        <w:rPr>
          <w:rFonts w:ascii="Arial" w:eastAsia="Times New Roman" w:hAnsi="Arial" w:cs="Times New Roman"/>
          <w:sz w:val="20"/>
          <w:szCs w:val="20"/>
          <w:lang w:val="es-ES" w:eastAsia="es-ES"/>
        </w:rPr>
        <w:t>l</w:t>
      </w:r>
      <w:r w:rsidR="00CC5BDC">
        <w:rPr>
          <w:rFonts w:ascii="Arial" w:eastAsia="Times New Roman" w:hAnsi="Arial" w:cs="Times New Roman"/>
          <w:sz w:val="20"/>
          <w:szCs w:val="20"/>
          <w:lang w:val="es-ES" w:eastAsia="es-ES"/>
        </w:rPr>
        <w:t>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CC5BDC" w:rsidRPr="00CC5BDC">
        <w:rPr>
          <w:rFonts w:ascii="Arial" w:eastAsia="Times New Roman" w:hAnsi="Arial" w:cs="Times New Roman"/>
          <w:b/>
          <w:bCs/>
          <w:sz w:val="20"/>
          <w:szCs w:val="20"/>
          <w:lang w:eastAsia="es-ES"/>
        </w:rPr>
        <w:t>Adecuación y ampliación del área de guarda de insumos y mobiliario para el comedor de ministros</w:t>
      </w:r>
      <w:r w:rsidR="002A6C64" w:rsidRPr="00033110">
        <w:rPr>
          <w:rFonts w:ascii="Arial" w:eastAsia="Times New Roman" w:hAnsi="Arial" w:cs="Times New Roman"/>
          <w:b/>
          <w:bCs/>
          <w:sz w:val="20"/>
          <w:szCs w:val="20"/>
          <w:lang w:val="es-ES" w:eastAsia="es-ES"/>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5B520E84" w14:textId="77777777" w:rsidR="006E774B"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 xml:space="preserve">La presente fianza tendrá vigencia desde la fecha del acta entrega recepción y hasta un año contado a partir de la firma del finiquito correspondiente y para su cancelación será necesaria comunicación expresa </w:t>
      </w:r>
    </w:p>
    <w:p w14:paraId="34750D01" w14:textId="6F52ECC4"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7E777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w:t>
      </w:r>
      <w:r w:rsidRPr="00423F29">
        <w:rPr>
          <w:rFonts w:ascii="Arial" w:hAnsi="Arial" w:cs="Arial"/>
          <w:sz w:val="20"/>
          <w:szCs w:val="20"/>
        </w:rPr>
        <w:lastRenderedPageBreak/>
        <w:t>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sidR="00017743">
        <w:rPr>
          <w:rFonts w:ascii="Arial" w:hAnsi="Arial" w:cs="Arial"/>
          <w:sz w:val="20"/>
          <w:szCs w:val="20"/>
        </w:rPr>
        <w:t>”</w:t>
      </w:r>
    </w:p>
    <w:p w14:paraId="0AD39436" w14:textId="77777777" w:rsidR="006E774B" w:rsidRDefault="006E774B" w:rsidP="006E774B">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35B43114" w14:textId="77777777" w:rsidR="006E774B" w:rsidRPr="006E774B" w:rsidRDefault="006E774B" w:rsidP="006E774B">
      <w:pPr>
        <w:pStyle w:val="Textoindependiente"/>
        <w:tabs>
          <w:tab w:val="left" w:pos="4649"/>
          <w:tab w:val="left" w:pos="5971"/>
          <w:tab w:val="left" w:pos="6078"/>
          <w:tab w:val="left" w:pos="7236"/>
          <w:tab w:val="left" w:pos="8640"/>
        </w:tabs>
        <w:spacing w:before="120" w:after="120"/>
        <w:ind w:right="119"/>
        <w:jc w:val="center"/>
        <w:rPr>
          <w:rFonts w:ascii="Arial" w:hAnsi="Arial" w:cs="Arial"/>
          <w:b/>
          <w:bCs/>
          <w:sz w:val="20"/>
          <w:szCs w:val="20"/>
        </w:rPr>
      </w:pPr>
      <w:r w:rsidRPr="006E774B">
        <w:rPr>
          <w:rFonts w:ascii="Arial" w:hAnsi="Arial" w:cs="Arial"/>
          <w:b/>
          <w:bCs/>
          <w:sz w:val="20"/>
          <w:szCs w:val="20"/>
        </w:rPr>
        <w:t>ESPECIFICACIONES PÓLIZA DE RESPONSABILIDAD CIVIL</w:t>
      </w:r>
    </w:p>
    <w:p w14:paraId="5CCB92B2" w14:textId="77777777" w:rsidR="006E774B" w:rsidRPr="006E774B" w:rsidRDefault="006E774B" w:rsidP="006E774B">
      <w:pPr>
        <w:pStyle w:val="Textoindependiente"/>
        <w:tabs>
          <w:tab w:val="left" w:pos="4649"/>
          <w:tab w:val="left" w:pos="5971"/>
          <w:tab w:val="left" w:pos="6078"/>
          <w:tab w:val="left" w:pos="7236"/>
          <w:tab w:val="left" w:pos="8640"/>
        </w:tabs>
        <w:spacing w:before="120" w:after="120"/>
        <w:ind w:right="119"/>
        <w:jc w:val="both"/>
        <w:rPr>
          <w:rFonts w:ascii="Arial" w:hAnsi="Arial" w:cs="Arial"/>
          <w:b/>
          <w:sz w:val="20"/>
          <w:szCs w:val="20"/>
        </w:rPr>
      </w:pPr>
    </w:p>
    <w:p w14:paraId="08C7ACFB" w14:textId="77777777" w:rsidR="006E774B" w:rsidRPr="006E774B" w:rsidRDefault="006E774B" w:rsidP="00EB3697">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 xml:space="preserve">La póliza de seguro de responsabilidad civil por daños a terceros, deberá ser exhibida dentro de los diez días hábiles siguientes a la fecha en que se firme el contrato respectivo y ser expedida a favor de la Suprema Corte de Justicia de la Nación por institución legalmente autorizada </w:t>
      </w:r>
      <w:r w:rsidRPr="006E774B">
        <w:rPr>
          <w:rFonts w:ascii="Arial" w:hAnsi="Arial" w:cs="Arial"/>
          <w:b/>
          <w:sz w:val="20"/>
          <w:szCs w:val="20"/>
          <w:u w:val="single"/>
        </w:rPr>
        <w:t>DE MODO INDIVIDUAL, NO GRUPAL O CON PLURALIDAD</w:t>
      </w:r>
      <w:r w:rsidRPr="006E774B">
        <w:rPr>
          <w:rFonts w:ascii="Arial" w:hAnsi="Arial" w:cs="Arial"/>
          <w:b/>
          <w:sz w:val="20"/>
          <w:szCs w:val="20"/>
        </w:rPr>
        <w:t xml:space="preserve"> </w:t>
      </w:r>
      <w:r w:rsidRPr="006E774B">
        <w:rPr>
          <w:rFonts w:ascii="Arial" w:hAnsi="Arial" w:cs="Arial"/>
          <w:b/>
          <w:sz w:val="20"/>
          <w:szCs w:val="20"/>
          <w:u w:val="single"/>
        </w:rPr>
        <w:t>DE SUJETOS</w:t>
      </w:r>
      <w:r w:rsidRPr="006E774B">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 en el entendido que cubrirá los riesgos 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 póliza.</w:t>
      </w:r>
    </w:p>
    <w:p w14:paraId="6F43C564" w14:textId="77777777" w:rsidR="006E774B" w:rsidRPr="006E774B" w:rsidRDefault="006E774B" w:rsidP="00EB3697">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 xml:space="preserve">La póliza de seguro que la aseguradora correspondiente emita </w:t>
      </w:r>
      <w:r w:rsidRPr="006E774B">
        <w:rPr>
          <w:rFonts w:ascii="Arial" w:hAnsi="Arial" w:cs="Arial"/>
          <w:sz w:val="20"/>
          <w:szCs w:val="20"/>
          <w:u w:val="single"/>
        </w:rPr>
        <w:t>deberá contener como mínimo las</w:t>
      </w:r>
      <w:r w:rsidRPr="006E774B">
        <w:rPr>
          <w:rFonts w:ascii="Arial" w:hAnsi="Arial" w:cs="Arial"/>
          <w:sz w:val="20"/>
          <w:szCs w:val="20"/>
        </w:rPr>
        <w:t xml:space="preserve"> </w:t>
      </w:r>
      <w:r w:rsidRPr="006E774B">
        <w:rPr>
          <w:rFonts w:ascii="Arial" w:hAnsi="Arial" w:cs="Arial"/>
          <w:sz w:val="20"/>
          <w:szCs w:val="20"/>
          <w:u w:val="single"/>
        </w:rPr>
        <w:t>siguientes especificaciones</w:t>
      </w:r>
      <w:r w:rsidRPr="006E774B">
        <w:rPr>
          <w:rFonts w:ascii="Arial" w:hAnsi="Arial" w:cs="Arial"/>
          <w:sz w:val="20"/>
          <w:szCs w:val="20"/>
        </w:rPr>
        <w:t>:</w:t>
      </w:r>
    </w:p>
    <w:p w14:paraId="15F86D9D" w14:textId="77777777" w:rsidR="006E774B" w:rsidRPr="006E774B" w:rsidRDefault="006E774B" w:rsidP="006E774B">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7691E33E"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Vigencia;</w:t>
      </w:r>
    </w:p>
    <w:p w14:paraId="55C7BF1A"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Nombres de los contratantes;</w:t>
      </w:r>
    </w:p>
    <w:p w14:paraId="6AFB32C4"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rPr>
          <w:rFonts w:ascii="Arial" w:hAnsi="Arial" w:cs="Arial"/>
          <w:sz w:val="20"/>
          <w:szCs w:val="20"/>
          <w:lang w:val="es-ES"/>
        </w:rPr>
      </w:pPr>
      <w:r w:rsidRPr="006E774B">
        <w:rPr>
          <w:rFonts w:ascii="Arial" w:hAnsi="Arial" w:cs="Arial"/>
          <w:sz w:val="20"/>
          <w:szCs w:val="20"/>
          <w:lang w:val="es-ES"/>
        </w:rPr>
        <w:t>Que se expide a favor de la Suprema Corte de Justicia de la Nación con domicilio el ubicado en avenida José María Pino Suárez, número 2, colonia Centro, alcaldía Cuauhtémoc, código postal 06060, Ciudad de México;</w:t>
      </w:r>
    </w:p>
    <w:p w14:paraId="41D77FBD"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Domicilios de los contratantes y firma de la empresa aseguradora;</w:t>
      </w:r>
    </w:p>
    <w:p w14:paraId="034C5D4A"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rPr>
          <w:rFonts w:ascii="Arial" w:hAnsi="Arial" w:cs="Arial"/>
          <w:sz w:val="20"/>
          <w:szCs w:val="20"/>
          <w:lang w:val="es-ES"/>
        </w:rPr>
      </w:pPr>
      <w:r w:rsidRPr="006E774B">
        <w:rPr>
          <w:rFonts w:ascii="Arial" w:hAnsi="Arial" w:cs="Arial"/>
          <w:sz w:val="20"/>
          <w:szCs w:val="20"/>
          <w:lang w:val="es-ES"/>
        </w:rPr>
        <w:t>La especificación del instrumento contractual del cual deriva la póliza;</w:t>
      </w:r>
    </w:p>
    <w:p w14:paraId="23A39B61"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La designación de la cosa o de la persona asegurada;</w:t>
      </w:r>
    </w:p>
    <w:p w14:paraId="568C9442"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La naturaleza de los riesgos garantizados;</w:t>
      </w:r>
    </w:p>
    <w:p w14:paraId="6A208569"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El momento a partir del cual se garantiza el riesgo y la vigencia de esta garantía, la cual deberá comprender toda la duración del contrato;</w:t>
      </w:r>
    </w:p>
    <w:p w14:paraId="7CAAFA63"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rPr>
          <w:rFonts w:ascii="Arial" w:hAnsi="Arial" w:cs="Arial"/>
          <w:sz w:val="20"/>
          <w:szCs w:val="20"/>
        </w:rPr>
      </w:pPr>
      <w:r w:rsidRPr="006E774B">
        <w:rPr>
          <w:rFonts w:ascii="Arial" w:hAnsi="Arial" w:cs="Arial"/>
          <w:sz w:val="20"/>
          <w:szCs w:val="20"/>
        </w:rPr>
        <w:t>El monto de la garantía y la cuota o prima del seguro en términos del artículo 20 de la Ley sobre el Contrato de Seguro, y</w:t>
      </w:r>
    </w:p>
    <w:p w14:paraId="4654A1B9"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rPr>
          <w:rFonts w:ascii="Arial" w:hAnsi="Arial" w:cs="Arial"/>
          <w:sz w:val="20"/>
          <w:szCs w:val="20"/>
        </w:rPr>
      </w:pPr>
      <w:r w:rsidRPr="006E774B">
        <w:rPr>
          <w:rFonts w:ascii="Arial" w:hAnsi="Arial" w:cs="Arial"/>
          <w:sz w:val="20"/>
          <w:szCs w:val="20"/>
        </w:rPr>
        <w:t>La manifestación de que en términos del artículo 27, fracción VI, de la Ley de Instituciones de Seguros y de Fianzas, garantiza el pago de la indemnización que el asegurado deba a un tercero a consecuencia de un hecho que cause un daño previsto en el contrato de seguro o a la Suprema Corte de Justicia de la Nación por sí, o a través de su personal o del que haya contratado o subcontratado.</w:t>
      </w:r>
    </w:p>
    <w:p w14:paraId="37CD167E" w14:textId="77777777" w:rsidR="006E774B" w:rsidRPr="006E774B" w:rsidRDefault="006E774B" w:rsidP="006E774B">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2A64A19A" w14:textId="0292457F" w:rsidR="006B109D" w:rsidRPr="00423F29" w:rsidRDefault="006E774B" w:rsidP="00EB3697">
      <w:pPr>
        <w:pStyle w:val="Textoindependiente"/>
        <w:tabs>
          <w:tab w:val="left" w:pos="4649"/>
          <w:tab w:val="left" w:pos="5971"/>
          <w:tab w:val="left" w:pos="6078"/>
          <w:tab w:val="left" w:pos="7236"/>
          <w:tab w:val="left" w:pos="8640"/>
        </w:tabs>
        <w:spacing w:before="120" w:after="120"/>
        <w:jc w:val="both"/>
        <w:rPr>
          <w:rFonts w:ascii="Arial" w:hAnsi="Arial" w:cs="Arial"/>
          <w:sz w:val="20"/>
          <w:szCs w:val="20"/>
        </w:rPr>
      </w:pPr>
      <w:r w:rsidRPr="006E774B">
        <w:rPr>
          <w:rFonts w:ascii="Arial" w:hAnsi="Arial" w:cs="Arial"/>
          <w:sz w:val="20"/>
          <w:szCs w:val="20"/>
        </w:rPr>
        <w:t>Para efecto de la última especificación, deberá solicitar a la aseguradora inserte la siguiente leyenda: “</w:t>
      </w:r>
      <w:r w:rsidRPr="006E774B">
        <w:rPr>
          <w:rFonts w:ascii="Arial" w:hAnsi="Arial" w:cs="Arial"/>
          <w:sz w:val="20"/>
          <w:szCs w:val="20"/>
          <w:u w:val="single"/>
        </w:rPr>
        <w:t>(Nombre de la aseguradora) garantiza la responsabilidad civil de los empleados y trabajadores del</w:t>
      </w:r>
      <w:r w:rsidRPr="006E774B">
        <w:rPr>
          <w:rFonts w:ascii="Arial" w:hAnsi="Arial" w:cs="Arial"/>
          <w:sz w:val="20"/>
          <w:szCs w:val="20"/>
        </w:rPr>
        <w:t xml:space="preserve"> </w:t>
      </w:r>
      <w:r w:rsidRPr="006E774B">
        <w:rPr>
          <w:rFonts w:ascii="Arial" w:hAnsi="Arial" w:cs="Arial"/>
          <w:sz w:val="20"/>
          <w:szCs w:val="20"/>
          <w:u w:val="single"/>
        </w:rPr>
        <w:t>asegurado frente a terceros”.</w:t>
      </w:r>
      <w:r w:rsidRPr="006E774B">
        <w:rPr>
          <w:rFonts w:ascii="Arial" w:hAnsi="Arial" w:cs="Arial"/>
          <w:sz w:val="20"/>
          <w:szCs w:val="20"/>
        </w:rPr>
        <w:t xml:space="preserve"> </w:t>
      </w:r>
      <w:r w:rsidRPr="006E774B">
        <w:rPr>
          <w:rFonts w:ascii="Arial" w:hAnsi="Arial" w:cs="Arial"/>
          <w:b/>
          <w:i/>
          <w:sz w:val="20"/>
          <w:szCs w:val="20"/>
        </w:rPr>
        <w:t xml:space="preserve">ASIMISMO, DEBERÁ ANEXAR LAS ESPECIFICACIONES PARTICULARES Y GENERALES, </w:t>
      </w:r>
      <w:r w:rsidRPr="006E774B">
        <w:rPr>
          <w:rFonts w:ascii="Arial" w:hAnsi="Arial" w:cs="Arial"/>
          <w:sz w:val="20"/>
          <w:szCs w:val="20"/>
        </w:rPr>
        <w:t>ya que, sin ellas, la Dirección General de Asuntos Jurídicos de este Alto Tribunal no podrá emitir la opinión legal que corresponda.</w:t>
      </w:r>
    </w:p>
    <w:sectPr w:rsidR="006B109D" w:rsidRPr="00423F29" w:rsidSect="000C0026">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1EBC7" w14:textId="77777777" w:rsidR="004352B7" w:rsidRDefault="004352B7" w:rsidP="007D40E9">
      <w:r>
        <w:separator/>
      </w:r>
    </w:p>
  </w:endnote>
  <w:endnote w:type="continuationSeparator" w:id="0">
    <w:p w14:paraId="45FD6338" w14:textId="77777777" w:rsidR="004352B7" w:rsidRDefault="004352B7" w:rsidP="007D40E9">
      <w:r>
        <w:continuationSeparator/>
      </w:r>
    </w:p>
  </w:endnote>
  <w:endnote w:type="continuationNotice" w:id="1">
    <w:p w14:paraId="7DEC0804" w14:textId="77777777" w:rsidR="004352B7" w:rsidRDefault="00435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4048842D" w:rsidR="00B050A7" w:rsidRPr="005A1E8B" w:rsidRDefault="00FF259C" w:rsidP="00B050A7">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5F605C">
      <w:rPr>
        <w:rFonts w:ascii="Arial" w:hAnsi="Arial" w:cs="Arial"/>
        <w:sz w:val="10"/>
        <w:szCs w:val="10"/>
        <w:lang w:val="en-US"/>
      </w:rPr>
      <w:t>3</w:t>
    </w:r>
    <w:r>
      <w:rPr>
        <w:rFonts w:ascii="Arial" w:hAnsi="Arial" w:cs="Arial"/>
        <w:sz w:val="10"/>
        <w:szCs w:val="10"/>
        <w:lang w:val="en-US"/>
      </w:rPr>
      <w:t>5/2024</w:t>
    </w:r>
    <w:r w:rsidR="00B050A7" w:rsidRPr="005A1E8B">
      <w:rPr>
        <w:rFonts w:ascii="Arial" w:hAnsi="Arial" w:cs="Arial"/>
        <w:sz w:val="10"/>
        <w:szCs w:val="10"/>
        <w:lang w:val="en-US"/>
      </w:rPr>
      <w:t xml:space="preserve">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3E308" w14:textId="77777777" w:rsidR="004352B7" w:rsidRDefault="004352B7" w:rsidP="007D40E9">
      <w:r>
        <w:separator/>
      </w:r>
    </w:p>
  </w:footnote>
  <w:footnote w:type="continuationSeparator" w:id="0">
    <w:p w14:paraId="09942D4F" w14:textId="77777777" w:rsidR="004352B7" w:rsidRDefault="004352B7" w:rsidP="007D40E9">
      <w:r>
        <w:continuationSeparator/>
      </w:r>
    </w:p>
  </w:footnote>
  <w:footnote w:type="continuationNotice" w:id="1">
    <w:p w14:paraId="149CCBF0" w14:textId="77777777" w:rsidR="004352B7" w:rsidRDefault="004352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0B32F" w14:textId="513C48BB" w:rsidR="002A6C64" w:rsidRPr="0063195B" w:rsidRDefault="002A6C64" w:rsidP="002A6C64">
    <w:pPr>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FF259C">
      <w:rPr>
        <w:rFonts w:ascii="Arial Unicode MS" w:eastAsia="Arial Unicode MS" w:hAnsi="Arial Unicode MS" w:cs="Arial Unicode MS"/>
        <w:b/>
        <w:color w:val="7F7F7F" w:themeColor="text1" w:themeTint="80"/>
        <w:sz w:val="20"/>
        <w:szCs w:val="20"/>
        <w:lang w:val="pt-PT"/>
      </w:rPr>
      <w:t>SCJN/CPS/DGIF-DACCI/0</w:t>
    </w:r>
    <w:r w:rsidR="008F2820">
      <w:rPr>
        <w:rFonts w:ascii="Arial Unicode MS" w:eastAsia="Arial Unicode MS" w:hAnsi="Arial Unicode MS" w:cs="Arial Unicode MS"/>
        <w:b/>
        <w:color w:val="7F7F7F" w:themeColor="text1" w:themeTint="80"/>
        <w:sz w:val="20"/>
        <w:szCs w:val="20"/>
        <w:lang w:val="pt-PT"/>
      </w:rPr>
      <w:t>3</w:t>
    </w:r>
    <w:r w:rsidR="00FF259C">
      <w:rPr>
        <w:rFonts w:ascii="Arial Unicode MS" w:eastAsia="Arial Unicode MS" w:hAnsi="Arial Unicode MS" w:cs="Arial Unicode MS"/>
        <w:b/>
        <w:color w:val="7F7F7F" w:themeColor="text1" w:themeTint="80"/>
        <w:sz w:val="20"/>
        <w:szCs w:val="20"/>
        <w:lang w:val="pt-PT"/>
      </w:rPr>
      <w:t>5/2024</w:t>
    </w:r>
  </w:p>
  <w:p w14:paraId="02CC6213" w14:textId="438609C4" w:rsidR="005A537D" w:rsidRPr="005A537D" w:rsidRDefault="002A6C64" w:rsidP="005A537D">
    <w:pPr>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w:t>
    </w:r>
    <w:bookmarkStart w:id="0" w:name="_Hlk165651556"/>
    <w:bookmarkStart w:id="1" w:name="_Hlk165651557"/>
    <w:bookmarkStart w:id="2" w:name="_Hlk165651571"/>
    <w:bookmarkStart w:id="3" w:name="_Hlk165651572"/>
    <w:bookmarkStart w:id="4" w:name="_Hlk165651677"/>
    <w:r w:rsidR="008F2820" w:rsidRPr="008F2820">
      <w:rPr>
        <w:rFonts w:ascii="Arial Unicode MS" w:eastAsia="Arial Unicode MS" w:hAnsi="Arial Unicode MS" w:cs="Arial Unicode MS"/>
        <w:b/>
        <w:bCs/>
        <w:color w:val="7F7F7F" w:themeColor="text1" w:themeTint="80"/>
        <w:sz w:val="20"/>
        <w:szCs w:val="20"/>
        <w:lang w:val="es-ES"/>
      </w:rPr>
      <w:t>ADECUACIÓN Y AMPLIACIÓN DEL ÁREA DE GUARDA DE INSUMOS Y MOBILIARIO PARA EL COMEDOR DE MINISTROS</w:t>
    </w:r>
    <w:r w:rsidR="005A537D" w:rsidRPr="005A537D">
      <w:rPr>
        <w:rFonts w:ascii="Arial Unicode MS" w:eastAsia="Arial Unicode MS" w:hAnsi="Arial Unicode MS" w:cs="Arial Unicode MS"/>
        <w:b/>
        <w:color w:val="7F7F7F" w:themeColor="text1" w:themeTint="80"/>
        <w:sz w:val="20"/>
        <w:szCs w:val="20"/>
        <w:lang w:val="pt-PT"/>
      </w:rPr>
      <w:t>”</w:t>
    </w:r>
    <w:bookmarkEnd w:id="0"/>
    <w:bookmarkEnd w:id="1"/>
    <w:bookmarkEnd w:id="2"/>
    <w:bookmarkEnd w:id="3"/>
    <w:bookmarkEnd w:id="4"/>
  </w:p>
  <w:p w14:paraId="77B05FF3" w14:textId="3A09EFA1" w:rsidR="00F97A84" w:rsidRPr="002A6C64" w:rsidRDefault="00F97A84" w:rsidP="005A537D">
    <w:pPr>
      <w:ind w:right="17"/>
      <w:rPr>
        <w:rFonts w:ascii="Arial Unicode MS" w:eastAsia="Arial Unicode MS" w:hAnsi="Arial Unicode MS" w:cs="Arial Unicode MS"/>
        <w:b/>
        <w:color w:val="7F7F7F" w:themeColor="text1" w:themeTint="80"/>
        <w:sz w:val="20"/>
        <w:szCs w:val="20"/>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 w:numId="9" w16cid:durableId="33411266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733EC"/>
    <w:rsid w:val="00081211"/>
    <w:rsid w:val="000C0026"/>
    <w:rsid w:val="000C654D"/>
    <w:rsid w:val="000F34B4"/>
    <w:rsid w:val="00103B36"/>
    <w:rsid w:val="00120753"/>
    <w:rsid w:val="00135477"/>
    <w:rsid w:val="00146EAD"/>
    <w:rsid w:val="00165AAE"/>
    <w:rsid w:val="00174C0C"/>
    <w:rsid w:val="00175289"/>
    <w:rsid w:val="00185B26"/>
    <w:rsid w:val="001A00B6"/>
    <w:rsid w:val="001A04C1"/>
    <w:rsid w:val="001A0CFE"/>
    <w:rsid w:val="001D2398"/>
    <w:rsid w:val="001D47F9"/>
    <w:rsid w:val="00243F2E"/>
    <w:rsid w:val="00251425"/>
    <w:rsid w:val="002677E5"/>
    <w:rsid w:val="002941A7"/>
    <w:rsid w:val="00294C57"/>
    <w:rsid w:val="002A6C64"/>
    <w:rsid w:val="002B0B93"/>
    <w:rsid w:val="002B7150"/>
    <w:rsid w:val="002B7B3B"/>
    <w:rsid w:val="002C0942"/>
    <w:rsid w:val="002C1219"/>
    <w:rsid w:val="002C1969"/>
    <w:rsid w:val="002D4EC7"/>
    <w:rsid w:val="002E38BB"/>
    <w:rsid w:val="002E5B0B"/>
    <w:rsid w:val="003163A4"/>
    <w:rsid w:val="00350666"/>
    <w:rsid w:val="00351123"/>
    <w:rsid w:val="00366A14"/>
    <w:rsid w:val="00381BEB"/>
    <w:rsid w:val="00382AC3"/>
    <w:rsid w:val="00394A24"/>
    <w:rsid w:val="003B1713"/>
    <w:rsid w:val="003C5B7C"/>
    <w:rsid w:val="003F601C"/>
    <w:rsid w:val="00412852"/>
    <w:rsid w:val="00416E39"/>
    <w:rsid w:val="00417740"/>
    <w:rsid w:val="00422622"/>
    <w:rsid w:val="00423F29"/>
    <w:rsid w:val="004352B7"/>
    <w:rsid w:val="00436D53"/>
    <w:rsid w:val="00437CA6"/>
    <w:rsid w:val="00446741"/>
    <w:rsid w:val="004523F0"/>
    <w:rsid w:val="00485E39"/>
    <w:rsid w:val="00491E12"/>
    <w:rsid w:val="004B490E"/>
    <w:rsid w:val="004C5238"/>
    <w:rsid w:val="004D19CB"/>
    <w:rsid w:val="004E150C"/>
    <w:rsid w:val="004F3306"/>
    <w:rsid w:val="00537360"/>
    <w:rsid w:val="00540590"/>
    <w:rsid w:val="005564F6"/>
    <w:rsid w:val="00556767"/>
    <w:rsid w:val="00567CA6"/>
    <w:rsid w:val="00597600"/>
    <w:rsid w:val="005A01D2"/>
    <w:rsid w:val="005A1E8B"/>
    <w:rsid w:val="005A537D"/>
    <w:rsid w:val="005B37FB"/>
    <w:rsid w:val="005D03A6"/>
    <w:rsid w:val="005D200B"/>
    <w:rsid w:val="005E60B5"/>
    <w:rsid w:val="005F0D80"/>
    <w:rsid w:val="005F605C"/>
    <w:rsid w:val="00600602"/>
    <w:rsid w:val="00650973"/>
    <w:rsid w:val="0065310B"/>
    <w:rsid w:val="00662C48"/>
    <w:rsid w:val="00687F38"/>
    <w:rsid w:val="00694E27"/>
    <w:rsid w:val="006A05CF"/>
    <w:rsid w:val="006A73E0"/>
    <w:rsid w:val="006B109D"/>
    <w:rsid w:val="006C5F02"/>
    <w:rsid w:val="006E1078"/>
    <w:rsid w:val="006E774B"/>
    <w:rsid w:val="00701D42"/>
    <w:rsid w:val="00713BF2"/>
    <w:rsid w:val="0073055F"/>
    <w:rsid w:val="00730773"/>
    <w:rsid w:val="00741548"/>
    <w:rsid w:val="00746BE2"/>
    <w:rsid w:val="00786599"/>
    <w:rsid w:val="00793500"/>
    <w:rsid w:val="007A7D18"/>
    <w:rsid w:val="007A7D78"/>
    <w:rsid w:val="007B4F62"/>
    <w:rsid w:val="007B7B21"/>
    <w:rsid w:val="007D40E9"/>
    <w:rsid w:val="007E4F3C"/>
    <w:rsid w:val="007F2544"/>
    <w:rsid w:val="00800C5A"/>
    <w:rsid w:val="00802710"/>
    <w:rsid w:val="00825FE2"/>
    <w:rsid w:val="00837ED3"/>
    <w:rsid w:val="00851D2C"/>
    <w:rsid w:val="008651B6"/>
    <w:rsid w:val="00866C90"/>
    <w:rsid w:val="008929F7"/>
    <w:rsid w:val="008945E7"/>
    <w:rsid w:val="008A1366"/>
    <w:rsid w:val="008A1EEE"/>
    <w:rsid w:val="008A5D05"/>
    <w:rsid w:val="008C3493"/>
    <w:rsid w:val="008C426A"/>
    <w:rsid w:val="008F2820"/>
    <w:rsid w:val="00901B63"/>
    <w:rsid w:val="0090425A"/>
    <w:rsid w:val="00933DA2"/>
    <w:rsid w:val="009535A3"/>
    <w:rsid w:val="00954A59"/>
    <w:rsid w:val="009604D5"/>
    <w:rsid w:val="00964C42"/>
    <w:rsid w:val="0096623E"/>
    <w:rsid w:val="00967E50"/>
    <w:rsid w:val="00974CBA"/>
    <w:rsid w:val="009A2793"/>
    <w:rsid w:val="009A4BB7"/>
    <w:rsid w:val="009B7437"/>
    <w:rsid w:val="009C7071"/>
    <w:rsid w:val="009D0461"/>
    <w:rsid w:val="009E29D7"/>
    <w:rsid w:val="009E61C6"/>
    <w:rsid w:val="00A0125D"/>
    <w:rsid w:val="00A04822"/>
    <w:rsid w:val="00A1283F"/>
    <w:rsid w:val="00A16383"/>
    <w:rsid w:val="00A22A8F"/>
    <w:rsid w:val="00A3671A"/>
    <w:rsid w:val="00A637D8"/>
    <w:rsid w:val="00AA3012"/>
    <w:rsid w:val="00AA5377"/>
    <w:rsid w:val="00AB0C6F"/>
    <w:rsid w:val="00AC060F"/>
    <w:rsid w:val="00AD26AD"/>
    <w:rsid w:val="00AD6FE0"/>
    <w:rsid w:val="00AE0B58"/>
    <w:rsid w:val="00B050A7"/>
    <w:rsid w:val="00B145FC"/>
    <w:rsid w:val="00B147D5"/>
    <w:rsid w:val="00B201EE"/>
    <w:rsid w:val="00B2533F"/>
    <w:rsid w:val="00B45DF1"/>
    <w:rsid w:val="00B75E58"/>
    <w:rsid w:val="00B85BF5"/>
    <w:rsid w:val="00B879C3"/>
    <w:rsid w:val="00BB0FA1"/>
    <w:rsid w:val="00BC5A67"/>
    <w:rsid w:val="00C04850"/>
    <w:rsid w:val="00C05F6C"/>
    <w:rsid w:val="00C118FD"/>
    <w:rsid w:val="00C13E96"/>
    <w:rsid w:val="00C21274"/>
    <w:rsid w:val="00C33C89"/>
    <w:rsid w:val="00C42331"/>
    <w:rsid w:val="00C468F0"/>
    <w:rsid w:val="00C47403"/>
    <w:rsid w:val="00C80EA5"/>
    <w:rsid w:val="00C9281B"/>
    <w:rsid w:val="00C93100"/>
    <w:rsid w:val="00CA5274"/>
    <w:rsid w:val="00CC09CA"/>
    <w:rsid w:val="00CC5BDC"/>
    <w:rsid w:val="00CC7AAB"/>
    <w:rsid w:val="00CE5A90"/>
    <w:rsid w:val="00CF396E"/>
    <w:rsid w:val="00D001EF"/>
    <w:rsid w:val="00D03808"/>
    <w:rsid w:val="00D21D72"/>
    <w:rsid w:val="00D2761F"/>
    <w:rsid w:val="00D42F7F"/>
    <w:rsid w:val="00D43D95"/>
    <w:rsid w:val="00D52831"/>
    <w:rsid w:val="00D667A3"/>
    <w:rsid w:val="00D727A4"/>
    <w:rsid w:val="00D75E55"/>
    <w:rsid w:val="00D86CC7"/>
    <w:rsid w:val="00DA3060"/>
    <w:rsid w:val="00DD5DA9"/>
    <w:rsid w:val="00DE1AD3"/>
    <w:rsid w:val="00DE2ED2"/>
    <w:rsid w:val="00DF4124"/>
    <w:rsid w:val="00DF7E85"/>
    <w:rsid w:val="00E21338"/>
    <w:rsid w:val="00E30E1D"/>
    <w:rsid w:val="00E76237"/>
    <w:rsid w:val="00E7785F"/>
    <w:rsid w:val="00E81286"/>
    <w:rsid w:val="00EB3697"/>
    <w:rsid w:val="00ED2907"/>
    <w:rsid w:val="00ED61AF"/>
    <w:rsid w:val="00EE066A"/>
    <w:rsid w:val="00EE1D53"/>
    <w:rsid w:val="00EE5F1A"/>
    <w:rsid w:val="00EE64BD"/>
    <w:rsid w:val="00EF1CB7"/>
    <w:rsid w:val="00F01542"/>
    <w:rsid w:val="00F656DB"/>
    <w:rsid w:val="00F7615E"/>
    <w:rsid w:val="00F87A0D"/>
    <w:rsid w:val="00F97A84"/>
    <w:rsid w:val="00FB06BA"/>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38510346">
      <w:bodyDiv w:val="1"/>
      <w:marLeft w:val="0"/>
      <w:marRight w:val="0"/>
      <w:marTop w:val="0"/>
      <w:marBottom w:val="0"/>
      <w:divBdr>
        <w:top w:val="none" w:sz="0" w:space="0" w:color="auto"/>
        <w:left w:val="none" w:sz="0" w:space="0" w:color="auto"/>
        <w:bottom w:val="none" w:sz="0" w:space="0" w:color="auto"/>
        <w:right w:val="none" w:sz="0" w:space="0" w:color="auto"/>
      </w:divBdr>
    </w:div>
    <w:div w:id="564880249">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1754</Words>
  <Characters>9647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2024-08-19T17:17:00Z</dcterms:created>
  <dcterms:modified xsi:type="dcterms:W3CDTF">2024-08-19T17:17:00Z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