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79E24" w14:textId="54826076"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E06B21">
        <w:rPr>
          <w:rFonts w:ascii="Arial" w:hAnsi="Arial" w:cs="Arial"/>
          <w:sz w:val="20"/>
          <w:szCs w:val="20"/>
        </w:rPr>
        <w:t>30</w:t>
      </w:r>
    </w:p>
    <w:p w14:paraId="0C07AB6B" w14:textId="76FF6E02"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34AF76E8"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sidR="00485E39">
        <w:rPr>
          <w:rFonts w:ascii="Arial" w:hAnsi="Arial" w:cs="Arial"/>
          <w:sz w:val="20"/>
          <w:szCs w:val="20"/>
        </w:rPr>
        <w:t>% (veinte</w:t>
      </w:r>
      <w:r>
        <w:rPr>
          <w:rFonts w:ascii="Arial" w:hAnsi="Arial" w:cs="Arial"/>
          <w:sz w:val="20"/>
          <w:szCs w:val="20"/>
        </w:rPr>
        <w:t xml:space="preserve"> por ciento</w:t>
      </w:r>
      <w:r w:rsidR="00485E39">
        <w:rPr>
          <w:rFonts w:ascii="Arial" w:hAnsi="Arial" w:cs="Arial"/>
          <w:sz w:val="20"/>
          <w:szCs w:val="20"/>
        </w:rPr>
        <w:t>)</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00EB3697">
        <w:rPr>
          <w:rFonts w:ascii="Arial" w:hAnsi="Arial" w:cs="Arial"/>
          <w:sz w:val="20"/>
          <w:szCs w:val="20"/>
        </w:rPr>
        <w:t>_________</w:t>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57F6E28B" w:rsidR="00713BF2" w:rsidRPr="00493EC6" w:rsidRDefault="00713BF2" w:rsidP="00493EC6">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493EC6">
        <w:rPr>
          <w:rFonts w:ascii="Arial" w:hAnsi="Arial" w:cs="Arial"/>
          <w:sz w:val="20"/>
          <w:szCs w:val="20"/>
        </w:rPr>
        <w:t xml:space="preserve">La presente fianza se expide de conformidad con lo establecido en el “Acuerdo General de Administración </w:t>
      </w:r>
      <w:r w:rsidR="000A16ED" w:rsidRPr="00493EC6">
        <w:rPr>
          <w:rFonts w:ascii="Arial" w:hAnsi="Arial" w:cs="Arial"/>
          <w:sz w:val="20"/>
          <w:szCs w:val="20"/>
        </w:rPr>
        <w:t xml:space="preserve">número </w:t>
      </w:r>
      <w:r w:rsidRPr="00493EC6">
        <w:rPr>
          <w:rFonts w:ascii="Arial" w:hAnsi="Arial" w:cs="Arial"/>
          <w:sz w:val="20"/>
          <w:szCs w:val="20"/>
        </w:rPr>
        <w:t>V</w:t>
      </w:r>
      <w:r w:rsidR="00AB36EF" w:rsidRPr="00493EC6">
        <w:rPr>
          <w:rFonts w:ascii="Arial" w:hAnsi="Arial" w:cs="Arial"/>
          <w:sz w:val="20"/>
          <w:szCs w:val="20"/>
        </w:rPr>
        <w:t>II</w:t>
      </w:r>
      <w:r w:rsidRPr="00493EC6">
        <w:rPr>
          <w:rFonts w:ascii="Arial" w:hAnsi="Arial" w:cs="Arial"/>
          <w:sz w:val="20"/>
          <w:szCs w:val="20"/>
        </w:rPr>
        <w:t>/20</w:t>
      </w:r>
      <w:r w:rsidR="00AB36EF" w:rsidRPr="00493EC6">
        <w:rPr>
          <w:rFonts w:ascii="Arial" w:hAnsi="Arial" w:cs="Arial"/>
          <w:sz w:val="20"/>
          <w:szCs w:val="20"/>
        </w:rPr>
        <w:t>24</w:t>
      </w:r>
      <w:r w:rsidRPr="00493EC6">
        <w:rPr>
          <w:rFonts w:ascii="Arial" w:hAnsi="Arial" w:cs="Arial"/>
          <w:sz w:val="20"/>
          <w:szCs w:val="20"/>
        </w:rPr>
        <w:t xml:space="preserve">, del </w:t>
      </w:r>
      <w:r w:rsidR="00F03178" w:rsidRPr="00493EC6">
        <w:rPr>
          <w:rFonts w:ascii="Arial" w:hAnsi="Arial" w:cs="Arial"/>
          <w:sz w:val="20"/>
          <w:szCs w:val="20"/>
          <w:lang w:val="es-ES"/>
        </w:rPr>
        <w:t>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w:t>
      </w:r>
      <w:r w:rsidRPr="00493EC6">
        <w:rPr>
          <w:rFonts w:ascii="Arial" w:hAnsi="Arial" w:cs="Arial"/>
          <w:sz w:val="20"/>
          <w:szCs w:val="20"/>
        </w:rPr>
        <w:t>” y en el contrato</w:t>
      </w:r>
      <w:r w:rsidRPr="00493EC6">
        <w:rPr>
          <w:rFonts w:ascii="Arial" w:hAnsi="Arial" w:cs="Arial"/>
          <w:sz w:val="20"/>
          <w:szCs w:val="20"/>
          <w:u w:val="single"/>
        </w:rPr>
        <w:t xml:space="preserve"> </w:t>
      </w:r>
      <w:r w:rsidRPr="00493EC6">
        <w:rPr>
          <w:rFonts w:ascii="Arial" w:hAnsi="Arial" w:cs="Arial"/>
          <w:sz w:val="20"/>
          <w:szCs w:val="20"/>
          <w:u w:val="single"/>
        </w:rPr>
        <w:tab/>
      </w:r>
      <w:r w:rsidRPr="00493EC6">
        <w:rPr>
          <w:rFonts w:ascii="Arial" w:hAnsi="Arial" w:cs="Arial"/>
          <w:sz w:val="20"/>
          <w:szCs w:val="20"/>
        </w:rPr>
        <w:t>,</w:t>
      </w:r>
      <w:r w:rsidRPr="00493EC6">
        <w:rPr>
          <w:rFonts w:ascii="Arial" w:hAnsi="Arial" w:cs="Arial"/>
          <w:spacing w:val="20"/>
          <w:sz w:val="20"/>
          <w:szCs w:val="20"/>
        </w:rPr>
        <w:t xml:space="preserve"> </w:t>
      </w:r>
      <w:r w:rsidRPr="00493EC6">
        <w:rPr>
          <w:rFonts w:ascii="Arial" w:hAnsi="Arial" w:cs="Arial"/>
          <w:sz w:val="20"/>
          <w:szCs w:val="20"/>
        </w:rPr>
        <w:t>celebrado</w:t>
      </w:r>
      <w:r w:rsidRPr="00493EC6">
        <w:rPr>
          <w:rFonts w:ascii="Arial" w:hAnsi="Arial" w:cs="Arial"/>
          <w:spacing w:val="20"/>
          <w:sz w:val="20"/>
          <w:szCs w:val="20"/>
        </w:rPr>
        <w:t xml:space="preserve"> </w:t>
      </w:r>
      <w:r w:rsidRPr="00493EC6">
        <w:rPr>
          <w:rFonts w:ascii="Arial" w:hAnsi="Arial" w:cs="Arial"/>
          <w:sz w:val="20"/>
          <w:szCs w:val="20"/>
        </w:rPr>
        <w:t>entre</w:t>
      </w:r>
      <w:r w:rsidRPr="00493EC6">
        <w:rPr>
          <w:rFonts w:ascii="Arial" w:hAnsi="Arial" w:cs="Arial"/>
          <w:spacing w:val="20"/>
          <w:sz w:val="20"/>
          <w:szCs w:val="20"/>
        </w:rPr>
        <w:t xml:space="preserve"> </w:t>
      </w:r>
      <w:r w:rsidRPr="00493EC6">
        <w:rPr>
          <w:rFonts w:ascii="Arial" w:hAnsi="Arial" w:cs="Arial"/>
          <w:sz w:val="20"/>
          <w:szCs w:val="20"/>
        </w:rPr>
        <w:t>la</w:t>
      </w:r>
      <w:r w:rsidRPr="00493EC6">
        <w:rPr>
          <w:rFonts w:ascii="Arial" w:hAnsi="Arial" w:cs="Arial"/>
          <w:spacing w:val="18"/>
          <w:sz w:val="20"/>
          <w:szCs w:val="20"/>
        </w:rPr>
        <w:t xml:space="preserve"> </w:t>
      </w:r>
      <w:r w:rsidRPr="00493EC6">
        <w:rPr>
          <w:rFonts w:ascii="Arial" w:hAnsi="Arial" w:cs="Arial"/>
          <w:sz w:val="20"/>
          <w:szCs w:val="20"/>
        </w:rPr>
        <w:t>Suprema</w:t>
      </w:r>
      <w:r w:rsidRPr="00493EC6">
        <w:rPr>
          <w:rFonts w:ascii="Arial" w:hAnsi="Arial" w:cs="Arial"/>
          <w:spacing w:val="20"/>
          <w:sz w:val="20"/>
          <w:szCs w:val="20"/>
        </w:rPr>
        <w:t xml:space="preserve"> </w:t>
      </w:r>
      <w:r w:rsidRPr="00493EC6">
        <w:rPr>
          <w:rFonts w:ascii="Arial" w:hAnsi="Arial" w:cs="Arial"/>
          <w:sz w:val="20"/>
          <w:szCs w:val="20"/>
        </w:rPr>
        <w:t>Corte</w:t>
      </w:r>
      <w:r w:rsidRPr="00493EC6">
        <w:rPr>
          <w:rFonts w:ascii="Arial" w:hAnsi="Arial" w:cs="Arial"/>
          <w:spacing w:val="20"/>
          <w:sz w:val="20"/>
          <w:szCs w:val="20"/>
        </w:rPr>
        <w:t xml:space="preserve"> </w:t>
      </w:r>
      <w:r w:rsidRPr="00493EC6">
        <w:rPr>
          <w:rFonts w:ascii="Arial" w:hAnsi="Arial" w:cs="Arial"/>
          <w:sz w:val="20"/>
          <w:szCs w:val="20"/>
        </w:rPr>
        <w:t>de</w:t>
      </w:r>
      <w:r w:rsidRPr="00493EC6">
        <w:rPr>
          <w:rFonts w:ascii="Arial" w:hAnsi="Arial" w:cs="Arial"/>
          <w:spacing w:val="21"/>
          <w:sz w:val="20"/>
          <w:szCs w:val="20"/>
        </w:rPr>
        <w:t xml:space="preserve"> </w:t>
      </w:r>
      <w:r w:rsidRPr="00493EC6">
        <w:rPr>
          <w:rFonts w:ascii="Arial" w:hAnsi="Arial" w:cs="Arial"/>
          <w:sz w:val="20"/>
          <w:szCs w:val="20"/>
        </w:rPr>
        <w:t>Justicia</w:t>
      </w:r>
      <w:r w:rsidRPr="00493EC6">
        <w:rPr>
          <w:rFonts w:ascii="Arial" w:hAnsi="Arial" w:cs="Arial"/>
          <w:spacing w:val="15"/>
          <w:sz w:val="20"/>
          <w:szCs w:val="20"/>
        </w:rPr>
        <w:t xml:space="preserve"> </w:t>
      </w:r>
      <w:r w:rsidRPr="00493EC6">
        <w:rPr>
          <w:rFonts w:ascii="Arial" w:hAnsi="Arial" w:cs="Arial"/>
          <w:sz w:val="20"/>
          <w:szCs w:val="20"/>
        </w:rPr>
        <w:t>de</w:t>
      </w:r>
      <w:r w:rsidRPr="00493EC6">
        <w:rPr>
          <w:rFonts w:ascii="Arial" w:hAnsi="Arial" w:cs="Arial"/>
          <w:spacing w:val="20"/>
          <w:sz w:val="20"/>
          <w:szCs w:val="20"/>
        </w:rPr>
        <w:t xml:space="preserve"> </w:t>
      </w:r>
      <w:r w:rsidRPr="00493EC6">
        <w:rPr>
          <w:rFonts w:ascii="Arial" w:hAnsi="Arial" w:cs="Arial"/>
          <w:sz w:val="20"/>
          <w:szCs w:val="20"/>
        </w:rPr>
        <w:t>la</w:t>
      </w:r>
      <w:r w:rsidRPr="00493EC6">
        <w:rPr>
          <w:rFonts w:ascii="Arial" w:hAnsi="Arial" w:cs="Arial"/>
          <w:spacing w:val="21"/>
          <w:sz w:val="20"/>
          <w:szCs w:val="20"/>
        </w:rPr>
        <w:t xml:space="preserve"> </w:t>
      </w:r>
      <w:r w:rsidRPr="00493EC6">
        <w:rPr>
          <w:rFonts w:ascii="Arial" w:hAnsi="Arial" w:cs="Arial"/>
          <w:sz w:val="20"/>
          <w:szCs w:val="20"/>
        </w:rPr>
        <w:t>Nación</w:t>
      </w:r>
      <w:r w:rsidRPr="00493EC6">
        <w:rPr>
          <w:rFonts w:ascii="Arial" w:hAnsi="Arial" w:cs="Arial"/>
          <w:spacing w:val="20"/>
          <w:sz w:val="20"/>
          <w:szCs w:val="20"/>
        </w:rPr>
        <w:t xml:space="preserve"> </w:t>
      </w:r>
      <w:r w:rsidRPr="00493EC6">
        <w:rPr>
          <w:rFonts w:ascii="Arial" w:hAnsi="Arial" w:cs="Arial"/>
          <w:sz w:val="20"/>
          <w:szCs w:val="20"/>
        </w:rPr>
        <w:t>y</w:t>
      </w:r>
      <w:r w:rsidRPr="00493EC6">
        <w:rPr>
          <w:rFonts w:ascii="Arial" w:hAnsi="Arial" w:cs="Arial"/>
          <w:sz w:val="20"/>
          <w:szCs w:val="20"/>
          <w:u w:val="single"/>
        </w:rPr>
        <w:t xml:space="preserve"> </w:t>
      </w:r>
      <w:r w:rsidRPr="00493EC6">
        <w:rPr>
          <w:rFonts w:ascii="Arial" w:hAnsi="Arial" w:cs="Arial"/>
          <w:sz w:val="20"/>
          <w:szCs w:val="20"/>
          <w:u w:val="single"/>
        </w:rPr>
        <w:tab/>
      </w:r>
      <w:r w:rsidRPr="00493EC6">
        <w:rPr>
          <w:rFonts w:ascii="Arial" w:hAnsi="Arial" w:cs="Arial"/>
          <w:sz w:val="20"/>
          <w:szCs w:val="20"/>
        </w:rPr>
        <w:t>,</w:t>
      </w:r>
      <w:r w:rsidRPr="00493EC6">
        <w:rPr>
          <w:rFonts w:ascii="Arial" w:hAnsi="Arial" w:cs="Arial"/>
          <w:spacing w:val="-9"/>
          <w:sz w:val="20"/>
          <w:szCs w:val="20"/>
        </w:rPr>
        <w:t xml:space="preserve"> </w:t>
      </w:r>
      <w:r w:rsidRPr="00493EC6">
        <w:rPr>
          <w:rFonts w:ascii="Arial" w:hAnsi="Arial" w:cs="Arial"/>
          <w:sz w:val="20"/>
          <w:szCs w:val="20"/>
        </w:rPr>
        <w:t>con</w:t>
      </w:r>
      <w:r w:rsidRPr="00493EC6">
        <w:rPr>
          <w:rFonts w:ascii="Arial" w:hAnsi="Arial" w:cs="Arial"/>
          <w:spacing w:val="-11"/>
          <w:sz w:val="20"/>
          <w:szCs w:val="20"/>
        </w:rPr>
        <w:t xml:space="preserve"> </w:t>
      </w:r>
      <w:r w:rsidRPr="00493EC6">
        <w:rPr>
          <w:rFonts w:ascii="Arial" w:hAnsi="Arial" w:cs="Arial"/>
          <w:sz w:val="20"/>
          <w:szCs w:val="20"/>
        </w:rPr>
        <w:t>el</w:t>
      </w:r>
      <w:r w:rsidRPr="00493EC6">
        <w:rPr>
          <w:rFonts w:ascii="Arial" w:hAnsi="Arial" w:cs="Arial"/>
          <w:spacing w:val="-9"/>
          <w:sz w:val="20"/>
          <w:szCs w:val="20"/>
        </w:rPr>
        <w:t xml:space="preserve"> </w:t>
      </w:r>
      <w:r w:rsidRPr="00493EC6">
        <w:rPr>
          <w:rFonts w:ascii="Arial" w:hAnsi="Arial" w:cs="Arial"/>
          <w:sz w:val="20"/>
          <w:szCs w:val="20"/>
        </w:rPr>
        <w:t>objeto</w:t>
      </w:r>
      <w:r w:rsidRPr="00493EC6">
        <w:rPr>
          <w:rFonts w:ascii="Arial" w:hAnsi="Arial" w:cs="Arial"/>
          <w:spacing w:val="-11"/>
          <w:sz w:val="20"/>
          <w:szCs w:val="20"/>
        </w:rPr>
        <w:t xml:space="preserve"> </w:t>
      </w:r>
      <w:r w:rsidRPr="00493EC6">
        <w:rPr>
          <w:rFonts w:ascii="Arial" w:hAnsi="Arial" w:cs="Arial"/>
          <w:sz w:val="20"/>
          <w:szCs w:val="20"/>
        </w:rPr>
        <w:t>de</w:t>
      </w:r>
      <w:r w:rsidRPr="00493EC6">
        <w:rPr>
          <w:rFonts w:ascii="Arial" w:hAnsi="Arial" w:cs="Arial"/>
          <w:spacing w:val="-11"/>
          <w:sz w:val="20"/>
          <w:szCs w:val="20"/>
        </w:rPr>
        <w:t xml:space="preserve"> </w:t>
      </w:r>
      <w:r w:rsidRPr="00493EC6">
        <w:rPr>
          <w:rFonts w:ascii="Arial" w:hAnsi="Arial" w:cs="Arial"/>
          <w:sz w:val="20"/>
          <w:szCs w:val="20"/>
        </w:rPr>
        <w:t>garantizar</w:t>
      </w:r>
      <w:r w:rsidRPr="00493EC6">
        <w:rPr>
          <w:rFonts w:ascii="Arial" w:hAnsi="Arial" w:cs="Arial"/>
          <w:spacing w:val="-11"/>
          <w:sz w:val="20"/>
          <w:szCs w:val="20"/>
        </w:rPr>
        <w:t xml:space="preserve"> </w:t>
      </w:r>
      <w:r w:rsidRPr="00493EC6">
        <w:rPr>
          <w:rFonts w:ascii="Arial" w:hAnsi="Arial" w:cs="Arial"/>
          <w:sz w:val="20"/>
          <w:szCs w:val="20"/>
        </w:rPr>
        <w:t>el</w:t>
      </w:r>
      <w:r w:rsidRPr="00493EC6">
        <w:rPr>
          <w:rFonts w:ascii="Arial" w:hAnsi="Arial" w:cs="Arial"/>
          <w:spacing w:val="-10"/>
          <w:sz w:val="20"/>
          <w:szCs w:val="20"/>
        </w:rPr>
        <w:t xml:space="preserve"> </w:t>
      </w:r>
      <w:r w:rsidRPr="00493EC6">
        <w:rPr>
          <w:rFonts w:ascii="Arial" w:hAnsi="Arial" w:cs="Arial"/>
          <w:sz w:val="20"/>
          <w:szCs w:val="20"/>
        </w:rPr>
        <w:t>fiel</w:t>
      </w:r>
      <w:r w:rsidRPr="00493EC6">
        <w:rPr>
          <w:rFonts w:ascii="Arial" w:hAnsi="Arial" w:cs="Arial"/>
          <w:spacing w:val="-9"/>
          <w:sz w:val="20"/>
          <w:szCs w:val="20"/>
        </w:rPr>
        <w:t xml:space="preserve"> </w:t>
      </w:r>
      <w:r w:rsidRPr="00493EC6">
        <w:rPr>
          <w:rFonts w:ascii="Arial" w:hAnsi="Arial" w:cs="Arial"/>
          <w:sz w:val="20"/>
          <w:szCs w:val="20"/>
        </w:rPr>
        <w:t>y</w:t>
      </w:r>
      <w:r w:rsidRPr="00493EC6">
        <w:rPr>
          <w:rFonts w:ascii="Arial" w:hAnsi="Arial" w:cs="Arial"/>
          <w:spacing w:val="-9"/>
          <w:sz w:val="20"/>
          <w:szCs w:val="20"/>
        </w:rPr>
        <w:t xml:space="preserve"> </w:t>
      </w:r>
      <w:r w:rsidRPr="00493EC6">
        <w:rPr>
          <w:rFonts w:ascii="Arial" w:hAnsi="Arial" w:cs="Arial"/>
          <w:sz w:val="20"/>
          <w:szCs w:val="20"/>
        </w:rPr>
        <w:t>exacto</w:t>
      </w:r>
      <w:r w:rsidRPr="00493EC6">
        <w:rPr>
          <w:rFonts w:ascii="Arial" w:hAnsi="Arial" w:cs="Arial"/>
          <w:spacing w:val="-10"/>
          <w:sz w:val="20"/>
          <w:szCs w:val="20"/>
        </w:rPr>
        <w:t xml:space="preserve"> </w:t>
      </w:r>
      <w:r w:rsidRPr="00493EC6">
        <w:rPr>
          <w:rFonts w:ascii="Arial" w:hAnsi="Arial" w:cs="Arial"/>
          <w:sz w:val="20"/>
          <w:szCs w:val="20"/>
        </w:rPr>
        <w:t>cumplimiento</w:t>
      </w:r>
      <w:r w:rsidRPr="00493EC6">
        <w:rPr>
          <w:rFonts w:ascii="Arial" w:hAnsi="Arial" w:cs="Arial"/>
          <w:spacing w:val="-9"/>
          <w:sz w:val="20"/>
          <w:szCs w:val="20"/>
        </w:rPr>
        <w:t xml:space="preserve"> </w:t>
      </w:r>
      <w:r w:rsidRPr="00493EC6">
        <w:rPr>
          <w:rFonts w:ascii="Arial" w:hAnsi="Arial" w:cs="Arial"/>
          <w:sz w:val="20"/>
          <w:szCs w:val="20"/>
        </w:rPr>
        <w:t>de</w:t>
      </w:r>
      <w:r w:rsidRPr="00493EC6">
        <w:rPr>
          <w:rFonts w:ascii="Arial" w:hAnsi="Arial" w:cs="Arial"/>
          <w:spacing w:val="-9"/>
          <w:sz w:val="20"/>
          <w:szCs w:val="20"/>
        </w:rPr>
        <w:t xml:space="preserve"> </w:t>
      </w:r>
      <w:r w:rsidRPr="00493EC6">
        <w:rPr>
          <w:rFonts w:ascii="Arial" w:hAnsi="Arial" w:cs="Arial"/>
          <w:sz w:val="20"/>
          <w:szCs w:val="20"/>
        </w:rPr>
        <w:t>todas</w:t>
      </w:r>
      <w:r w:rsidRPr="00493EC6">
        <w:rPr>
          <w:rFonts w:ascii="Arial" w:hAnsi="Arial" w:cs="Arial"/>
          <w:spacing w:val="-9"/>
          <w:sz w:val="20"/>
          <w:szCs w:val="20"/>
        </w:rPr>
        <w:t xml:space="preserve"> </w:t>
      </w:r>
      <w:r w:rsidRPr="00493EC6">
        <w:rPr>
          <w:rFonts w:ascii="Arial" w:hAnsi="Arial" w:cs="Arial"/>
          <w:sz w:val="20"/>
          <w:szCs w:val="20"/>
        </w:rPr>
        <w:t>y</w:t>
      </w:r>
      <w:r w:rsidRPr="00493EC6">
        <w:rPr>
          <w:rFonts w:ascii="Arial" w:hAnsi="Arial" w:cs="Arial"/>
          <w:spacing w:val="-8"/>
          <w:sz w:val="20"/>
          <w:szCs w:val="20"/>
        </w:rPr>
        <w:t xml:space="preserve"> </w:t>
      </w:r>
      <w:r w:rsidRPr="00493EC6">
        <w:rPr>
          <w:rFonts w:ascii="Arial" w:hAnsi="Arial" w:cs="Arial"/>
          <w:sz w:val="20"/>
          <w:szCs w:val="20"/>
        </w:rPr>
        <w:t>cada una de las obligaciones a cargo de</w:t>
      </w:r>
      <w:r w:rsidRPr="00493EC6">
        <w:rPr>
          <w:rFonts w:ascii="Arial" w:hAnsi="Arial" w:cs="Arial"/>
          <w:spacing w:val="-8"/>
          <w:sz w:val="20"/>
          <w:szCs w:val="20"/>
        </w:rPr>
        <w:t xml:space="preserve"> ______________</w:t>
      </w:r>
      <w:r w:rsidRPr="00493EC6">
        <w:rPr>
          <w:rFonts w:ascii="Arial" w:hAnsi="Arial" w:cs="Arial"/>
          <w:sz w:val="20"/>
          <w:szCs w:val="20"/>
        </w:rPr>
        <w:t>, relativo a la ejecución de la obra  pública a  precios  unitarios  y  tiempo  determinado consistent</w:t>
      </w:r>
      <w:r w:rsidR="00017743" w:rsidRPr="00493EC6">
        <w:rPr>
          <w:rFonts w:ascii="Arial" w:hAnsi="Arial" w:cs="Arial"/>
          <w:sz w:val="20"/>
          <w:szCs w:val="20"/>
        </w:rPr>
        <w:t>e en l</w:t>
      </w:r>
      <w:r w:rsidR="005F605C" w:rsidRPr="00493EC6">
        <w:rPr>
          <w:rFonts w:ascii="Arial" w:hAnsi="Arial" w:cs="Arial"/>
          <w:sz w:val="20"/>
          <w:szCs w:val="20"/>
        </w:rPr>
        <w:t>a</w:t>
      </w:r>
      <w:r w:rsidR="002A6C64" w:rsidRPr="00493EC6">
        <w:rPr>
          <w:rFonts w:ascii="Arial" w:eastAsia="Times New Roman" w:hAnsi="Arial" w:cs="Times New Roman"/>
          <w:sz w:val="20"/>
          <w:szCs w:val="20"/>
          <w:lang w:val="es-ES" w:eastAsia="es-ES"/>
        </w:rPr>
        <w:t xml:space="preserve"> </w:t>
      </w:r>
      <w:r w:rsidR="005A537D" w:rsidRPr="00493EC6">
        <w:rPr>
          <w:rFonts w:ascii="Arial" w:eastAsia="Times New Roman" w:hAnsi="Arial" w:cs="Times New Roman"/>
          <w:b/>
          <w:bCs/>
          <w:sz w:val="20"/>
          <w:szCs w:val="20"/>
          <w:lang w:val="pt-PT" w:eastAsia="es-ES"/>
        </w:rPr>
        <w:t>“</w:t>
      </w:r>
      <w:r w:rsidR="00900BBD" w:rsidRPr="00493EC6">
        <w:rPr>
          <w:rFonts w:ascii="Arial" w:eastAsia="Times New Roman" w:hAnsi="Arial" w:cs="Times New Roman"/>
          <w:b/>
          <w:bCs/>
          <w:sz w:val="20"/>
          <w:szCs w:val="20"/>
          <w:lang w:val="es-ES" w:eastAsia="es-ES"/>
        </w:rPr>
        <w:t>Rehabilitación de elementos arquitectónicos en la Casa de la Cultura Jurídica en Mérida, Yucatán</w:t>
      </w:r>
      <w:r w:rsidR="00E06B21">
        <w:rPr>
          <w:rFonts w:ascii="Arial" w:hAnsi="Arial" w:cs="Arial"/>
          <w:sz w:val="20"/>
          <w:szCs w:val="20"/>
        </w:rPr>
        <w:t xml:space="preserve">”, </w:t>
      </w:r>
      <w:r w:rsidRPr="00493EC6">
        <w:rPr>
          <w:rFonts w:ascii="Arial" w:hAnsi="Arial" w:cs="Arial"/>
          <w:sz w:val="20"/>
          <w:szCs w:val="20"/>
        </w:rPr>
        <w:t>con un monto total contratado que asciende a la</w:t>
      </w:r>
      <w:r w:rsidRPr="00493EC6">
        <w:rPr>
          <w:rFonts w:ascii="Arial" w:hAnsi="Arial" w:cs="Arial"/>
          <w:spacing w:val="-5"/>
          <w:sz w:val="20"/>
          <w:szCs w:val="20"/>
        </w:rPr>
        <w:t xml:space="preserve"> </w:t>
      </w:r>
      <w:r w:rsidRPr="00493EC6">
        <w:rPr>
          <w:rFonts w:ascii="Arial" w:hAnsi="Arial" w:cs="Arial"/>
          <w:sz w:val="20"/>
          <w:szCs w:val="20"/>
        </w:rPr>
        <w:t>cantidad</w:t>
      </w:r>
      <w:r w:rsidRPr="00493EC6">
        <w:rPr>
          <w:rFonts w:ascii="Arial" w:hAnsi="Arial" w:cs="Arial"/>
          <w:spacing w:val="-2"/>
          <w:sz w:val="20"/>
          <w:szCs w:val="20"/>
        </w:rPr>
        <w:t xml:space="preserve"> </w:t>
      </w:r>
      <w:r w:rsidRPr="00493EC6">
        <w:rPr>
          <w:rFonts w:ascii="Arial" w:hAnsi="Arial" w:cs="Arial"/>
          <w:sz w:val="20"/>
          <w:szCs w:val="20"/>
        </w:rPr>
        <w:t>de</w:t>
      </w:r>
      <w:r w:rsidR="005A01D2" w:rsidRPr="00493EC6">
        <w:rPr>
          <w:rFonts w:ascii="Arial" w:hAnsi="Arial" w:cs="Arial"/>
          <w:sz w:val="20"/>
          <w:szCs w:val="20"/>
        </w:rPr>
        <w:t xml:space="preserve"> </w:t>
      </w:r>
      <w:r w:rsidRPr="00493EC6">
        <w:rPr>
          <w:rFonts w:ascii="Arial" w:hAnsi="Arial" w:cs="Arial"/>
          <w:sz w:val="20"/>
          <w:szCs w:val="20"/>
        </w:rPr>
        <w:t>$ _______________________________ (______________ pesos --/100 moneda nacional), más el Impuesto al Valor</w:t>
      </w:r>
      <w:r w:rsidRPr="00493EC6">
        <w:rPr>
          <w:rFonts w:ascii="Arial" w:hAnsi="Arial" w:cs="Arial"/>
          <w:spacing w:val="-18"/>
          <w:sz w:val="20"/>
          <w:szCs w:val="20"/>
        </w:rPr>
        <w:t xml:space="preserve"> </w:t>
      </w:r>
      <w:r w:rsidRPr="00493EC6">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 xml:space="preserve">La presente fianza podrá ser liberada a ____________________________________, siempre y cuando la </w:t>
      </w:r>
      <w:r w:rsidRPr="009D7760">
        <w:rPr>
          <w:rFonts w:ascii="Arial" w:hAnsi="Arial" w:cs="Arial"/>
          <w:sz w:val="20"/>
          <w:szCs w:val="20"/>
        </w:rPr>
        <w:lastRenderedPageBreak/>
        <w:t>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461D6DC6"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w:t>
      </w:r>
      <w:r w:rsidR="00485E39">
        <w:rPr>
          <w:rFonts w:ascii="Arial" w:hAnsi="Arial" w:cs="Arial"/>
          <w:sz w:val="20"/>
          <w:szCs w:val="20"/>
        </w:rPr>
        <w:t>% (veinte</w:t>
      </w:r>
      <w:r w:rsidRPr="009D7760">
        <w:rPr>
          <w:rFonts w:ascii="Arial" w:hAnsi="Arial" w:cs="Arial"/>
          <w:sz w:val="20"/>
          <w:szCs w:val="20"/>
        </w:rPr>
        <w:t xml:space="preserve"> por ciento</w:t>
      </w:r>
      <w:r w:rsidR="00485E39">
        <w:rPr>
          <w:rFonts w:ascii="Arial" w:hAnsi="Arial" w:cs="Arial"/>
          <w:sz w:val="20"/>
          <w:szCs w:val="20"/>
        </w:rPr>
        <w:t>)</w:t>
      </w:r>
      <w:r w:rsidRPr="009D7760">
        <w:rPr>
          <w:rFonts w:ascii="Arial" w:hAnsi="Arial" w:cs="Arial"/>
          <w:sz w:val="20"/>
          <w:szCs w:val="20"/>
        </w:rPr>
        <w:t xml:space="preserve"> adicional al originalmente pactado.</w:t>
      </w:r>
    </w:p>
    <w:p w14:paraId="6B2A4EBA" w14:textId="77777777" w:rsidR="00083EC3" w:rsidRPr="00E06B21" w:rsidRDefault="00083EC3" w:rsidP="00E06B21">
      <w:pPr>
        <w:pStyle w:val="Prrafodelista"/>
        <w:rPr>
          <w:rFonts w:ascii="Arial" w:hAnsi="Arial" w:cs="Arial"/>
          <w:sz w:val="20"/>
          <w:szCs w:val="20"/>
        </w:rPr>
      </w:pPr>
    </w:p>
    <w:p w14:paraId="0BB64965" w14:textId="238C3EBF" w:rsidR="00083EC3" w:rsidRPr="009D7760" w:rsidRDefault="00083EC3" w:rsidP="00713BF2">
      <w:pPr>
        <w:pStyle w:val="Prrafodelista"/>
        <w:numPr>
          <w:ilvl w:val="0"/>
          <w:numId w:val="2"/>
        </w:numPr>
        <w:tabs>
          <w:tab w:val="left" w:pos="407"/>
        </w:tabs>
        <w:ind w:right="118" w:firstLine="0"/>
        <w:rPr>
          <w:rFonts w:ascii="Arial" w:hAnsi="Arial" w:cs="Arial"/>
          <w:sz w:val="20"/>
          <w:szCs w:val="20"/>
        </w:rPr>
      </w:pPr>
      <w:r>
        <w:rPr>
          <w:rFonts w:ascii="Arial" w:hAnsi="Arial" w:cs="Arial"/>
          <w:sz w:val="20"/>
          <w:szCs w:val="20"/>
        </w:rPr>
        <w:t>L</w:t>
      </w:r>
      <w:r w:rsidRPr="00083EC3">
        <w:rPr>
          <w:rFonts w:ascii="Arial" w:hAnsi="Arial" w:cs="Arial"/>
          <w:sz w:val="20"/>
          <w:szCs w:val="20"/>
        </w:rPr>
        <w:t xml:space="preserve">a afianzadora conoce la renuncia realizada por los proveedores, prestadores de servicios o contratistas al derecho de compensación a que se refiere el artículo </w:t>
      </w:r>
      <w:r w:rsidR="002A0B93">
        <w:rPr>
          <w:rFonts w:ascii="Arial" w:hAnsi="Arial" w:cs="Arial"/>
          <w:sz w:val="20"/>
          <w:szCs w:val="20"/>
        </w:rPr>
        <w:t xml:space="preserve">289 </w:t>
      </w:r>
      <w:r w:rsidRPr="00083EC3">
        <w:rPr>
          <w:rFonts w:ascii="Arial" w:hAnsi="Arial" w:cs="Arial"/>
          <w:sz w:val="20"/>
          <w:szCs w:val="20"/>
        </w:rPr>
        <w:t>de la Ley de Instituciones de Seguros y de Fianzas;</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5ED9A47" w14:textId="77777777" w:rsidR="00081211" w:rsidRPr="00F97A84" w:rsidRDefault="00081211"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1D5241ED"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xml:space="preserve">, la reparación de los defectos por vicios ocultos que se pudieran presentar en la obra pública consistente </w:t>
      </w:r>
      <w:r w:rsidR="00017743">
        <w:rPr>
          <w:rFonts w:ascii="Arial" w:eastAsia="Times New Roman" w:hAnsi="Arial" w:cs="Times New Roman"/>
          <w:sz w:val="20"/>
          <w:szCs w:val="20"/>
          <w:lang w:val="es-ES" w:eastAsia="es-ES"/>
        </w:rPr>
        <w:t>en l</w:t>
      </w:r>
      <w:r w:rsidR="005F605C">
        <w:rPr>
          <w:rFonts w:ascii="Arial" w:eastAsia="Times New Roman" w:hAnsi="Arial" w:cs="Times New Roman"/>
          <w:sz w:val="20"/>
          <w:szCs w:val="20"/>
          <w:lang w:val="es-ES" w:eastAsia="es-ES"/>
        </w:rPr>
        <w:t>a</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w:t>
      </w:r>
      <w:r w:rsidR="009E3616" w:rsidRPr="009E3616">
        <w:rPr>
          <w:rFonts w:ascii="Arial" w:eastAsia="Times New Roman" w:hAnsi="Arial" w:cs="Times New Roman"/>
          <w:b/>
          <w:bCs/>
          <w:sz w:val="20"/>
          <w:szCs w:val="20"/>
          <w:lang w:val="es-ES" w:eastAsia="es-ES"/>
        </w:rPr>
        <w:t>Rehabilitación de elementos arquitectónicos en la Casa de la Cultura Jurídica en Mérida, Yucatán</w:t>
      </w:r>
      <w:r w:rsidR="002A6C64" w:rsidRPr="00033110">
        <w:rPr>
          <w:rFonts w:ascii="Arial" w:eastAsia="Times New Roman" w:hAnsi="Arial" w:cs="Times New Roman"/>
          <w:b/>
          <w:bCs/>
          <w:sz w:val="20"/>
          <w:szCs w:val="20"/>
          <w:lang w:val="es-ES" w:eastAsia="es-ES"/>
        </w:rPr>
        <w:t>”</w:t>
      </w:r>
      <w:r w:rsidR="00423F29">
        <w:rPr>
          <w:rFonts w:ascii="Arial" w:hAnsi="Arial" w:cs="Arial"/>
          <w:b/>
          <w:bCs/>
          <w:sz w:val="20"/>
          <w:szCs w:val="20"/>
        </w:rPr>
        <w:t>.</w:t>
      </w:r>
    </w:p>
    <w:p w14:paraId="4C707106" w14:textId="18BE1CAB" w:rsidR="008A1EEE" w:rsidRPr="00F97A84" w:rsidRDefault="00017743"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Pr>
          <w:rFonts w:ascii="Arial" w:hAnsi="Arial" w:cs="Arial"/>
          <w:sz w:val="20"/>
          <w:szCs w:val="20"/>
        </w:rPr>
        <w:t>“</w:t>
      </w:r>
      <w:r w:rsidR="00081211" w:rsidRPr="00F97A84">
        <w:rPr>
          <w:rFonts w:ascii="Arial" w:hAnsi="Arial" w:cs="Arial"/>
          <w:sz w:val="20"/>
          <w:szCs w:val="20"/>
        </w:rPr>
        <w:t>La afianzadora” expresamente declara:</w:t>
      </w:r>
    </w:p>
    <w:p w14:paraId="61A89A83" w14:textId="2D466DA4"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La presente fianza se expide de conformidad con lo establecido en el “</w:t>
      </w:r>
      <w:r w:rsidR="009E3616" w:rsidRPr="009E3616">
        <w:rPr>
          <w:rFonts w:ascii="Arial" w:hAnsi="Arial" w:cs="Arial"/>
          <w:sz w:val="20"/>
          <w:szCs w:val="20"/>
        </w:rPr>
        <w:t xml:space="preserve">Acuerdo General de Administración </w:t>
      </w:r>
      <w:r w:rsidR="000A16ED">
        <w:rPr>
          <w:rFonts w:ascii="Arial" w:hAnsi="Arial" w:cs="Arial"/>
          <w:sz w:val="20"/>
          <w:szCs w:val="20"/>
        </w:rPr>
        <w:t xml:space="preserve">número </w:t>
      </w:r>
      <w:r w:rsidR="009E3616" w:rsidRPr="009E3616">
        <w:rPr>
          <w:rFonts w:ascii="Arial" w:hAnsi="Arial" w:cs="Arial"/>
          <w:sz w:val="20"/>
          <w:szCs w:val="20"/>
        </w:rPr>
        <w:t xml:space="preserve">VII/2024, del </w:t>
      </w:r>
      <w:r w:rsidR="009E3616" w:rsidRPr="009E3616">
        <w:rPr>
          <w:rFonts w:ascii="Arial" w:hAnsi="Arial" w:cs="Arial"/>
          <w:sz w:val="20"/>
          <w:szCs w:val="20"/>
          <w:lang w:val="es-ES"/>
        </w:rPr>
        <w:t>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w:t>
      </w:r>
      <w:r w:rsidRPr="00F97A84">
        <w:rPr>
          <w:rFonts w:ascii="Arial" w:hAnsi="Arial" w:cs="Arial"/>
          <w:sz w:val="20"/>
          <w:szCs w:val="20"/>
        </w:rPr>
        <w:t xml:space="preserve">”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xml:space="preserve">, con el objeto de garantizar la reparación de los defectos por vicios ocultos que se pudieran presentar en la obra pública  consistente </w:t>
      </w:r>
      <w:r w:rsidR="00017743">
        <w:rPr>
          <w:rFonts w:ascii="Arial" w:hAnsi="Arial" w:cs="Arial"/>
          <w:sz w:val="20"/>
          <w:szCs w:val="20"/>
        </w:rPr>
        <w:t xml:space="preserve">en </w:t>
      </w:r>
      <w:r w:rsidR="002A6C64">
        <w:rPr>
          <w:rFonts w:ascii="Arial" w:eastAsia="Times New Roman" w:hAnsi="Arial" w:cs="Times New Roman"/>
          <w:sz w:val="20"/>
          <w:szCs w:val="20"/>
          <w:lang w:val="es-ES" w:eastAsia="es-ES"/>
        </w:rPr>
        <w:t>l</w:t>
      </w:r>
      <w:r w:rsidR="00CC5BDC">
        <w:rPr>
          <w:rFonts w:ascii="Arial" w:eastAsia="Times New Roman" w:hAnsi="Arial" w:cs="Times New Roman"/>
          <w:sz w:val="20"/>
          <w:szCs w:val="20"/>
          <w:lang w:val="es-ES" w:eastAsia="es-ES"/>
        </w:rPr>
        <w:t>a</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w:t>
      </w:r>
      <w:r w:rsidR="00AD6F0E" w:rsidRPr="00AD6F0E">
        <w:rPr>
          <w:rFonts w:ascii="Arial" w:eastAsia="Times New Roman" w:hAnsi="Arial" w:cs="Times New Roman"/>
          <w:b/>
          <w:bCs/>
          <w:sz w:val="20"/>
          <w:szCs w:val="20"/>
          <w:lang w:val="es-ES" w:eastAsia="es-ES"/>
        </w:rPr>
        <w:t>Rehabilitación de elementos arquitectónicos en la Casa de la Cultura Jurídica en Mérida, Yucatán</w:t>
      </w:r>
      <w:r w:rsidR="002A6C64" w:rsidRPr="00033110">
        <w:rPr>
          <w:rFonts w:ascii="Arial" w:eastAsia="Times New Roman" w:hAnsi="Arial" w:cs="Times New Roman"/>
          <w:b/>
          <w:bCs/>
          <w:sz w:val="20"/>
          <w:szCs w:val="20"/>
          <w:lang w:val="es-ES" w:eastAsia="es-ES"/>
        </w:rPr>
        <w:t>”</w:t>
      </w:r>
      <w:r w:rsidRPr="00F97A84">
        <w:rPr>
          <w:rFonts w:ascii="Arial" w:hAnsi="Arial" w:cs="Arial"/>
          <w:sz w:val="20"/>
          <w:szCs w:val="20"/>
        </w:rPr>
        <w:t>,</w:t>
      </w:r>
      <w:r w:rsidR="00E06B21">
        <w:rPr>
          <w:rFonts w:ascii="Arial" w:eastAsia="Times New Roman" w:hAnsi="Arial" w:cs="Times New Roman"/>
          <w:b/>
          <w:bCs/>
          <w:sz w:val="20"/>
          <w:szCs w:val="20"/>
          <w:lang w:eastAsia="es-ES"/>
        </w:rPr>
        <w:t xml:space="preserve"> </w:t>
      </w:r>
      <w:r w:rsidRPr="00F97A84">
        <w:rPr>
          <w:rFonts w:ascii="Arial" w:hAnsi="Arial" w:cs="Arial"/>
          <w:sz w:val="20"/>
          <w:szCs w:val="20"/>
        </w:rPr>
        <w:t xml:space="preserve">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42D16567" w14:textId="77777777" w:rsidR="00E06B21" w:rsidRDefault="00723AB8" w:rsidP="00E06B2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723AB8">
        <w:rPr>
          <w:rFonts w:ascii="Arial" w:hAnsi="Arial" w:cs="Arial"/>
          <w:sz w:val="20"/>
          <w:szCs w:val="20"/>
        </w:rPr>
        <w:t>La vigencia de esta garantía será de un año contado a partir de que se firme el finiquito correspondiente</w:t>
      </w:r>
      <w:r w:rsidRPr="00723AB8" w:rsidDel="00723AB8">
        <w:rPr>
          <w:rFonts w:ascii="Arial" w:hAnsi="Arial" w:cs="Arial"/>
          <w:sz w:val="20"/>
          <w:szCs w:val="20"/>
        </w:rPr>
        <w:t xml:space="preserve"> </w:t>
      </w:r>
      <w:r w:rsidR="00081211" w:rsidRPr="005564F6">
        <w:rPr>
          <w:rFonts w:ascii="Arial" w:hAnsi="Arial" w:cs="Arial"/>
          <w:sz w:val="20"/>
          <w:szCs w:val="20"/>
        </w:rPr>
        <w:t xml:space="preserve">y para su cancelación será necesaria comunicación expresa </w:t>
      </w:r>
      <w:r w:rsidR="00081211" w:rsidRPr="00723AB8">
        <w:rPr>
          <w:rFonts w:ascii="Arial" w:hAnsi="Arial" w:cs="Arial"/>
          <w:sz w:val="20"/>
          <w:szCs w:val="20"/>
        </w:rPr>
        <w:t>y por escrito a la afianzadora, por parte de la Suprema Corte de Justicia de la Nación.</w:t>
      </w:r>
    </w:p>
    <w:p w14:paraId="39085BD0" w14:textId="1ABF955A" w:rsidR="005564F6" w:rsidRPr="00E06B21" w:rsidRDefault="00081211" w:rsidP="00E06B2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E06B21">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197B9755" w14:textId="024DD8DD" w:rsidR="006D58CB" w:rsidRPr="00E06B21" w:rsidRDefault="006D58CB" w:rsidP="00E06B21">
      <w:pPr>
        <w:pStyle w:val="Prrafodelista"/>
        <w:numPr>
          <w:ilvl w:val="0"/>
          <w:numId w:val="5"/>
        </w:numPr>
        <w:tabs>
          <w:tab w:val="left" w:pos="407"/>
        </w:tabs>
        <w:ind w:left="567" w:right="118"/>
        <w:rPr>
          <w:rFonts w:ascii="Arial" w:hAnsi="Arial" w:cs="Arial"/>
          <w:sz w:val="20"/>
          <w:szCs w:val="20"/>
        </w:rPr>
      </w:pPr>
      <w:r>
        <w:rPr>
          <w:rFonts w:ascii="Arial" w:hAnsi="Arial" w:cs="Arial"/>
          <w:sz w:val="20"/>
          <w:szCs w:val="20"/>
        </w:rPr>
        <w:lastRenderedPageBreak/>
        <w:t xml:space="preserve">   L</w:t>
      </w:r>
      <w:r w:rsidRPr="00083EC3">
        <w:rPr>
          <w:rFonts w:ascii="Arial" w:hAnsi="Arial" w:cs="Arial"/>
          <w:sz w:val="20"/>
          <w:szCs w:val="20"/>
        </w:rPr>
        <w:t xml:space="preserve">a afianzadora conoce la renuncia realizada por los proveedores, prestadores de servicios o contratistas al derecho de compensación a que se refiere el artículo </w:t>
      </w:r>
      <w:r>
        <w:rPr>
          <w:rFonts w:ascii="Arial" w:hAnsi="Arial" w:cs="Arial"/>
          <w:sz w:val="20"/>
          <w:szCs w:val="20"/>
        </w:rPr>
        <w:t xml:space="preserve">289 </w:t>
      </w:r>
      <w:r w:rsidRPr="00083EC3">
        <w:rPr>
          <w:rFonts w:ascii="Arial" w:hAnsi="Arial" w:cs="Arial"/>
          <w:sz w:val="20"/>
          <w:szCs w:val="20"/>
        </w:rPr>
        <w:t>de la Ley de Instituciones de Seguros y de Fianzas;</w:t>
      </w:r>
    </w:p>
    <w:p w14:paraId="6CCCFFE7" w14:textId="1E7E777D"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r w:rsidR="00017743">
        <w:rPr>
          <w:rFonts w:ascii="Arial" w:hAnsi="Arial" w:cs="Arial"/>
          <w:sz w:val="20"/>
          <w:szCs w:val="20"/>
        </w:rPr>
        <w:t>”</w:t>
      </w:r>
    </w:p>
    <w:p w14:paraId="0AD39436" w14:textId="77777777" w:rsidR="006E774B" w:rsidRDefault="006E774B" w:rsidP="006E774B">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p>
    <w:p w14:paraId="35B43114" w14:textId="77777777" w:rsidR="006E774B" w:rsidRPr="006E774B" w:rsidRDefault="006E774B" w:rsidP="006E774B">
      <w:pPr>
        <w:pStyle w:val="Textoindependiente"/>
        <w:tabs>
          <w:tab w:val="left" w:pos="4649"/>
          <w:tab w:val="left" w:pos="5971"/>
          <w:tab w:val="left" w:pos="6078"/>
          <w:tab w:val="left" w:pos="7236"/>
          <w:tab w:val="left" w:pos="8640"/>
        </w:tabs>
        <w:spacing w:before="120" w:after="120"/>
        <w:ind w:right="119"/>
        <w:jc w:val="center"/>
        <w:rPr>
          <w:rFonts w:ascii="Arial" w:hAnsi="Arial" w:cs="Arial"/>
          <w:b/>
          <w:bCs/>
          <w:sz w:val="20"/>
          <w:szCs w:val="20"/>
        </w:rPr>
      </w:pPr>
      <w:r w:rsidRPr="006E774B">
        <w:rPr>
          <w:rFonts w:ascii="Arial" w:hAnsi="Arial" w:cs="Arial"/>
          <w:b/>
          <w:bCs/>
          <w:sz w:val="20"/>
          <w:szCs w:val="20"/>
        </w:rPr>
        <w:t>ESPECIFICACIONES PÓLIZA DE RESPONSABILIDAD CIVIL</w:t>
      </w:r>
    </w:p>
    <w:p w14:paraId="5CCB92B2" w14:textId="77777777" w:rsidR="006E774B" w:rsidRPr="006E774B" w:rsidRDefault="006E774B" w:rsidP="006E774B">
      <w:pPr>
        <w:pStyle w:val="Textoindependiente"/>
        <w:tabs>
          <w:tab w:val="left" w:pos="4649"/>
          <w:tab w:val="left" w:pos="5971"/>
          <w:tab w:val="left" w:pos="6078"/>
          <w:tab w:val="left" w:pos="7236"/>
          <w:tab w:val="left" w:pos="8640"/>
        </w:tabs>
        <w:spacing w:before="120" w:after="120"/>
        <w:ind w:right="119"/>
        <w:jc w:val="both"/>
        <w:rPr>
          <w:rFonts w:ascii="Arial" w:hAnsi="Arial" w:cs="Arial"/>
          <w:b/>
          <w:sz w:val="20"/>
          <w:szCs w:val="20"/>
        </w:rPr>
      </w:pPr>
    </w:p>
    <w:p w14:paraId="08C7ACFB" w14:textId="5FF7F1D9" w:rsidR="006E774B" w:rsidRPr="006E774B" w:rsidRDefault="006E774B" w:rsidP="00EB3697">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 xml:space="preserve">La póliza de seguro de responsabilidad civil por daños a terceros, deberá ser exhibida dentro de los </w:t>
      </w:r>
      <w:r w:rsidR="00AD6F0E">
        <w:rPr>
          <w:rFonts w:ascii="Arial" w:hAnsi="Arial" w:cs="Arial"/>
          <w:sz w:val="20"/>
          <w:szCs w:val="20"/>
        </w:rPr>
        <w:t>quince</w:t>
      </w:r>
      <w:r w:rsidRPr="006E774B">
        <w:rPr>
          <w:rFonts w:ascii="Arial" w:hAnsi="Arial" w:cs="Arial"/>
          <w:sz w:val="20"/>
          <w:szCs w:val="20"/>
        </w:rPr>
        <w:t xml:space="preserve"> días hábiles siguientes a la fecha en que se firme el contrato respectivo y ser expedida a favor de la Suprema Corte de Justicia de la Nación por institución legalmente autorizada </w:t>
      </w:r>
      <w:r w:rsidRPr="006E774B">
        <w:rPr>
          <w:rFonts w:ascii="Arial" w:hAnsi="Arial" w:cs="Arial"/>
          <w:b/>
          <w:sz w:val="20"/>
          <w:szCs w:val="20"/>
          <w:u w:val="single"/>
        </w:rPr>
        <w:t>DE MODO INDIVIDUAL, NO GRUPAL O CON PLURALIDAD</w:t>
      </w:r>
      <w:r w:rsidRPr="006E774B">
        <w:rPr>
          <w:rFonts w:ascii="Arial" w:hAnsi="Arial" w:cs="Arial"/>
          <w:b/>
          <w:sz w:val="20"/>
          <w:szCs w:val="20"/>
        </w:rPr>
        <w:t xml:space="preserve"> </w:t>
      </w:r>
      <w:r w:rsidRPr="006E774B">
        <w:rPr>
          <w:rFonts w:ascii="Arial" w:hAnsi="Arial" w:cs="Arial"/>
          <w:b/>
          <w:sz w:val="20"/>
          <w:szCs w:val="20"/>
          <w:u w:val="single"/>
        </w:rPr>
        <w:t>DE SUJETOS</w:t>
      </w:r>
      <w:r w:rsidRPr="006E774B">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 en el entendido que cubrirá los riesgos 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 póliza.</w:t>
      </w:r>
    </w:p>
    <w:p w14:paraId="6F43C564" w14:textId="77777777" w:rsidR="006E774B" w:rsidRPr="006E774B" w:rsidRDefault="006E774B" w:rsidP="00EB3697">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 xml:space="preserve">La póliza de seguro que la aseguradora correspondiente emita </w:t>
      </w:r>
      <w:r w:rsidRPr="006E774B">
        <w:rPr>
          <w:rFonts w:ascii="Arial" w:hAnsi="Arial" w:cs="Arial"/>
          <w:sz w:val="20"/>
          <w:szCs w:val="20"/>
          <w:u w:val="single"/>
        </w:rPr>
        <w:t>deberá contener como mínimo las</w:t>
      </w:r>
      <w:r w:rsidRPr="006E774B">
        <w:rPr>
          <w:rFonts w:ascii="Arial" w:hAnsi="Arial" w:cs="Arial"/>
          <w:sz w:val="20"/>
          <w:szCs w:val="20"/>
        </w:rPr>
        <w:t xml:space="preserve"> </w:t>
      </w:r>
      <w:r w:rsidRPr="006E774B">
        <w:rPr>
          <w:rFonts w:ascii="Arial" w:hAnsi="Arial" w:cs="Arial"/>
          <w:sz w:val="20"/>
          <w:szCs w:val="20"/>
          <w:u w:val="single"/>
        </w:rPr>
        <w:t>siguientes especificaciones</w:t>
      </w:r>
      <w:r w:rsidRPr="006E774B">
        <w:rPr>
          <w:rFonts w:ascii="Arial" w:hAnsi="Arial" w:cs="Arial"/>
          <w:sz w:val="20"/>
          <w:szCs w:val="20"/>
        </w:rPr>
        <w:t>:</w:t>
      </w:r>
    </w:p>
    <w:p w14:paraId="15F86D9D" w14:textId="77777777" w:rsidR="006E774B" w:rsidRPr="006E774B" w:rsidRDefault="006E774B" w:rsidP="006E774B">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p>
    <w:p w14:paraId="7691E33E"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Vigencia;</w:t>
      </w:r>
    </w:p>
    <w:p w14:paraId="55C7BF1A"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Nombres de los contratantes;</w:t>
      </w:r>
    </w:p>
    <w:p w14:paraId="6AFB32C4"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rPr>
          <w:rFonts w:ascii="Arial" w:hAnsi="Arial" w:cs="Arial"/>
          <w:sz w:val="20"/>
          <w:szCs w:val="20"/>
          <w:lang w:val="es-ES"/>
        </w:rPr>
      </w:pPr>
      <w:r w:rsidRPr="006E774B">
        <w:rPr>
          <w:rFonts w:ascii="Arial" w:hAnsi="Arial" w:cs="Arial"/>
          <w:sz w:val="20"/>
          <w:szCs w:val="20"/>
          <w:lang w:val="es-ES"/>
        </w:rPr>
        <w:t>Que se expide a favor de la Suprema Corte de Justicia de la Nación con domicilio el ubicado en avenida José María Pino Suárez, número 2, colonia Centro, alcaldía Cuauhtémoc, código postal 06060, Ciudad de México;</w:t>
      </w:r>
    </w:p>
    <w:p w14:paraId="41D77FBD"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Domicilios de los contratantes y firma de la empresa aseguradora;</w:t>
      </w:r>
    </w:p>
    <w:p w14:paraId="034C5D4A"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rPr>
          <w:rFonts w:ascii="Arial" w:hAnsi="Arial" w:cs="Arial"/>
          <w:sz w:val="20"/>
          <w:szCs w:val="20"/>
          <w:lang w:val="es-ES"/>
        </w:rPr>
      </w:pPr>
      <w:r w:rsidRPr="006E774B">
        <w:rPr>
          <w:rFonts w:ascii="Arial" w:hAnsi="Arial" w:cs="Arial"/>
          <w:sz w:val="20"/>
          <w:szCs w:val="20"/>
          <w:lang w:val="es-ES"/>
        </w:rPr>
        <w:t>La especificación del instrumento contractual del cual deriva la póliza;</w:t>
      </w:r>
    </w:p>
    <w:p w14:paraId="23A39B61"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La designación de la cosa o de la persona asegurada;</w:t>
      </w:r>
    </w:p>
    <w:p w14:paraId="568C9442"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La naturaleza de los riesgos garantizados;</w:t>
      </w:r>
    </w:p>
    <w:p w14:paraId="6A208569"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6E774B">
        <w:rPr>
          <w:rFonts w:ascii="Arial" w:hAnsi="Arial" w:cs="Arial"/>
          <w:sz w:val="20"/>
          <w:szCs w:val="20"/>
        </w:rPr>
        <w:t>El momento a partir del cual se garantiza el riesgo y la vigencia de esta garantía, la cual deberá comprender toda la duración del contrato;</w:t>
      </w:r>
    </w:p>
    <w:p w14:paraId="7CAAFA63"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rPr>
          <w:rFonts w:ascii="Arial" w:hAnsi="Arial" w:cs="Arial"/>
          <w:sz w:val="20"/>
          <w:szCs w:val="20"/>
        </w:rPr>
      </w:pPr>
      <w:r w:rsidRPr="006E774B">
        <w:rPr>
          <w:rFonts w:ascii="Arial" w:hAnsi="Arial" w:cs="Arial"/>
          <w:sz w:val="20"/>
          <w:szCs w:val="20"/>
        </w:rPr>
        <w:t>El monto de la garantía y la cuota o prima del seguro en términos del artículo 20 de la Ley sobre el Contrato de Seguro, y</w:t>
      </w:r>
    </w:p>
    <w:p w14:paraId="4654A1B9" w14:textId="77777777" w:rsidR="006E774B" w:rsidRPr="006E774B" w:rsidRDefault="006E774B" w:rsidP="006E774B">
      <w:pPr>
        <w:pStyle w:val="Textoindependiente"/>
        <w:numPr>
          <w:ilvl w:val="0"/>
          <w:numId w:val="9"/>
        </w:numPr>
        <w:tabs>
          <w:tab w:val="left" w:pos="4649"/>
          <w:tab w:val="left" w:pos="5971"/>
          <w:tab w:val="left" w:pos="6078"/>
          <w:tab w:val="left" w:pos="7236"/>
          <w:tab w:val="left" w:pos="8640"/>
        </w:tabs>
        <w:spacing w:before="120" w:after="120"/>
        <w:ind w:right="119"/>
        <w:rPr>
          <w:rFonts w:ascii="Arial" w:hAnsi="Arial" w:cs="Arial"/>
          <w:sz w:val="20"/>
          <w:szCs w:val="20"/>
        </w:rPr>
      </w:pPr>
      <w:r w:rsidRPr="006E774B">
        <w:rPr>
          <w:rFonts w:ascii="Arial" w:hAnsi="Arial" w:cs="Arial"/>
          <w:sz w:val="20"/>
          <w:szCs w:val="20"/>
        </w:rPr>
        <w:t>La manifestación de que en términos del artículo 27, fracción VI, de la Ley de Instituciones de Seguros y de Fianzas, garantiza el pago de la indemnización que el asegurado deba a un tercero a consecuencia de un hecho que cause un daño previsto en el contrato de seguro o a la Suprema Corte de Justicia de la Nación por sí, o a través de su personal o del que haya contratado o subcontratado.</w:t>
      </w:r>
    </w:p>
    <w:p w14:paraId="37CD167E" w14:textId="77777777" w:rsidR="006E774B" w:rsidRPr="006E774B" w:rsidRDefault="006E774B" w:rsidP="006E774B">
      <w:pPr>
        <w:pStyle w:val="Textoindependiente"/>
        <w:tabs>
          <w:tab w:val="left" w:pos="4649"/>
          <w:tab w:val="left" w:pos="5971"/>
          <w:tab w:val="left" w:pos="6078"/>
          <w:tab w:val="left" w:pos="7236"/>
          <w:tab w:val="left" w:pos="8640"/>
        </w:tabs>
        <w:spacing w:before="120" w:after="120"/>
        <w:ind w:right="119"/>
        <w:jc w:val="both"/>
        <w:rPr>
          <w:rFonts w:ascii="Arial" w:hAnsi="Arial" w:cs="Arial"/>
          <w:sz w:val="20"/>
          <w:szCs w:val="20"/>
        </w:rPr>
      </w:pPr>
    </w:p>
    <w:p w14:paraId="2A64A19A" w14:textId="0292457F" w:rsidR="006B109D" w:rsidRPr="00423F29" w:rsidRDefault="006E774B" w:rsidP="00EB3697">
      <w:pPr>
        <w:pStyle w:val="Textoindependiente"/>
        <w:tabs>
          <w:tab w:val="left" w:pos="4649"/>
          <w:tab w:val="left" w:pos="5971"/>
          <w:tab w:val="left" w:pos="6078"/>
          <w:tab w:val="left" w:pos="7236"/>
          <w:tab w:val="left" w:pos="8640"/>
        </w:tabs>
        <w:spacing w:before="120" w:after="120"/>
        <w:jc w:val="both"/>
        <w:rPr>
          <w:rFonts w:ascii="Arial" w:hAnsi="Arial" w:cs="Arial"/>
          <w:sz w:val="20"/>
          <w:szCs w:val="20"/>
        </w:rPr>
      </w:pPr>
      <w:r w:rsidRPr="006E774B">
        <w:rPr>
          <w:rFonts w:ascii="Arial" w:hAnsi="Arial" w:cs="Arial"/>
          <w:sz w:val="20"/>
          <w:szCs w:val="20"/>
        </w:rPr>
        <w:lastRenderedPageBreak/>
        <w:t>Para efecto de la última especificación, deberá solicitar a la aseguradora inserte la siguiente leyenda: “</w:t>
      </w:r>
      <w:r w:rsidRPr="006E774B">
        <w:rPr>
          <w:rFonts w:ascii="Arial" w:hAnsi="Arial" w:cs="Arial"/>
          <w:sz w:val="20"/>
          <w:szCs w:val="20"/>
          <w:u w:val="single"/>
        </w:rPr>
        <w:t>(Nombre de la aseguradora) garantiza la responsabilidad civil de los empleados y trabajadores del</w:t>
      </w:r>
      <w:r w:rsidRPr="006E774B">
        <w:rPr>
          <w:rFonts w:ascii="Arial" w:hAnsi="Arial" w:cs="Arial"/>
          <w:sz w:val="20"/>
          <w:szCs w:val="20"/>
        </w:rPr>
        <w:t xml:space="preserve"> </w:t>
      </w:r>
      <w:r w:rsidRPr="006E774B">
        <w:rPr>
          <w:rFonts w:ascii="Arial" w:hAnsi="Arial" w:cs="Arial"/>
          <w:sz w:val="20"/>
          <w:szCs w:val="20"/>
          <w:u w:val="single"/>
        </w:rPr>
        <w:t>asegurado frente a terceros”.</w:t>
      </w:r>
      <w:r w:rsidRPr="006E774B">
        <w:rPr>
          <w:rFonts w:ascii="Arial" w:hAnsi="Arial" w:cs="Arial"/>
          <w:sz w:val="20"/>
          <w:szCs w:val="20"/>
        </w:rPr>
        <w:t xml:space="preserve"> </w:t>
      </w:r>
      <w:r w:rsidRPr="006E774B">
        <w:rPr>
          <w:rFonts w:ascii="Arial" w:hAnsi="Arial" w:cs="Arial"/>
          <w:b/>
          <w:i/>
          <w:sz w:val="20"/>
          <w:szCs w:val="20"/>
        </w:rPr>
        <w:t xml:space="preserve">ASIMISMO, DEBERÁ ANEXAR LAS ESPECIFICACIONES PARTICULARES Y GENERALES, </w:t>
      </w:r>
      <w:r w:rsidRPr="006E774B">
        <w:rPr>
          <w:rFonts w:ascii="Arial" w:hAnsi="Arial" w:cs="Arial"/>
          <w:sz w:val="20"/>
          <w:szCs w:val="20"/>
        </w:rPr>
        <w:t>ya que, sin ellas, la Dirección General de Asuntos Jurídicos de este Alto Tribunal no podrá emitir la opinión legal que corresponda.</w:t>
      </w:r>
    </w:p>
    <w:sectPr w:rsidR="006B109D" w:rsidRPr="00423F29" w:rsidSect="000C0026">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06113" w14:textId="77777777" w:rsidR="005C65F8" w:rsidRDefault="005C65F8" w:rsidP="007D40E9">
      <w:r>
        <w:separator/>
      </w:r>
    </w:p>
  </w:endnote>
  <w:endnote w:type="continuationSeparator" w:id="0">
    <w:p w14:paraId="4C9ED640" w14:textId="77777777" w:rsidR="005C65F8" w:rsidRDefault="005C65F8" w:rsidP="007D40E9">
      <w:r>
        <w:continuationSeparator/>
      </w:r>
    </w:p>
  </w:endnote>
  <w:endnote w:type="continuationNotice" w:id="1">
    <w:p w14:paraId="5EFBE827" w14:textId="77777777" w:rsidR="005C65F8" w:rsidRDefault="005C65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1D69FFD8" w:rsidR="00B050A7" w:rsidRPr="005A1E8B" w:rsidRDefault="00FF259C" w:rsidP="00B050A7">
    <w:pPr>
      <w:pStyle w:val="Piedepgina"/>
      <w:ind w:right="-552"/>
      <w:jc w:val="right"/>
      <w:rPr>
        <w:rFonts w:ascii="Arial" w:hAnsi="Arial" w:cs="Arial"/>
        <w:sz w:val="10"/>
        <w:szCs w:val="10"/>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w:t>
    </w:r>
    <w:r w:rsidR="00900BBD">
      <w:rPr>
        <w:rFonts w:ascii="Arial" w:hAnsi="Arial" w:cs="Arial"/>
        <w:sz w:val="10"/>
        <w:szCs w:val="10"/>
        <w:lang w:val="en-US"/>
      </w:rPr>
      <w:t>0</w:t>
    </w:r>
    <w:r w:rsidR="005F605C">
      <w:rPr>
        <w:rFonts w:ascii="Arial" w:hAnsi="Arial" w:cs="Arial"/>
        <w:sz w:val="10"/>
        <w:szCs w:val="10"/>
        <w:lang w:val="en-US"/>
      </w:rPr>
      <w:t>3</w:t>
    </w:r>
    <w:r>
      <w:rPr>
        <w:rFonts w:ascii="Arial" w:hAnsi="Arial" w:cs="Arial"/>
        <w:sz w:val="10"/>
        <w:szCs w:val="10"/>
        <w:lang w:val="en-US"/>
      </w:rPr>
      <w:t>/202</w:t>
    </w:r>
    <w:r w:rsidR="00900BBD">
      <w:rPr>
        <w:rFonts w:ascii="Arial" w:hAnsi="Arial" w:cs="Arial"/>
        <w:sz w:val="10"/>
        <w:szCs w:val="10"/>
        <w:lang w:val="en-US"/>
      </w:rPr>
      <w:t>5</w:t>
    </w:r>
    <w:r w:rsidR="00B050A7" w:rsidRPr="005A1E8B">
      <w:rPr>
        <w:rFonts w:ascii="Arial" w:hAnsi="Arial" w:cs="Arial"/>
        <w:sz w:val="10"/>
        <w:szCs w:val="10"/>
        <w:lang w:val="en-US"/>
      </w:rPr>
      <w:t xml:space="preserve"> ANEXO </w:t>
    </w:r>
    <w:r w:rsidR="00E06B21">
      <w:rPr>
        <w:rFonts w:ascii="Arial" w:hAnsi="Arial" w:cs="Arial"/>
        <w:sz w:val="10"/>
        <w:szCs w:val="10"/>
        <w:lang w:val="en-US"/>
      </w:rPr>
      <w:t>30</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6E000" w14:textId="77777777" w:rsidR="005C65F8" w:rsidRDefault="005C65F8" w:rsidP="007D40E9">
      <w:r>
        <w:separator/>
      </w:r>
    </w:p>
  </w:footnote>
  <w:footnote w:type="continuationSeparator" w:id="0">
    <w:p w14:paraId="71AE2024" w14:textId="77777777" w:rsidR="005C65F8" w:rsidRDefault="005C65F8" w:rsidP="007D40E9">
      <w:r>
        <w:continuationSeparator/>
      </w:r>
    </w:p>
  </w:footnote>
  <w:footnote w:type="continuationNotice" w:id="1">
    <w:p w14:paraId="5966808F" w14:textId="77777777" w:rsidR="005C65F8" w:rsidRDefault="005C65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B8A16" w14:textId="77777777" w:rsidR="00AB36EF" w:rsidRPr="00AB36EF" w:rsidRDefault="00AB36EF" w:rsidP="00AB36EF">
    <w:pPr>
      <w:ind w:right="17"/>
      <w:jc w:val="center"/>
      <w:rPr>
        <w:rFonts w:ascii="Arial Unicode MS" w:eastAsia="Arial Unicode MS" w:hAnsi="Arial Unicode MS" w:cs="Arial Unicode MS"/>
        <w:b/>
        <w:color w:val="7F7F7F" w:themeColor="text1" w:themeTint="80"/>
        <w:sz w:val="20"/>
        <w:szCs w:val="20"/>
        <w:lang w:val="pt-PT"/>
      </w:rPr>
    </w:pPr>
    <w:bookmarkStart w:id="0" w:name="_Hlk146292767"/>
    <w:bookmarkStart w:id="1" w:name="_Hlk146292768"/>
    <w:bookmarkStart w:id="2" w:name="_Hlk174120696"/>
    <w:bookmarkStart w:id="3" w:name="_Hlk174120697"/>
    <w:bookmarkStart w:id="4" w:name="_Hlk174120699"/>
    <w:bookmarkStart w:id="5" w:name="_Hlk174120700"/>
    <w:bookmarkStart w:id="6" w:name="_Hlk174120701"/>
    <w:bookmarkStart w:id="7" w:name="_Hlk174120702"/>
    <w:bookmarkStart w:id="8" w:name="_Hlk174120703"/>
    <w:bookmarkStart w:id="9" w:name="_Hlk174120704"/>
    <w:bookmarkStart w:id="10" w:name="_Hlk174120705"/>
    <w:bookmarkStart w:id="11" w:name="_Hlk174120706"/>
    <w:bookmarkStart w:id="12" w:name="_Hlk174120707"/>
    <w:bookmarkStart w:id="13" w:name="_Hlk174120708"/>
    <w:bookmarkStart w:id="14" w:name="_Hlk174120709"/>
    <w:bookmarkStart w:id="15" w:name="_Hlk174120710"/>
    <w:bookmarkStart w:id="16" w:name="_Hlk165651556"/>
    <w:bookmarkStart w:id="17" w:name="_Hlk165651557"/>
    <w:bookmarkStart w:id="18" w:name="_Hlk165651571"/>
    <w:bookmarkStart w:id="19" w:name="_Hlk165651572"/>
    <w:bookmarkStart w:id="20" w:name="_Hlk165651677"/>
    <w:r w:rsidRPr="00AB36EF">
      <w:rPr>
        <w:rFonts w:ascii="Arial Unicode MS" w:eastAsia="Arial Unicode MS" w:hAnsi="Arial Unicode MS" w:cs="Arial Unicode MS"/>
        <w:b/>
        <w:color w:val="7F7F7F" w:themeColor="text1" w:themeTint="80"/>
        <w:sz w:val="20"/>
        <w:szCs w:val="20"/>
        <w:lang w:val="pt-PT"/>
      </w:rPr>
      <w:t>CONCURSO PÚBLICO SUMARIO SCJN/CPS/DGIF-DACCI/003/2025</w:t>
    </w:r>
  </w:p>
  <w:p w14:paraId="02CC6213" w14:textId="4FD64E64" w:rsidR="005A537D" w:rsidRPr="005A537D" w:rsidRDefault="00AB36EF" w:rsidP="00AB36EF">
    <w:pPr>
      <w:ind w:right="17"/>
      <w:jc w:val="center"/>
      <w:rPr>
        <w:rFonts w:ascii="Arial Unicode MS" w:eastAsia="Arial Unicode MS" w:hAnsi="Arial Unicode MS" w:cs="Arial Unicode MS"/>
        <w:b/>
        <w:color w:val="7F7F7F" w:themeColor="text1" w:themeTint="80"/>
        <w:sz w:val="20"/>
        <w:szCs w:val="20"/>
        <w:lang w:val="pt-PT"/>
      </w:rPr>
    </w:pPr>
    <w:r w:rsidRPr="00AB36EF">
      <w:rPr>
        <w:rFonts w:ascii="Arial Unicode MS" w:eastAsia="Arial Unicode MS" w:hAnsi="Arial Unicode MS" w:cs="Arial Unicode MS"/>
        <w:b/>
        <w:color w:val="7F7F7F" w:themeColor="text1" w:themeTint="80"/>
        <w:sz w:val="20"/>
        <w:szCs w:val="20"/>
        <w:lang w:val="pt-PT"/>
      </w:rPr>
      <w:t>“REHABILITACIÓN DE ELEMENTOS ARQUITECTÓNICOS EN LA CASA DE LA CULTURA JURÍDICA EN MÉRIDA, YUCATÁN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005A537D" w:rsidRPr="005A537D">
      <w:rPr>
        <w:rFonts w:ascii="Arial Unicode MS" w:eastAsia="Arial Unicode MS" w:hAnsi="Arial Unicode MS" w:cs="Arial Unicode MS"/>
        <w:b/>
        <w:color w:val="7F7F7F" w:themeColor="text1" w:themeTint="80"/>
        <w:sz w:val="20"/>
        <w:szCs w:val="20"/>
        <w:lang w:val="pt-PT"/>
      </w:rPr>
      <w:t>”</w:t>
    </w:r>
    <w:bookmarkEnd w:id="16"/>
    <w:bookmarkEnd w:id="17"/>
    <w:bookmarkEnd w:id="18"/>
    <w:bookmarkEnd w:id="19"/>
    <w:bookmarkEnd w:id="20"/>
  </w:p>
  <w:p w14:paraId="77B05FF3" w14:textId="3A09EFA1" w:rsidR="00F97A84" w:rsidRPr="002A6C64" w:rsidRDefault="00F97A84" w:rsidP="005A537D">
    <w:pPr>
      <w:ind w:right="17"/>
      <w:rPr>
        <w:rFonts w:ascii="Arial Unicode MS" w:eastAsia="Arial Unicode MS" w:hAnsi="Arial Unicode MS" w:cs="Arial Unicode MS"/>
        <w:b/>
        <w:color w:val="7F7F7F" w:themeColor="text1" w:themeTint="80"/>
        <w:sz w:val="20"/>
        <w:szCs w:val="20"/>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 w:numId="9" w16cid:durableId="3341126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211FC"/>
    <w:rsid w:val="00034DDE"/>
    <w:rsid w:val="0004559A"/>
    <w:rsid w:val="00064175"/>
    <w:rsid w:val="00065E42"/>
    <w:rsid w:val="000733EC"/>
    <w:rsid w:val="00081211"/>
    <w:rsid w:val="00083EC3"/>
    <w:rsid w:val="000A16ED"/>
    <w:rsid w:val="000C0026"/>
    <w:rsid w:val="000C654D"/>
    <w:rsid w:val="000F34B4"/>
    <w:rsid w:val="00103B36"/>
    <w:rsid w:val="00120753"/>
    <w:rsid w:val="00135477"/>
    <w:rsid w:val="00146EAD"/>
    <w:rsid w:val="00165AAE"/>
    <w:rsid w:val="00174C0C"/>
    <w:rsid w:val="00175289"/>
    <w:rsid w:val="001851AF"/>
    <w:rsid w:val="00185B26"/>
    <w:rsid w:val="001A00B6"/>
    <w:rsid w:val="001A04C1"/>
    <w:rsid w:val="001A0CFE"/>
    <w:rsid w:val="001D2398"/>
    <w:rsid w:val="001D47F9"/>
    <w:rsid w:val="00243F2E"/>
    <w:rsid w:val="00251425"/>
    <w:rsid w:val="002548B6"/>
    <w:rsid w:val="002677E5"/>
    <w:rsid w:val="002941A7"/>
    <w:rsid w:val="00294C57"/>
    <w:rsid w:val="002A0B93"/>
    <w:rsid w:val="002A6C64"/>
    <w:rsid w:val="002B0B93"/>
    <w:rsid w:val="002B7150"/>
    <w:rsid w:val="002B7B3B"/>
    <w:rsid w:val="002C0942"/>
    <w:rsid w:val="002C1219"/>
    <w:rsid w:val="002C1969"/>
    <w:rsid w:val="002D4EC7"/>
    <w:rsid w:val="002E1E0A"/>
    <w:rsid w:val="002E38BB"/>
    <w:rsid w:val="002E5B0B"/>
    <w:rsid w:val="003163A4"/>
    <w:rsid w:val="00350666"/>
    <w:rsid w:val="00351123"/>
    <w:rsid w:val="00366A14"/>
    <w:rsid w:val="00381BEB"/>
    <w:rsid w:val="00382AC3"/>
    <w:rsid w:val="00394A24"/>
    <w:rsid w:val="003A37F7"/>
    <w:rsid w:val="003B1713"/>
    <w:rsid w:val="003C5B7C"/>
    <w:rsid w:val="003F601C"/>
    <w:rsid w:val="00412852"/>
    <w:rsid w:val="00416E39"/>
    <w:rsid w:val="00417740"/>
    <w:rsid w:val="00422622"/>
    <w:rsid w:val="00423F29"/>
    <w:rsid w:val="004352B7"/>
    <w:rsid w:val="00436D53"/>
    <w:rsid w:val="00437CA6"/>
    <w:rsid w:val="00446741"/>
    <w:rsid w:val="004523F0"/>
    <w:rsid w:val="00485E39"/>
    <w:rsid w:val="00491E12"/>
    <w:rsid w:val="00493EC6"/>
    <w:rsid w:val="004B490E"/>
    <w:rsid w:val="004C5238"/>
    <w:rsid w:val="004D19CB"/>
    <w:rsid w:val="004E150C"/>
    <w:rsid w:val="004F3306"/>
    <w:rsid w:val="00537360"/>
    <w:rsid w:val="00540590"/>
    <w:rsid w:val="005564F6"/>
    <w:rsid w:val="00556767"/>
    <w:rsid w:val="00567CA6"/>
    <w:rsid w:val="00597600"/>
    <w:rsid w:val="005A01D2"/>
    <w:rsid w:val="005A1E8B"/>
    <w:rsid w:val="005A537D"/>
    <w:rsid w:val="005B37FB"/>
    <w:rsid w:val="005C65F8"/>
    <w:rsid w:val="005D03A6"/>
    <w:rsid w:val="005D200B"/>
    <w:rsid w:val="005E60B5"/>
    <w:rsid w:val="005F0D80"/>
    <w:rsid w:val="005F605C"/>
    <w:rsid w:val="00600602"/>
    <w:rsid w:val="00650973"/>
    <w:rsid w:val="0065310B"/>
    <w:rsid w:val="00662C48"/>
    <w:rsid w:val="00687F38"/>
    <w:rsid w:val="00694E27"/>
    <w:rsid w:val="006A05CF"/>
    <w:rsid w:val="006A73E0"/>
    <w:rsid w:val="006B109D"/>
    <w:rsid w:val="006C5F02"/>
    <w:rsid w:val="006D58CB"/>
    <w:rsid w:val="006E1078"/>
    <w:rsid w:val="006E774B"/>
    <w:rsid w:val="00701D42"/>
    <w:rsid w:val="00713BF2"/>
    <w:rsid w:val="00720F67"/>
    <w:rsid w:val="00723AB8"/>
    <w:rsid w:val="0073055F"/>
    <w:rsid w:val="00730773"/>
    <w:rsid w:val="00741548"/>
    <w:rsid w:val="00746BE2"/>
    <w:rsid w:val="00786599"/>
    <w:rsid w:val="00793500"/>
    <w:rsid w:val="007A7D18"/>
    <w:rsid w:val="007A7D78"/>
    <w:rsid w:val="007B4F62"/>
    <w:rsid w:val="007B7B21"/>
    <w:rsid w:val="007D40E9"/>
    <w:rsid w:val="007D5E05"/>
    <w:rsid w:val="007E4F3C"/>
    <w:rsid w:val="007F2544"/>
    <w:rsid w:val="00800C5A"/>
    <w:rsid w:val="00802710"/>
    <w:rsid w:val="00825FE2"/>
    <w:rsid w:val="00837ED3"/>
    <w:rsid w:val="00851D2C"/>
    <w:rsid w:val="008651B6"/>
    <w:rsid w:val="00866C90"/>
    <w:rsid w:val="008929F7"/>
    <w:rsid w:val="008945E7"/>
    <w:rsid w:val="008A1366"/>
    <w:rsid w:val="008A1EEE"/>
    <w:rsid w:val="008A5D05"/>
    <w:rsid w:val="008C3493"/>
    <w:rsid w:val="008C426A"/>
    <w:rsid w:val="008F2820"/>
    <w:rsid w:val="008F7CDB"/>
    <w:rsid w:val="00900BBD"/>
    <w:rsid w:val="00901B63"/>
    <w:rsid w:val="0090425A"/>
    <w:rsid w:val="00933DA2"/>
    <w:rsid w:val="009535A3"/>
    <w:rsid w:val="00954A59"/>
    <w:rsid w:val="009604D5"/>
    <w:rsid w:val="00964C42"/>
    <w:rsid w:val="0096623E"/>
    <w:rsid w:val="00967E50"/>
    <w:rsid w:val="00974CBA"/>
    <w:rsid w:val="009A2793"/>
    <w:rsid w:val="009A38EF"/>
    <w:rsid w:val="009A4BB7"/>
    <w:rsid w:val="009B7437"/>
    <w:rsid w:val="009C7071"/>
    <w:rsid w:val="009D0461"/>
    <w:rsid w:val="009E29D7"/>
    <w:rsid w:val="009E3616"/>
    <w:rsid w:val="009E61C6"/>
    <w:rsid w:val="00A0125D"/>
    <w:rsid w:val="00A04822"/>
    <w:rsid w:val="00A11C2C"/>
    <w:rsid w:val="00A1283F"/>
    <w:rsid w:val="00A16383"/>
    <w:rsid w:val="00A22A8F"/>
    <w:rsid w:val="00A3671A"/>
    <w:rsid w:val="00A637D8"/>
    <w:rsid w:val="00AA3012"/>
    <w:rsid w:val="00AA3EA4"/>
    <w:rsid w:val="00AA5377"/>
    <w:rsid w:val="00AB0C6F"/>
    <w:rsid w:val="00AB36EF"/>
    <w:rsid w:val="00AC060F"/>
    <w:rsid w:val="00AD26AD"/>
    <w:rsid w:val="00AD6F0E"/>
    <w:rsid w:val="00AD6FE0"/>
    <w:rsid w:val="00AE0B58"/>
    <w:rsid w:val="00B050A7"/>
    <w:rsid w:val="00B145FC"/>
    <w:rsid w:val="00B147D5"/>
    <w:rsid w:val="00B201EE"/>
    <w:rsid w:val="00B2533F"/>
    <w:rsid w:val="00B45DF1"/>
    <w:rsid w:val="00B75E58"/>
    <w:rsid w:val="00B85BF5"/>
    <w:rsid w:val="00B879C3"/>
    <w:rsid w:val="00BB0FA1"/>
    <w:rsid w:val="00BC5A67"/>
    <w:rsid w:val="00C04850"/>
    <w:rsid w:val="00C05F6C"/>
    <w:rsid w:val="00C118FD"/>
    <w:rsid w:val="00C13E96"/>
    <w:rsid w:val="00C21274"/>
    <w:rsid w:val="00C33C89"/>
    <w:rsid w:val="00C42331"/>
    <w:rsid w:val="00C468F0"/>
    <w:rsid w:val="00C47403"/>
    <w:rsid w:val="00C80EA5"/>
    <w:rsid w:val="00C9281B"/>
    <w:rsid w:val="00C93100"/>
    <w:rsid w:val="00CA5274"/>
    <w:rsid w:val="00CC09CA"/>
    <w:rsid w:val="00CC5BDC"/>
    <w:rsid w:val="00CC7AAB"/>
    <w:rsid w:val="00CE5A90"/>
    <w:rsid w:val="00CF396E"/>
    <w:rsid w:val="00D001EF"/>
    <w:rsid w:val="00D03808"/>
    <w:rsid w:val="00D21D72"/>
    <w:rsid w:val="00D24DEE"/>
    <w:rsid w:val="00D2761F"/>
    <w:rsid w:val="00D42F7F"/>
    <w:rsid w:val="00D43D95"/>
    <w:rsid w:val="00D52831"/>
    <w:rsid w:val="00D667A3"/>
    <w:rsid w:val="00D727A4"/>
    <w:rsid w:val="00D75E55"/>
    <w:rsid w:val="00D86CC7"/>
    <w:rsid w:val="00DA3060"/>
    <w:rsid w:val="00DD5DA9"/>
    <w:rsid w:val="00DE1AD3"/>
    <w:rsid w:val="00DE2ED2"/>
    <w:rsid w:val="00DF4124"/>
    <w:rsid w:val="00DF7E85"/>
    <w:rsid w:val="00E06B21"/>
    <w:rsid w:val="00E21338"/>
    <w:rsid w:val="00E30E1D"/>
    <w:rsid w:val="00E76237"/>
    <w:rsid w:val="00E7785F"/>
    <w:rsid w:val="00E81286"/>
    <w:rsid w:val="00E82361"/>
    <w:rsid w:val="00EB3697"/>
    <w:rsid w:val="00ED2907"/>
    <w:rsid w:val="00ED61AF"/>
    <w:rsid w:val="00EE066A"/>
    <w:rsid w:val="00EE1D53"/>
    <w:rsid w:val="00EE5F1A"/>
    <w:rsid w:val="00EE64BD"/>
    <w:rsid w:val="00EF1CB7"/>
    <w:rsid w:val="00F01542"/>
    <w:rsid w:val="00F03178"/>
    <w:rsid w:val="00F656DB"/>
    <w:rsid w:val="00F7615E"/>
    <w:rsid w:val="00F771B3"/>
    <w:rsid w:val="00F87A0D"/>
    <w:rsid w:val="00F97A84"/>
    <w:rsid w:val="00FB06BA"/>
    <w:rsid w:val="00FD6010"/>
    <w:rsid w:val="00FD63EB"/>
    <w:rsid w:val="00FE45ED"/>
    <w:rsid w:val="00FF25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38510346">
      <w:bodyDiv w:val="1"/>
      <w:marLeft w:val="0"/>
      <w:marRight w:val="0"/>
      <w:marTop w:val="0"/>
      <w:marBottom w:val="0"/>
      <w:divBdr>
        <w:top w:val="none" w:sz="0" w:space="0" w:color="auto"/>
        <w:left w:val="none" w:sz="0" w:space="0" w:color="auto"/>
        <w:bottom w:val="none" w:sz="0" w:space="0" w:color="auto"/>
        <w:right w:val="none" w:sz="0" w:space="0" w:color="auto"/>
      </w:divBdr>
    </w:div>
    <w:div w:id="564880249">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1818</Words>
  <Characters>10005</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14</cp:revision>
  <dcterms:created xsi:type="dcterms:W3CDTF">2025-02-27T20:47:00Z</dcterms:created>
  <dcterms:modified xsi:type="dcterms:W3CDTF">2025-02-28T18:40:00Z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