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A321" w14:textId="570C984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0623B7">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1644F37F" w14:textId="6A954869" w:rsidR="00931D93" w:rsidRDefault="00931D93" w:rsidP="00931D93">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 xml:space="preserve">En términos de lo establecido en el </w:t>
      </w:r>
      <w:r w:rsidRPr="00B77A0C">
        <w:rPr>
          <w:rFonts w:ascii="Arial" w:eastAsia="Times New Roman" w:hAnsi="Arial" w:cs="Arial"/>
          <w:sz w:val="20"/>
          <w:szCs w:val="20"/>
          <w:shd w:val="clear" w:color="auto" w:fill="FFFFFF" w:themeFill="background1"/>
        </w:rPr>
        <w:t xml:space="preserve"> artículo 65, fracción XXVI, de la Ley General de Transparencia y Acceso a la Información Pública</w:t>
      </w:r>
      <w:r w:rsidRPr="004E7F63">
        <w:rPr>
          <w:rFonts w:ascii="Arial" w:eastAsia="Times New Roman" w:hAnsi="Arial" w:cs="Arial"/>
          <w:sz w:val="20"/>
          <w:szCs w:val="20"/>
        </w:rPr>
        <w:t xml:space="preserve">, la Suprema Corte de Justicia de la Nación tiene la obligación de hacer pública la información correspondiente al nombre de la(s) persona(s) beneficiaria(s) final(es) del acto jurídico cuando estos sean celebrados con personas morales. </w:t>
      </w:r>
    </w:p>
    <w:p w14:paraId="6E3E0562" w14:textId="77777777" w:rsidR="00931D93" w:rsidRPr="001835F2" w:rsidRDefault="00931D93" w:rsidP="00931D93">
      <w:pPr>
        <w:spacing w:after="0" w:line="240" w:lineRule="auto"/>
        <w:ind w:right="140"/>
        <w:jc w:val="both"/>
        <w:rPr>
          <w:rFonts w:ascii="Arial" w:eastAsia="Times New Roman" w:hAnsi="Arial" w:cs="Times New Roman"/>
          <w:sz w:val="20"/>
          <w:szCs w:val="20"/>
          <w:lang w:eastAsia="es-ES"/>
        </w:rPr>
      </w:pPr>
      <w:r w:rsidRPr="001835F2">
        <w:rPr>
          <w:rFonts w:ascii="Arial" w:eastAsia="Times New Roman" w:hAnsi="Arial" w:cs="Times New Roman"/>
          <w:sz w:val="20"/>
          <w:szCs w:val="20"/>
          <w:lang w:eastAsia="es-ES"/>
        </w:rPr>
        <w:t>En ese entendido, en la fracción II, del Anexo del Acuerdo ACT-PUB/31/08/2022.07, del Consejo General del Instituto Nacional de Transparencia y Acceso a la Información Pública define como persona beneficiaria final:</w:t>
      </w:r>
    </w:p>
    <w:p w14:paraId="5C616DEC" w14:textId="77777777" w:rsidR="00931D93" w:rsidRPr="001835F2" w:rsidRDefault="00931D93" w:rsidP="00931D93">
      <w:pPr>
        <w:spacing w:after="0" w:line="240" w:lineRule="auto"/>
        <w:ind w:left="567" w:right="140" w:hanging="283"/>
        <w:jc w:val="both"/>
        <w:rPr>
          <w:rFonts w:ascii="Arial" w:eastAsia="Times New Roman" w:hAnsi="Arial" w:cs="Arial"/>
          <w:sz w:val="20"/>
          <w:szCs w:val="20"/>
        </w:rPr>
      </w:pPr>
    </w:p>
    <w:p w14:paraId="20C2D12D"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6CDF680A" w14:textId="77777777" w:rsidR="00931D93" w:rsidRPr="001835F2" w:rsidRDefault="00931D93" w:rsidP="00931D93">
      <w:pPr>
        <w:spacing w:after="0" w:line="240" w:lineRule="auto"/>
        <w:ind w:left="567" w:right="140" w:hanging="283"/>
        <w:jc w:val="both"/>
        <w:rPr>
          <w:rFonts w:ascii="Arial" w:eastAsia="Times New Roman" w:hAnsi="Arial" w:cs="Arial"/>
          <w:i/>
          <w:iCs/>
          <w:sz w:val="20"/>
          <w:szCs w:val="20"/>
        </w:rPr>
      </w:pPr>
    </w:p>
    <w:p w14:paraId="51A7266B"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efecto de precisar lo anterior, a manera de ejemplo, una persona beneficiaria final actualiza los siguientes supuestos:</w:t>
      </w:r>
    </w:p>
    <w:p w14:paraId="1479A82C"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1. Que obtenga los beneficios. </w:t>
      </w:r>
    </w:p>
    <w:p w14:paraId="1A355689"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2. Que controle la capacidad de una persona o grupo de personas, de llevar a cabo cualquiera de los actos siguientes: </w:t>
      </w:r>
    </w:p>
    <w:p w14:paraId="0B45823D"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Imponer, directa o indirectamente, decisiones en las asambleas generales de accionistas, de socios u órganos equivalentes, o nombrar o destituir a la mayoría de los consejeros, administradores o sus equivalentes, de una persona moral.</w:t>
      </w:r>
    </w:p>
    <w:p w14:paraId="04A2280B"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b) Mantener la titularidad de derechos que permitan, directa o indirectamente, ejercer el voto respecto de más del 50% del capital social de una persona moral.</w:t>
      </w:r>
    </w:p>
    <w:p w14:paraId="5BE6E538"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c) Dirigir, directa o indirectamente, la administración, la estrategia o las principales políticas de una persona moral.</w:t>
      </w:r>
    </w:p>
    <w:p w14:paraId="43F46A2A"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3. Que adquiera, directa o indirectamente, el 25% o más de la composición accionaria o del capital social de una persona moral. </w:t>
      </w:r>
    </w:p>
    <w:p w14:paraId="1299986A"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4. Que sea el beneficiario final de una persona moral, al ejercer los derechos de uso, goce, disfrute, aprovechamiento o disposición de un bien o servicio de una persona moral.”</w:t>
      </w:r>
    </w:p>
    <w:p w14:paraId="2978D51A" w14:textId="77777777" w:rsidR="00931D93" w:rsidRPr="001835F2" w:rsidRDefault="00931D93" w:rsidP="00931D93">
      <w:pPr>
        <w:jc w:val="both"/>
        <w:rPr>
          <w:rFonts w:ascii="Arial" w:eastAsia="Times New Roman" w:hAnsi="Arial" w:cs="Arial"/>
          <w:sz w:val="20"/>
          <w:szCs w:val="20"/>
        </w:rPr>
      </w:pPr>
    </w:p>
    <w:p w14:paraId="1B9421EF" w14:textId="77777777" w:rsidR="00931D93" w:rsidRPr="001835F2" w:rsidRDefault="00931D93" w:rsidP="00931D93">
      <w:pPr>
        <w:spacing w:after="160" w:line="259" w:lineRule="auto"/>
        <w:rPr>
          <w:rFonts w:ascii="Arial" w:eastAsia="Times New Roman" w:hAnsi="Arial" w:cs="Times New Roman"/>
          <w:b/>
          <w:bCs/>
          <w:snapToGrid w:val="0"/>
          <w:sz w:val="20"/>
          <w:szCs w:val="20"/>
          <w:lang w:eastAsia="es-ES"/>
        </w:rPr>
      </w:pPr>
    </w:p>
    <w:p w14:paraId="1CE69F59" w14:textId="77777777" w:rsidR="00931D93" w:rsidRPr="001835F2" w:rsidRDefault="00931D93" w:rsidP="00931D93">
      <w:pPr>
        <w:spacing w:after="0" w:line="240" w:lineRule="auto"/>
        <w:jc w:val="center"/>
        <w:rPr>
          <w:rFonts w:ascii="Arial" w:eastAsia="Times New Roman" w:hAnsi="Arial" w:cs="Times New Roman"/>
          <w:b/>
          <w:bCs/>
          <w:snapToGrid w:val="0"/>
          <w:sz w:val="20"/>
          <w:szCs w:val="20"/>
          <w:lang w:val="es-ES_tradnl" w:eastAsia="es-ES"/>
        </w:rPr>
      </w:pPr>
    </w:p>
    <w:p w14:paraId="567BE4C9" w14:textId="77777777" w:rsidR="00931D93" w:rsidRPr="00DC4B08" w:rsidRDefault="00931D93" w:rsidP="00931D93">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931D93">
      <w:pPr>
        <w:jc w:val="both"/>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9BFF5" w14:textId="77777777" w:rsidR="00B24BEB" w:rsidRDefault="00B24BEB" w:rsidP="001D6CDD">
      <w:pPr>
        <w:spacing w:after="0" w:line="240" w:lineRule="auto"/>
      </w:pPr>
      <w:r>
        <w:separator/>
      </w:r>
    </w:p>
  </w:endnote>
  <w:endnote w:type="continuationSeparator" w:id="0">
    <w:p w14:paraId="35092F96" w14:textId="77777777" w:rsidR="00B24BEB" w:rsidRDefault="00B24BEB"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8A297" w14:textId="77777777" w:rsidR="005B6C93" w:rsidRDefault="005B6C9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0CEA095B" w:rsidR="001D6CDD" w:rsidRPr="00F11C5A" w:rsidRDefault="00F11C5A" w:rsidP="000623B7">
    <w:pPr>
      <w:pStyle w:val="Piedepgina"/>
      <w:ind w:right="-426"/>
      <w:jc w:val="right"/>
      <w:rPr>
        <w:lang w:val="en-US"/>
      </w:rPr>
    </w:pPr>
    <w:r>
      <w:rPr>
        <w:rFonts w:ascii="Arial" w:hAnsi="Arial" w:cs="Arial"/>
        <w:sz w:val="10"/>
        <w:szCs w:val="10"/>
        <w:lang w:val="en-US"/>
      </w:rPr>
      <w:t>SCJN/C</w:t>
    </w:r>
    <w:r w:rsidR="000D48F2">
      <w:rPr>
        <w:rFonts w:ascii="Arial" w:hAnsi="Arial" w:cs="Arial"/>
        <w:sz w:val="10"/>
        <w:szCs w:val="10"/>
        <w:lang w:val="en-US"/>
      </w:rPr>
      <w:t>I</w:t>
    </w:r>
    <w:r>
      <w:rPr>
        <w:rFonts w:ascii="Arial" w:hAnsi="Arial" w:cs="Arial"/>
        <w:sz w:val="10"/>
        <w:szCs w:val="10"/>
        <w:lang w:val="en-US"/>
      </w:rPr>
      <w:t>P/DGIF-DACCI/0</w:t>
    </w:r>
    <w:r w:rsidR="006163CD">
      <w:rPr>
        <w:rFonts w:ascii="Arial" w:hAnsi="Arial" w:cs="Arial"/>
        <w:sz w:val="10"/>
        <w:szCs w:val="10"/>
        <w:lang w:val="en-US"/>
      </w:rPr>
      <w:t>09</w:t>
    </w:r>
    <w:r>
      <w:rPr>
        <w:rFonts w:ascii="Arial" w:hAnsi="Arial" w:cs="Arial"/>
        <w:sz w:val="10"/>
        <w:szCs w:val="10"/>
        <w:lang w:val="en-US"/>
      </w:rPr>
      <w:t>/202</w:t>
    </w:r>
    <w:r w:rsidR="004C4BE2">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0623B7">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4FE8B" w14:textId="77777777" w:rsidR="005B6C93" w:rsidRDefault="005B6C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8473A" w14:textId="77777777" w:rsidR="00B24BEB" w:rsidRDefault="00B24BEB" w:rsidP="001D6CDD">
      <w:pPr>
        <w:spacing w:after="0" w:line="240" w:lineRule="auto"/>
      </w:pPr>
      <w:r>
        <w:separator/>
      </w:r>
    </w:p>
  </w:footnote>
  <w:footnote w:type="continuationSeparator" w:id="0">
    <w:p w14:paraId="7FC1D55A" w14:textId="77777777" w:rsidR="00B24BEB" w:rsidRDefault="00B24BEB"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7DEEC" w14:textId="77777777" w:rsidR="005B6C93" w:rsidRDefault="005B6C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AE2AE" w14:textId="77777777" w:rsidR="006163CD" w:rsidRPr="007842B0" w:rsidRDefault="006163CD" w:rsidP="006163CD">
    <w:pPr>
      <w:spacing w:after="0"/>
      <w:ind w:right="17"/>
      <w:jc w:val="center"/>
      <w:rPr>
        <w:rFonts w:ascii="Arial Unicode MS" w:eastAsia="Arial Unicode MS" w:hAnsi="Arial Unicode MS" w:cs="Arial Unicode MS"/>
        <w:b/>
        <w:color w:val="7F7F7F" w:themeColor="text1" w:themeTint="80"/>
        <w:sz w:val="20"/>
        <w:szCs w:val="20"/>
        <w:lang w:val="pt-PT"/>
      </w:rPr>
    </w:pPr>
    <w:r w:rsidRPr="007842B0">
      <w:rPr>
        <w:rFonts w:ascii="Arial Unicode MS" w:eastAsia="Arial Unicode MS" w:hAnsi="Arial Unicode MS" w:cs="Arial Unicode MS"/>
        <w:b/>
        <w:color w:val="7F7F7F" w:themeColor="text1" w:themeTint="80"/>
        <w:sz w:val="20"/>
        <w:szCs w:val="20"/>
        <w:lang w:val="pt-PT"/>
      </w:rPr>
      <w:t>CONCURSO PÚBLICO SUMARIO SCJN/CPS/DGIF-DACCI/</w:t>
    </w:r>
    <w:r w:rsidRPr="007842B0">
      <w:rPr>
        <w:rFonts w:ascii="Arial Unicode MS" w:eastAsia="Arial Unicode MS" w:hAnsi="Arial Unicode MS" w:cs="Arial Unicode MS"/>
        <w:b/>
        <w:color w:val="7F7F7F" w:themeColor="text1" w:themeTint="80"/>
        <w:lang w:val="pt-PT"/>
      </w:rPr>
      <w:t>009</w:t>
    </w:r>
    <w:r w:rsidRPr="007842B0">
      <w:rPr>
        <w:rFonts w:ascii="Arial Unicode MS" w:eastAsia="Arial Unicode MS" w:hAnsi="Arial Unicode MS" w:cs="Arial Unicode MS"/>
        <w:b/>
        <w:color w:val="7F7F7F" w:themeColor="text1" w:themeTint="80"/>
        <w:sz w:val="20"/>
        <w:szCs w:val="20"/>
        <w:lang w:val="pt-PT"/>
      </w:rPr>
      <w:t>/</w:t>
    </w:r>
    <w:r w:rsidRPr="007842B0">
      <w:rPr>
        <w:rFonts w:ascii="Arial Unicode MS" w:eastAsia="Arial Unicode MS" w:hAnsi="Arial Unicode MS" w:cs="Arial Unicode MS"/>
        <w:b/>
        <w:color w:val="7F7F7F" w:themeColor="text1" w:themeTint="80"/>
        <w:lang w:val="pt-PT"/>
      </w:rPr>
      <w:t>2025</w:t>
    </w:r>
  </w:p>
  <w:p w14:paraId="6546E27C" w14:textId="029D81D7" w:rsidR="006163CD" w:rsidRDefault="006163CD" w:rsidP="006163CD">
    <w:pPr>
      <w:pStyle w:val="Encabezado"/>
      <w:tabs>
        <w:tab w:val="center" w:pos="2552"/>
      </w:tabs>
      <w:jc w:val="center"/>
      <w:rPr>
        <w:rFonts w:ascii="Arial Unicode MS" w:eastAsia="Arial Unicode MS" w:hAnsi="Arial Unicode MS" w:cs="Arial Unicode MS"/>
        <w:b/>
        <w:caps/>
        <w:color w:val="7F7F7F" w:themeColor="text1" w:themeTint="80"/>
        <w:sz w:val="20"/>
        <w:szCs w:val="20"/>
      </w:rPr>
    </w:pPr>
    <w:r w:rsidRPr="002E3EF7">
      <w:rPr>
        <w:rFonts w:ascii="Arial Unicode MS" w:eastAsia="Arial Unicode MS" w:hAnsi="Arial Unicode MS" w:cs="Arial Unicode MS"/>
        <w:b/>
        <w:caps/>
        <w:color w:val="7F7F7F" w:themeColor="text1" w:themeTint="80"/>
        <w:sz w:val="20"/>
        <w:szCs w:val="20"/>
      </w:rPr>
      <w:t xml:space="preserve"> </w:t>
    </w:r>
    <w:r w:rsidR="005B6C93">
      <w:rPr>
        <w:rFonts w:ascii="Arial Unicode MS" w:eastAsia="Arial Unicode MS" w:hAnsi="Arial Unicode MS" w:cs="Arial Unicode MS"/>
        <w:b/>
        <w:caps/>
        <w:color w:val="7F7F7F" w:themeColor="text1" w:themeTint="80"/>
        <w:sz w:val="20"/>
        <w:szCs w:val="20"/>
      </w:rPr>
      <w:t>“</w:t>
    </w:r>
    <w:r w:rsidRPr="002E3EF7">
      <w:rPr>
        <w:rFonts w:ascii="Arial Unicode MS" w:eastAsia="Arial Unicode MS" w:hAnsi="Arial Unicode MS" w:cs="Arial Unicode MS"/>
        <w:b/>
        <w:caps/>
        <w:color w:val="7F7F7F" w:themeColor="text1" w:themeTint="80"/>
        <w:sz w:val="20"/>
        <w:szCs w:val="20"/>
      </w:rPr>
      <w:t>Director</w:t>
    </w:r>
    <w:r w:rsidR="005B6C93">
      <w:rPr>
        <w:rFonts w:ascii="Arial Unicode MS" w:eastAsia="Arial Unicode MS" w:hAnsi="Arial Unicode MS" w:cs="Arial Unicode MS"/>
        <w:b/>
        <w:caps/>
        <w:color w:val="7F7F7F" w:themeColor="text1" w:themeTint="80"/>
        <w:sz w:val="20"/>
        <w:szCs w:val="20"/>
      </w:rPr>
      <w:t xml:space="preserve"> </w:t>
    </w:r>
    <w:r w:rsidR="009009A2">
      <w:rPr>
        <w:rFonts w:ascii="Arial Unicode MS" w:eastAsia="Arial Unicode MS" w:hAnsi="Arial Unicode MS" w:cs="Arial Unicode MS"/>
        <w:b/>
        <w:caps/>
        <w:color w:val="7F7F7F" w:themeColor="text1" w:themeTint="80"/>
        <w:sz w:val="20"/>
        <w:szCs w:val="20"/>
      </w:rPr>
      <w:t>(A)</w:t>
    </w:r>
    <w:r w:rsidRPr="002E3EF7">
      <w:rPr>
        <w:rFonts w:ascii="Arial Unicode MS" w:eastAsia="Arial Unicode MS" w:hAnsi="Arial Unicode MS" w:cs="Arial Unicode MS"/>
        <w:b/>
        <w:caps/>
        <w:color w:val="7F7F7F" w:themeColor="text1" w:themeTint="80"/>
        <w:sz w:val="20"/>
        <w:szCs w:val="20"/>
      </w:rPr>
      <w:t xml:space="preserve"> Responsable de Obra para el cumplimiento de requisitos ante el </w:t>
    </w:r>
    <w:proofErr w:type="spellStart"/>
    <w:r w:rsidRPr="002E3EF7">
      <w:rPr>
        <w:rFonts w:ascii="Arial Unicode MS" w:eastAsia="Arial Unicode MS" w:hAnsi="Arial Unicode MS" w:cs="Arial Unicode MS"/>
        <w:b/>
        <w:caps/>
        <w:color w:val="7F7F7F" w:themeColor="text1" w:themeTint="80"/>
        <w:sz w:val="20"/>
        <w:szCs w:val="20"/>
      </w:rPr>
      <w:t>INIFED</w:t>
    </w:r>
    <w:proofErr w:type="spellEnd"/>
    <w:r w:rsidRPr="002E3EF7">
      <w:rPr>
        <w:rFonts w:ascii="Arial Unicode MS" w:eastAsia="Arial Unicode MS" w:hAnsi="Arial Unicode MS" w:cs="Arial Unicode MS"/>
        <w:b/>
        <w:caps/>
        <w:color w:val="7F7F7F" w:themeColor="text1" w:themeTint="80"/>
        <w:sz w:val="20"/>
        <w:szCs w:val="20"/>
      </w:rPr>
      <w:t xml:space="preserve"> en la certificación de calidad educativa del CENDI</w:t>
    </w:r>
    <w:r>
      <w:rPr>
        <w:rFonts w:ascii="Arial Unicode MS" w:eastAsia="Arial Unicode MS" w:hAnsi="Arial Unicode MS" w:cs="Arial Unicode MS"/>
        <w:b/>
        <w:caps/>
        <w:color w:val="7F7F7F" w:themeColor="text1" w:themeTint="80"/>
        <w:sz w:val="20"/>
        <w:szCs w:val="20"/>
      </w:rPr>
      <w:t>”</w:t>
    </w:r>
  </w:p>
  <w:p w14:paraId="64451AC1" w14:textId="2B9C1C65" w:rsidR="00443963" w:rsidRPr="000D48F2" w:rsidRDefault="00443963" w:rsidP="000D48F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F26A8" w14:textId="77777777" w:rsidR="005B6C93" w:rsidRDefault="005B6C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623B7"/>
    <w:rsid w:val="000719BD"/>
    <w:rsid w:val="00072987"/>
    <w:rsid w:val="000748D0"/>
    <w:rsid w:val="00094796"/>
    <w:rsid w:val="000D48F2"/>
    <w:rsid w:val="000E0BDE"/>
    <w:rsid w:val="000E1F3F"/>
    <w:rsid w:val="000E5965"/>
    <w:rsid w:val="00102FE2"/>
    <w:rsid w:val="00113793"/>
    <w:rsid w:val="001243C8"/>
    <w:rsid w:val="00140CBB"/>
    <w:rsid w:val="00153928"/>
    <w:rsid w:val="00155045"/>
    <w:rsid w:val="00156D3F"/>
    <w:rsid w:val="00164306"/>
    <w:rsid w:val="00166CA7"/>
    <w:rsid w:val="001705CF"/>
    <w:rsid w:val="00173588"/>
    <w:rsid w:val="00173A60"/>
    <w:rsid w:val="00180833"/>
    <w:rsid w:val="00190C97"/>
    <w:rsid w:val="00191869"/>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507C"/>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529DA"/>
    <w:rsid w:val="00360357"/>
    <w:rsid w:val="00362059"/>
    <w:rsid w:val="0036253F"/>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B7ACC"/>
    <w:rsid w:val="004C4BE2"/>
    <w:rsid w:val="004D3E26"/>
    <w:rsid w:val="0051117C"/>
    <w:rsid w:val="0051504F"/>
    <w:rsid w:val="005151A1"/>
    <w:rsid w:val="00516A39"/>
    <w:rsid w:val="00520AD1"/>
    <w:rsid w:val="00527A10"/>
    <w:rsid w:val="00546ED6"/>
    <w:rsid w:val="00555764"/>
    <w:rsid w:val="00571EDC"/>
    <w:rsid w:val="005A7271"/>
    <w:rsid w:val="005B1401"/>
    <w:rsid w:val="005B2049"/>
    <w:rsid w:val="005B67F1"/>
    <w:rsid w:val="005B6C93"/>
    <w:rsid w:val="005C44CA"/>
    <w:rsid w:val="005C4BF6"/>
    <w:rsid w:val="005C563B"/>
    <w:rsid w:val="005D4C7B"/>
    <w:rsid w:val="006019AC"/>
    <w:rsid w:val="0061295A"/>
    <w:rsid w:val="006163CD"/>
    <w:rsid w:val="006265CF"/>
    <w:rsid w:val="006340E9"/>
    <w:rsid w:val="0063745E"/>
    <w:rsid w:val="00647B17"/>
    <w:rsid w:val="00654181"/>
    <w:rsid w:val="00654756"/>
    <w:rsid w:val="00656BBA"/>
    <w:rsid w:val="00670179"/>
    <w:rsid w:val="00677F1C"/>
    <w:rsid w:val="00684A8D"/>
    <w:rsid w:val="006864EB"/>
    <w:rsid w:val="006A0543"/>
    <w:rsid w:val="006A5B44"/>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03729"/>
    <w:rsid w:val="00816D49"/>
    <w:rsid w:val="00817B8A"/>
    <w:rsid w:val="0082621D"/>
    <w:rsid w:val="00851D7A"/>
    <w:rsid w:val="00872EF6"/>
    <w:rsid w:val="008772C1"/>
    <w:rsid w:val="0088594F"/>
    <w:rsid w:val="00887770"/>
    <w:rsid w:val="008A0509"/>
    <w:rsid w:val="008B7B64"/>
    <w:rsid w:val="008C6380"/>
    <w:rsid w:val="008D3DE9"/>
    <w:rsid w:val="008E0B83"/>
    <w:rsid w:val="008E20E5"/>
    <w:rsid w:val="008E4096"/>
    <w:rsid w:val="008F01F4"/>
    <w:rsid w:val="008F1DC3"/>
    <w:rsid w:val="009009A2"/>
    <w:rsid w:val="00913AFA"/>
    <w:rsid w:val="009178B8"/>
    <w:rsid w:val="00923869"/>
    <w:rsid w:val="00931D93"/>
    <w:rsid w:val="00943F46"/>
    <w:rsid w:val="00955EAC"/>
    <w:rsid w:val="00957956"/>
    <w:rsid w:val="0097246F"/>
    <w:rsid w:val="009800BC"/>
    <w:rsid w:val="009A42D0"/>
    <w:rsid w:val="009A689A"/>
    <w:rsid w:val="009B1136"/>
    <w:rsid w:val="009B594B"/>
    <w:rsid w:val="009C20A9"/>
    <w:rsid w:val="009C406C"/>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64E"/>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24BEB"/>
    <w:rsid w:val="00B3137F"/>
    <w:rsid w:val="00B41EC6"/>
    <w:rsid w:val="00B42BFE"/>
    <w:rsid w:val="00B50B33"/>
    <w:rsid w:val="00B6191D"/>
    <w:rsid w:val="00B623BE"/>
    <w:rsid w:val="00B74441"/>
    <w:rsid w:val="00B77A0C"/>
    <w:rsid w:val="00BA6A17"/>
    <w:rsid w:val="00BB3E6A"/>
    <w:rsid w:val="00BC066A"/>
    <w:rsid w:val="00BC6148"/>
    <w:rsid w:val="00BD4FE8"/>
    <w:rsid w:val="00BE0375"/>
    <w:rsid w:val="00BE2D8C"/>
    <w:rsid w:val="00BF2457"/>
    <w:rsid w:val="00C0043E"/>
    <w:rsid w:val="00C053C1"/>
    <w:rsid w:val="00C14B1A"/>
    <w:rsid w:val="00C22072"/>
    <w:rsid w:val="00C31813"/>
    <w:rsid w:val="00C326DD"/>
    <w:rsid w:val="00C450D8"/>
    <w:rsid w:val="00C53ADB"/>
    <w:rsid w:val="00C64B58"/>
    <w:rsid w:val="00C75DDC"/>
    <w:rsid w:val="00CB05B9"/>
    <w:rsid w:val="00CB0901"/>
    <w:rsid w:val="00CB37F6"/>
    <w:rsid w:val="00CD402A"/>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B71F5"/>
    <w:rsid w:val="00DC1C6A"/>
    <w:rsid w:val="00DC4B08"/>
    <w:rsid w:val="00DD7C88"/>
    <w:rsid w:val="00DE534D"/>
    <w:rsid w:val="00DF2553"/>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 w:type="paragraph" w:styleId="Revisin">
    <w:name w:val="Revision"/>
    <w:hidden/>
    <w:uiPriority w:val="99"/>
    <w:semiHidden/>
    <w:rsid w:val="008E20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3127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3</cp:revision>
  <cp:lastPrinted>2019-03-28T18:53:00Z</cp:lastPrinted>
  <dcterms:created xsi:type="dcterms:W3CDTF">2025-05-28T20:48:00Z</dcterms:created>
  <dcterms:modified xsi:type="dcterms:W3CDTF">2025-05-29T19:07:00Z</dcterms:modified>
</cp:coreProperties>
</file>